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snapToGrid w:val="0"/>
        <w:spacing w:line="360" w:lineRule="auto"/>
        <w:jc w:val="center"/>
        <w:rPr>
          <w:rFonts w:ascii="Times New Roman" w:hAnsi="Times New Roman" w:eastAsia="方正小标宋简体" w:cs="方正小标宋简体"/>
          <w:kern w:val="0"/>
          <w:sz w:val="36"/>
          <w:szCs w:val="36"/>
        </w:rPr>
      </w:pPr>
      <w:r>
        <w:rPr>
          <w:rFonts w:hint="eastAsia" w:ascii="Times New Roman" w:hAnsi="Times New Roman" w:eastAsia="方正小标宋简体" w:cs="方正小标宋简体"/>
          <w:kern w:val="0"/>
          <w:sz w:val="36"/>
          <w:szCs w:val="36"/>
        </w:rPr>
        <w:t>云浮市云安区（含云浮新区）国民经济和社会发展</w:t>
      </w:r>
    </w:p>
    <w:p>
      <w:pPr>
        <w:widowControl/>
        <w:snapToGrid w:val="0"/>
        <w:spacing w:line="360" w:lineRule="auto"/>
        <w:jc w:val="center"/>
        <w:rPr>
          <w:rFonts w:ascii="Times New Roman" w:hAnsi="Times New Roman" w:eastAsia="方正小标宋简体" w:cs="方正小标宋简体"/>
          <w:kern w:val="0"/>
          <w:sz w:val="36"/>
          <w:szCs w:val="36"/>
        </w:rPr>
      </w:pPr>
      <w:r>
        <w:rPr>
          <w:rFonts w:hint="eastAsia" w:ascii="Times New Roman" w:hAnsi="Times New Roman" w:eastAsia="方正小标宋简体" w:cs="方正小标宋简体"/>
          <w:kern w:val="0"/>
          <w:sz w:val="36"/>
          <w:szCs w:val="36"/>
        </w:rPr>
        <w:t>第十四个五年规划和二</w:t>
      </w:r>
      <w:r>
        <w:rPr>
          <w:rFonts w:hint="eastAsia" w:ascii="Times New Roman" w:hAnsi="Times New Roman" w:eastAsia="宋体" w:cs="宋体"/>
          <w:kern w:val="0"/>
          <w:sz w:val="36"/>
          <w:szCs w:val="36"/>
        </w:rPr>
        <w:t>〇</w:t>
      </w:r>
      <w:r>
        <w:rPr>
          <w:rFonts w:hint="eastAsia" w:ascii="Times New Roman" w:hAnsi="Times New Roman" w:eastAsia="方正小标宋简体" w:cs="方正小标宋简体"/>
          <w:kern w:val="0"/>
          <w:sz w:val="36"/>
          <w:szCs w:val="36"/>
        </w:rPr>
        <w:t>三五年远景目标纲要</w:t>
      </w:r>
    </w:p>
    <w:p>
      <w:pPr>
        <w:widowControl/>
        <w:snapToGrid w:val="0"/>
        <w:spacing w:line="360" w:lineRule="auto"/>
        <w:jc w:val="center"/>
        <w:rPr>
          <w:rFonts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ascii="Times New Roman" w:hAnsi="Times New Roman" w:eastAsia="楷体_GB2312" w:cs="楷体_GB2312"/>
          <w:kern w:val="0"/>
          <w:sz w:val="32"/>
          <w:szCs w:val="32"/>
        </w:rPr>
        <w:t>2021年2月6日区第六届人民代表大会第六次会议通过）</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snapToGrid w:val="0"/>
        <w:spacing w:line="360" w:lineRule="auto"/>
        <w:jc w:val="center"/>
        <w:rPr>
          <w:rFonts w:ascii="Times New Roman" w:hAnsi="Times New Roman" w:eastAsia="仿宋_GB2312" w:cs="Times New Roman"/>
          <w:kern w:val="0"/>
          <w:sz w:val="32"/>
          <w:szCs w:val="32"/>
        </w:rPr>
      </w:pPr>
    </w:p>
    <w:p>
      <w:pPr>
        <w:rPr>
          <w:rFonts w:ascii="Times New Roman" w:hAnsi="Times New Roman"/>
        </w:rPr>
      </w:pPr>
    </w:p>
    <w:p>
      <w:pPr>
        <w:rPr>
          <w:rFonts w:ascii="Times New Roman" w:hAnsi="Times New Roman"/>
        </w:rPr>
      </w:pPr>
    </w:p>
    <w:p>
      <w:pPr>
        <w:widowControl/>
        <w:snapToGrid w:val="0"/>
        <w:spacing w:line="360" w:lineRule="auto"/>
        <w:ind w:firstLine="640"/>
        <w:jc w:val="center"/>
        <w:rPr>
          <w:rFonts w:ascii="Times New Roman" w:hAnsi="Times New Roman" w:eastAsia="楷体_GB2312" w:cs="仿宋_GB2312"/>
          <w:kern w:val="0"/>
          <w:sz w:val="32"/>
          <w:szCs w:val="32"/>
        </w:rPr>
      </w:pPr>
      <w:r>
        <w:rPr>
          <w:rFonts w:hint="eastAsia" w:ascii="Times New Roman" w:hAnsi="Times New Roman" w:eastAsia="楷体_GB2312" w:cs="仿宋_GB2312"/>
          <w:kern w:val="0"/>
          <w:sz w:val="32"/>
          <w:szCs w:val="32"/>
        </w:rPr>
        <w:t>云浮市云安区人民政府</w:t>
      </w:r>
    </w:p>
    <w:p>
      <w:pPr>
        <w:widowControl/>
        <w:snapToGrid w:val="0"/>
        <w:spacing w:line="360" w:lineRule="auto"/>
        <w:ind w:firstLine="640"/>
        <w:jc w:val="center"/>
        <w:rPr>
          <w:rFonts w:ascii="Times New Roman" w:hAnsi="Times New Roman" w:eastAsia="楷体_GB2312" w:cs="仿宋_GB2312"/>
          <w:kern w:val="0"/>
          <w:sz w:val="32"/>
          <w:szCs w:val="32"/>
        </w:rPr>
      </w:pPr>
      <w:r>
        <w:rPr>
          <w:rFonts w:hint="eastAsia" w:ascii="Times New Roman" w:hAnsi="Times New Roman" w:eastAsia="楷体_GB2312" w:cs="仿宋_GB2312"/>
          <w:kern w:val="0"/>
          <w:sz w:val="32"/>
          <w:szCs w:val="32"/>
        </w:rPr>
        <w:t>二</w:t>
      </w:r>
      <w:r>
        <w:rPr>
          <w:rFonts w:hint="eastAsia" w:ascii="Times New Roman" w:hAnsi="Times New Roman" w:eastAsia="微软雅黑" w:cs="微软雅黑"/>
          <w:kern w:val="0"/>
          <w:sz w:val="32"/>
          <w:szCs w:val="32"/>
        </w:rPr>
        <w:t>〇</w:t>
      </w:r>
      <w:r>
        <w:rPr>
          <w:rFonts w:hint="eastAsia" w:ascii="Times New Roman" w:hAnsi="Times New Roman" w:eastAsia="楷体_GB2312" w:cs="楷体_GB2312"/>
          <w:kern w:val="0"/>
          <w:sz w:val="32"/>
          <w:szCs w:val="32"/>
        </w:rPr>
        <w:t>二一年六</w:t>
      </w:r>
      <w:r>
        <w:rPr>
          <w:rFonts w:hint="eastAsia" w:ascii="Times New Roman" w:hAnsi="Times New Roman" w:eastAsia="楷体_GB2312" w:cs="仿宋_GB2312"/>
          <w:kern w:val="0"/>
          <w:sz w:val="32"/>
          <w:szCs w:val="32"/>
        </w:rPr>
        <w:t>月</w:t>
      </w:r>
    </w:p>
    <w:p>
      <w:pPr>
        <w:widowControl/>
        <w:snapToGrid w:val="0"/>
        <w:spacing w:line="360" w:lineRule="auto"/>
        <w:rPr>
          <w:rFonts w:ascii="Times New Roman" w:hAnsi="Times New Roman" w:eastAsia="仿宋_GB2312" w:cs="仿宋_GB2312"/>
          <w:kern w:val="0"/>
          <w:sz w:val="32"/>
          <w:szCs w:val="32"/>
        </w:rPr>
      </w:pPr>
    </w:p>
    <w:p>
      <w:pPr>
        <w:widowControl/>
        <w:snapToGrid w:val="0"/>
        <w:spacing w:line="360" w:lineRule="auto"/>
        <w:jc w:val="left"/>
        <w:rPr>
          <w:rFonts w:ascii="Times New Roman" w:hAnsi="Times New Roman" w:eastAsia="仿宋_GB2312" w:cs="仿宋_GB2312"/>
          <w:kern w:val="0"/>
          <w:sz w:val="32"/>
          <w:szCs w:val="32"/>
        </w:rPr>
        <w:sectPr>
          <w:footerReference r:id="rId3" w:type="default"/>
          <w:pgSz w:w="11906" w:h="16838"/>
          <w:pgMar w:top="1418" w:right="1588" w:bottom="1418" w:left="1588" w:header="851" w:footer="992" w:gutter="0"/>
          <w:cols w:space="425" w:num="1"/>
          <w:docGrid w:type="lines" w:linePitch="600" w:charSpace="0"/>
        </w:sectPr>
      </w:pPr>
    </w:p>
    <w:sdt>
      <w:sdtPr>
        <w:rPr>
          <w:rFonts w:ascii="Times New Roman" w:hAnsi="Times New Roman" w:eastAsiaTheme="minorEastAsia" w:cstheme="minorBidi"/>
          <w:color w:val="auto"/>
          <w:kern w:val="2"/>
          <w:sz w:val="21"/>
          <w:szCs w:val="22"/>
          <w:lang w:val="zh-CN"/>
        </w:rPr>
        <w:id w:val="631828134"/>
      </w:sdtPr>
      <w:sdtEndPr>
        <w:rPr>
          <w:rFonts w:ascii="Times New Roman" w:hAnsi="Times New Roman" w:eastAsiaTheme="minorEastAsia" w:cstheme="minorBidi"/>
          <w:b/>
          <w:bCs/>
          <w:color w:val="auto"/>
          <w:kern w:val="2"/>
          <w:sz w:val="20"/>
          <w:szCs w:val="21"/>
          <w:lang w:val="zh-CN"/>
        </w:rPr>
      </w:sdtEndPr>
      <w:sdtContent>
        <w:p>
          <w:pPr>
            <w:pStyle w:val="35"/>
            <w:jc w:val="center"/>
            <w:rPr>
              <w:rFonts w:ascii="Times New Roman" w:hAnsi="Times New Roman" w:eastAsia="黑体"/>
              <w:color w:val="auto"/>
              <w:sz w:val="28"/>
              <w:szCs w:val="28"/>
            </w:rPr>
          </w:pPr>
          <w:r>
            <w:rPr>
              <w:rFonts w:ascii="Times New Roman" w:hAnsi="Times New Roman" w:eastAsia="黑体"/>
              <w:color w:val="auto"/>
              <w:sz w:val="28"/>
              <w:szCs w:val="28"/>
              <w:lang w:val="zh-CN"/>
            </w:rPr>
            <w:t>目  录</w:t>
          </w:r>
        </w:p>
        <w:p>
          <w:pPr>
            <w:pStyle w:val="16"/>
            <w:rPr>
              <w:rFonts w:eastAsiaTheme="minorEastAsia"/>
              <w:sz w:val="21"/>
              <w:szCs w:val="22"/>
            </w:rPr>
          </w:pPr>
          <w:r>
            <w:rPr>
              <w:rFonts w:eastAsia="楷体"/>
              <w:sz w:val="22"/>
            </w:rPr>
            <w:fldChar w:fldCharType="begin"/>
          </w:r>
          <w:r>
            <w:rPr>
              <w:rFonts w:eastAsia="楷体"/>
              <w:sz w:val="22"/>
            </w:rPr>
            <w:instrText xml:space="preserve"> TOC \o "1-3" \h \z \u </w:instrText>
          </w:r>
          <w:r>
            <w:rPr>
              <w:rFonts w:eastAsia="楷体"/>
              <w:sz w:val="22"/>
            </w:rPr>
            <w:fldChar w:fldCharType="separate"/>
          </w:r>
          <w:r>
            <w:fldChar w:fldCharType="begin"/>
          </w:r>
          <w:r>
            <w:instrText xml:space="preserve"> HYPERLINK \l "_Toc72403387" </w:instrText>
          </w:r>
          <w:r>
            <w:fldChar w:fldCharType="separate"/>
          </w:r>
          <w:r>
            <w:rPr>
              <w:rStyle w:val="24"/>
              <w:rFonts w:cs="Times New Roman"/>
            </w:rPr>
            <w:t>第一章 发展基础和发展环境</w:t>
          </w:r>
          <w:r>
            <w:tab/>
          </w:r>
          <w:r>
            <w:fldChar w:fldCharType="begin"/>
          </w:r>
          <w:r>
            <w:instrText xml:space="preserve"> PAGEREF _Toc72403387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"_Toc72403388" </w:instrText>
          </w:r>
          <w:r>
            <w:fldChar w:fldCharType="separate"/>
          </w:r>
          <w:r>
            <w:rPr>
              <w:rStyle w:val="24"/>
              <w:rFonts w:cs="Times New Roman"/>
              <w:kern w:val="0"/>
            </w:rPr>
            <w:t>第一节 发展基础</w:t>
          </w:r>
          <w:r>
            <w:tab/>
          </w:r>
          <w:r>
            <w:fldChar w:fldCharType="begin"/>
          </w:r>
          <w:r>
            <w:instrText xml:space="preserve"> PAGEREF _Toc72403388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"_Toc72403389" </w:instrText>
          </w:r>
          <w:r>
            <w:fldChar w:fldCharType="separate"/>
          </w:r>
          <w:r>
            <w:rPr>
              <w:rStyle w:val="24"/>
              <w:rFonts w:cs="Times New Roman"/>
              <w:kern w:val="0"/>
            </w:rPr>
            <w:t>第二节 发展机遇</w:t>
          </w:r>
          <w:r>
            <w:tab/>
          </w:r>
          <w:r>
            <w:fldChar w:fldCharType="begin"/>
          </w:r>
          <w:r>
            <w:instrText xml:space="preserve"> PAGEREF _Toc72403389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"_Toc72403390" </w:instrText>
          </w:r>
          <w:r>
            <w:fldChar w:fldCharType="separate"/>
          </w:r>
          <w:r>
            <w:rPr>
              <w:rStyle w:val="24"/>
              <w:rFonts w:cs="Times New Roman"/>
              <w:kern w:val="0"/>
            </w:rPr>
            <w:t>第三节 面临挑战</w:t>
          </w:r>
          <w:r>
            <w:tab/>
          </w:r>
          <w:r>
            <w:fldChar w:fldCharType="begin"/>
          </w:r>
          <w:r>
            <w:instrText xml:space="preserve"> PAGEREF _Toc72403390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"_Toc72403391" </w:instrText>
          </w:r>
          <w:r>
            <w:fldChar w:fldCharType="separate"/>
          </w:r>
          <w:r>
            <w:rPr>
              <w:rStyle w:val="24"/>
              <w:rFonts w:cs="Times New Roman"/>
            </w:rPr>
            <w:t>第二章 总体要求和发展目标</w:t>
          </w:r>
          <w:r>
            <w:tab/>
          </w:r>
          <w:r>
            <w:fldChar w:fldCharType="begin"/>
          </w:r>
          <w:r>
            <w:instrText xml:space="preserve"> PAGEREF _Toc72403391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"_Toc72403392" </w:instrText>
          </w:r>
          <w:r>
            <w:fldChar w:fldCharType="separate"/>
          </w:r>
          <w:r>
            <w:rPr>
              <w:rStyle w:val="24"/>
              <w:rFonts w:cs="Times New Roman"/>
              <w:kern w:val="0"/>
            </w:rPr>
            <w:t>第一节 指导思想</w:t>
          </w:r>
          <w:r>
            <w:tab/>
          </w:r>
          <w:r>
            <w:fldChar w:fldCharType="begin"/>
          </w:r>
          <w:r>
            <w:instrText xml:space="preserve"> PAGEREF _Toc72403392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"_Toc72403393" </w:instrText>
          </w:r>
          <w:r>
            <w:fldChar w:fldCharType="separate"/>
          </w:r>
          <w:r>
            <w:rPr>
              <w:rStyle w:val="24"/>
              <w:rFonts w:cs="Times New Roman"/>
              <w:kern w:val="0"/>
            </w:rPr>
            <w:t>第二节 发展原则</w:t>
          </w:r>
          <w:r>
            <w:tab/>
          </w:r>
          <w:r>
            <w:fldChar w:fldCharType="begin"/>
          </w:r>
          <w:r>
            <w:instrText xml:space="preserve"> PAGEREF _Toc72403393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"_Toc72403394" </w:instrText>
          </w:r>
          <w:r>
            <w:fldChar w:fldCharType="separate"/>
          </w:r>
          <w:r>
            <w:rPr>
              <w:rStyle w:val="24"/>
              <w:rFonts w:cs="Times New Roman"/>
              <w:kern w:val="0"/>
            </w:rPr>
            <w:t>第三节 发展目标</w:t>
          </w:r>
          <w:r>
            <w:tab/>
          </w:r>
          <w:r>
            <w:fldChar w:fldCharType="begin"/>
          </w:r>
          <w:r>
            <w:instrText xml:space="preserve"> PAGEREF _Toc72403394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"_Toc72403395" </w:instrText>
          </w:r>
          <w:r>
            <w:fldChar w:fldCharType="separate"/>
          </w:r>
          <w:r>
            <w:rPr>
              <w:rStyle w:val="24"/>
              <w:rFonts w:cs="Times New Roman"/>
              <w:spacing w:val="1"/>
              <w:w w:val="98"/>
              <w:kern w:val="0"/>
              <w:fitText w:val="8704" w:id="1"/>
            </w:rPr>
            <w:t>第三章 加快推进新旧动能转换，建设粤北生态发展区产业强</w:t>
          </w:r>
          <w:r>
            <w:rPr>
              <w:rStyle w:val="24"/>
              <w:rFonts w:cs="Times New Roman"/>
              <w:spacing w:val="27"/>
              <w:w w:val="98"/>
              <w:kern w:val="0"/>
              <w:fitText w:val="8704" w:id="1"/>
            </w:rPr>
            <w:t>区</w:t>
          </w:r>
          <w:r>
            <w:tab/>
          </w:r>
          <w:r>
            <w:fldChar w:fldCharType="begin"/>
          </w:r>
          <w:r>
            <w:instrText xml:space="preserve"> PAGEREF _Toc72403395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"_Toc72403396" </w:instrText>
          </w:r>
          <w:r>
            <w:fldChar w:fldCharType="separate"/>
          </w:r>
          <w:r>
            <w:rPr>
              <w:rStyle w:val="24"/>
              <w:rFonts w:cs="Times New Roman"/>
              <w:kern w:val="0"/>
            </w:rPr>
            <w:t>第一节 打造高质量产业发展平台</w:t>
          </w:r>
          <w:r>
            <w:tab/>
          </w:r>
          <w:r>
            <w:fldChar w:fldCharType="begin"/>
          </w:r>
          <w:r>
            <w:instrText xml:space="preserve"> PAGEREF _Toc72403396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"_Toc72403397" </w:instrText>
          </w:r>
          <w:r>
            <w:fldChar w:fldCharType="separate"/>
          </w:r>
          <w:r>
            <w:rPr>
              <w:rStyle w:val="24"/>
              <w:rFonts w:cs="Times New Roman"/>
              <w:kern w:val="0"/>
            </w:rPr>
            <w:t>第二节 推动传统产业转型升级</w:t>
          </w:r>
          <w:r>
            <w:tab/>
          </w:r>
          <w:r>
            <w:fldChar w:fldCharType="begin"/>
          </w:r>
          <w:r>
            <w:instrText xml:space="preserve"> PAGEREF _Toc72403397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"_Toc72403398" </w:instrText>
          </w:r>
          <w:r>
            <w:fldChar w:fldCharType="separate"/>
          </w:r>
          <w:r>
            <w:rPr>
              <w:rStyle w:val="24"/>
              <w:rFonts w:cs="Times New Roman"/>
              <w:kern w:val="0"/>
            </w:rPr>
            <w:t>第三节 加快建设绿色工业集聚区</w:t>
          </w:r>
          <w:r>
            <w:tab/>
          </w:r>
          <w:r>
            <w:fldChar w:fldCharType="begin"/>
          </w:r>
          <w:r>
            <w:instrText xml:space="preserve"> PAGEREF _Toc72403398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"_Toc72403399" </w:instrText>
          </w:r>
          <w:r>
            <w:fldChar w:fldCharType="separate"/>
          </w:r>
          <w:r>
            <w:rPr>
              <w:rStyle w:val="24"/>
              <w:rFonts w:cs="Times New Roman"/>
              <w:kern w:val="0"/>
            </w:rPr>
            <w:t>第四节 加快提升现代服务业</w:t>
          </w:r>
          <w:r>
            <w:tab/>
          </w:r>
          <w:r>
            <w:fldChar w:fldCharType="begin"/>
          </w:r>
          <w:r>
            <w:instrText xml:space="preserve"> PAGEREF _Toc72403399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"_Toc72403400" </w:instrText>
          </w:r>
          <w:r>
            <w:fldChar w:fldCharType="separate"/>
          </w:r>
          <w:r>
            <w:rPr>
              <w:rStyle w:val="24"/>
              <w:rFonts w:cs="Times New Roman"/>
            </w:rPr>
            <w:t>第四章 坚持创新驱动发展，增强产业创新引领力支撑力</w:t>
          </w:r>
          <w:r>
            <w:tab/>
          </w:r>
          <w:r>
            <w:fldChar w:fldCharType="begin"/>
          </w:r>
          <w:r>
            <w:instrText xml:space="preserve"> PAGEREF _Toc72403400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"_Toc72403401" </w:instrText>
          </w:r>
          <w:r>
            <w:fldChar w:fldCharType="separate"/>
          </w:r>
          <w:r>
            <w:rPr>
              <w:rStyle w:val="24"/>
              <w:rFonts w:cs="Times New Roman"/>
              <w:kern w:val="0"/>
            </w:rPr>
            <w:t>第一节 构建高新区科技生态体系</w:t>
          </w:r>
          <w:r>
            <w:tab/>
          </w:r>
          <w:r>
            <w:fldChar w:fldCharType="begin"/>
          </w:r>
          <w:r>
            <w:instrText xml:space="preserve"> PAGEREF _Toc72403401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"_Toc72403402" </w:instrText>
          </w:r>
          <w:r>
            <w:fldChar w:fldCharType="separate"/>
          </w:r>
          <w:r>
            <w:rPr>
              <w:rStyle w:val="24"/>
              <w:rFonts w:cs="Times New Roman"/>
              <w:kern w:val="0"/>
            </w:rPr>
            <w:t>第二节 强化科技成果转化</w:t>
          </w:r>
          <w:r>
            <w:tab/>
          </w:r>
          <w:r>
            <w:fldChar w:fldCharType="begin"/>
          </w:r>
          <w:r>
            <w:instrText xml:space="preserve"> PAGEREF _Toc72403402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"_Toc72403403" </w:instrText>
          </w:r>
          <w:r>
            <w:fldChar w:fldCharType="separate"/>
          </w:r>
          <w:r>
            <w:rPr>
              <w:rStyle w:val="24"/>
              <w:rFonts w:cs="Times New Roman"/>
              <w:kern w:val="0"/>
            </w:rPr>
            <w:t>第三节 打造人才强区</w:t>
          </w:r>
          <w:r>
            <w:tab/>
          </w:r>
          <w:r>
            <w:fldChar w:fldCharType="begin"/>
          </w:r>
          <w:r>
            <w:instrText xml:space="preserve"> PAGEREF _Toc72403403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"_Toc72403404" </w:instrText>
          </w:r>
          <w:r>
            <w:fldChar w:fldCharType="separate"/>
          </w:r>
          <w:r>
            <w:rPr>
              <w:rStyle w:val="24"/>
              <w:rFonts w:cs="Times New Roman"/>
            </w:rPr>
            <w:t>第五章 主动融入新发展格局，塑造高质量发展新优势</w:t>
          </w:r>
          <w:r>
            <w:tab/>
          </w:r>
          <w:r>
            <w:fldChar w:fldCharType="begin"/>
          </w:r>
          <w:r>
            <w:instrText xml:space="preserve"> PAGEREF _Toc72403404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"_Toc72403405" </w:instrText>
          </w:r>
          <w:r>
            <w:fldChar w:fldCharType="separate"/>
          </w:r>
          <w:r>
            <w:rPr>
              <w:rStyle w:val="24"/>
              <w:rFonts w:cs="Times New Roman"/>
              <w:kern w:val="0"/>
            </w:rPr>
            <w:t>第一节 积极扩大有效投资</w:t>
          </w:r>
          <w:r>
            <w:tab/>
          </w:r>
          <w:r>
            <w:fldChar w:fldCharType="begin"/>
          </w:r>
          <w:r>
            <w:instrText xml:space="preserve"> PAGEREF _Toc72403405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"_Toc72403406" </w:instrText>
          </w:r>
          <w:r>
            <w:fldChar w:fldCharType="separate"/>
          </w:r>
          <w:r>
            <w:rPr>
              <w:rStyle w:val="24"/>
              <w:rFonts w:cs="Times New Roman"/>
              <w:kern w:val="0"/>
            </w:rPr>
            <w:t>第二节 全面激活消费潜力</w:t>
          </w:r>
          <w:r>
            <w:tab/>
          </w:r>
          <w:r>
            <w:fldChar w:fldCharType="begin"/>
          </w:r>
          <w:r>
            <w:instrText xml:space="preserve"> PAGEREF _Toc72403406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"_Toc72403407" </w:instrText>
          </w:r>
          <w:r>
            <w:fldChar w:fldCharType="separate"/>
          </w:r>
          <w:r>
            <w:rPr>
              <w:rStyle w:val="24"/>
              <w:rFonts w:cs="Times New Roman"/>
              <w:kern w:val="0"/>
            </w:rPr>
            <w:t>第三节 促进内外贸一体化</w:t>
          </w:r>
          <w:r>
            <w:tab/>
          </w:r>
          <w:r>
            <w:fldChar w:fldCharType="begin"/>
          </w:r>
          <w:r>
            <w:instrText xml:space="preserve"> PAGEREF _Toc72403407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"_Toc72403408" </w:instrText>
          </w:r>
          <w:r>
            <w:fldChar w:fldCharType="separate"/>
          </w:r>
          <w:r>
            <w:rPr>
              <w:rStyle w:val="24"/>
              <w:rFonts w:cs="Times New Roman"/>
              <w:kern w:val="0"/>
            </w:rPr>
            <w:t>第四节 强化招商引资力度</w:t>
          </w:r>
          <w:r>
            <w:tab/>
          </w:r>
          <w:r>
            <w:fldChar w:fldCharType="begin"/>
          </w:r>
          <w:r>
            <w:instrText xml:space="preserve"> PAGEREF _Toc72403408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"_Toc72403409" </w:instrText>
          </w:r>
          <w:r>
            <w:fldChar w:fldCharType="separate"/>
          </w:r>
          <w:r>
            <w:rPr>
              <w:rStyle w:val="24"/>
              <w:rFonts w:cs="Times New Roman"/>
            </w:rPr>
            <w:t>第六章 坚持“全域东融”发展路径，打造东进融湾桥头堡</w:t>
          </w:r>
          <w:r>
            <w:tab/>
          </w:r>
          <w:r>
            <w:fldChar w:fldCharType="begin"/>
          </w:r>
          <w:r>
            <w:instrText xml:space="preserve"> PAGEREF _Toc72403409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"_Toc72403410" </w:instrText>
          </w:r>
          <w:r>
            <w:fldChar w:fldCharType="separate"/>
          </w:r>
          <w:r>
            <w:rPr>
              <w:rStyle w:val="24"/>
              <w:rFonts w:cs="Times New Roman"/>
              <w:kern w:val="0"/>
            </w:rPr>
            <w:t>第一节 着力打造区域“门户枢纽”</w:t>
          </w:r>
          <w:r>
            <w:tab/>
          </w:r>
          <w:r>
            <w:fldChar w:fldCharType="begin"/>
          </w:r>
          <w:r>
            <w:instrText xml:space="preserve"> PAGEREF _Toc72403410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"_Toc72403411" </w:instrText>
          </w:r>
          <w:r>
            <w:fldChar w:fldCharType="separate"/>
          </w:r>
          <w:r>
            <w:rPr>
              <w:rStyle w:val="24"/>
              <w:rFonts w:cs="Times New Roman"/>
              <w:kern w:val="0"/>
            </w:rPr>
            <w:t>第二节 探索规则融合新实践</w:t>
          </w:r>
          <w:r>
            <w:tab/>
          </w:r>
          <w:r>
            <w:fldChar w:fldCharType="begin"/>
          </w:r>
          <w:r>
            <w:instrText xml:space="preserve"> PAGEREF _Toc72403411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"_Toc72403412" </w:instrText>
          </w:r>
          <w:r>
            <w:fldChar w:fldCharType="separate"/>
          </w:r>
          <w:r>
            <w:rPr>
              <w:rStyle w:val="24"/>
              <w:rFonts w:cs="Times New Roman"/>
              <w:kern w:val="0"/>
            </w:rPr>
            <w:t>第三节 加快产业发展“入珠融湾”</w:t>
          </w:r>
          <w:r>
            <w:tab/>
          </w:r>
          <w:r>
            <w:fldChar w:fldCharType="begin"/>
          </w:r>
          <w:r>
            <w:instrText xml:space="preserve"> PAGEREF _Toc72403412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"_Toc72403413" </w:instrText>
          </w:r>
          <w:r>
            <w:fldChar w:fldCharType="separate"/>
          </w:r>
          <w:r>
            <w:rPr>
              <w:rStyle w:val="24"/>
              <w:rFonts w:cs="Times New Roman"/>
              <w:kern w:val="0"/>
            </w:rPr>
            <w:t>第四节 推动区域合作新发展</w:t>
          </w:r>
          <w:r>
            <w:tab/>
          </w:r>
          <w:r>
            <w:fldChar w:fldCharType="begin"/>
          </w:r>
          <w:r>
            <w:instrText xml:space="preserve"> PAGEREF _Toc72403413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"_Toc72403414" </w:instrText>
          </w:r>
          <w:r>
            <w:fldChar w:fldCharType="separate"/>
          </w:r>
          <w:r>
            <w:rPr>
              <w:rStyle w:val="24"/>
              <w:rFonts w:cs="Times New Roman"/>
            </w:rPr>
            <w:t>第七章 全面深化改革开放，激发经济发展活力</w:t>
          </w:r>
          <w:r>
            <w:tab/>
          </w:r>
          <w:r>
            <w:fldChar w:fldCharType="begin"/>
          </w:r>
          <w:r>
            <w:instrText xml:space="preserve"> PAGEREF _Toc72403414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"_Toc72403415" </w:instrText>
          </w:r>
          <w:r>
            <w:fldChar w:fldCharType="separate"/>
          </w:r>
          <w:r>
            <w:rPr>
              <w:rStyle w:val="24"/>
              <w:rFonts w:cs="Times New Roman"/>
              <w:kern w:val="0"/>
            </w:rPr>
            <w:t>第一节 建设投资兴业首选地</w:t>
          </w:r>
          <w:r>
            <w:tab/>
          </w:r>
          <w:r>
            <w:fldChar w:fldCharType="begin"/>
          </w:r>
          <w:r>
            <w:instrText xml:space="preserve"> PAGEREF _Toc72403415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"_Toc72403416" </w:instrText>
          </w:r>
          <w:r>
            <w:fldChar w:fldCharType="separate"/>
          </w:r>
          <w:r>
            <w:rPr>
              <w:rStyle w:val="24"/>
              <w:rFonts w:cs="Times New Roman"/>
              <w:kern w:val="0"/>
            </w:rPr>
            <w:t>第二节 打造城乡融合发展改革样板</w:t>
          </w:r>
          <w:r>
            <w:tab/>
          </w:r>
          <w:r>
            <w:fldChar w:fldCharType="begin"/>
          </w:r>
          <w:r>
            <w:instrText xml:space="preserve"> PAGEREF _Toc72403416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"_Toc72403417" </w:instrText>
          </w:r>
          <w:r>
            <w:fldChar w:fldCharType="separate"/>
          </w:r>
          <w:r>
            <w:rPr>
              <w:rStyle w:val="24"/>
              <w:rFonts w:cs="Times New Roman"/>
              <w:kern w:val="0"/>
            </w:rPr>
            <w:t>第三节 建设新型服务型政府</w:t>
          </w:r>
          <w:r>
            <w:tab/>
          </w:r>
          <w:r>
            <w:fldChar w:fldCharType="begin"/>
          </w:r>
          <w:r>
            <w:instrText xml:space="preserve"> PAGEREF _Toc72403417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"_Toc72403418" </w:instrText>
          </w:r>
          <w:r>
            <w:fldChar w:fldCharType="separate"/>
          </w:r>
          <w:r>
            <w:rPr>
              <w:rStyle w:val="24"/>
              <w:rFonts w:cs="Times New Roman"/>
            </w:rPr>
            <w:t>第八章 加强新型城镇化建设，构建城乡融合发展新局面</w:t>
          </w:r>
          <w:r>
            <w:tab/>
          </w:r>
          <w:r>
            <w:fldChar w:fldCharType="begin"/>
          </w:r>
          <w:r>
            <w:instrText xml:space="preserve"> PAGEREF _Toc72403418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"_Toc72403419" </w:instrText>
          </w:r>
          <w:r>
            <w:fldChar w:fldCharType="separate"/>
          </w:r>
          <w:r>
            <w:rPr>
              <w:rStyle w:val="24"/>
              <w:rFonts w:cs="Times New Roman"/>
              <w:kern w:val="0"/>
            </w:rPr>
            <w:t>第一节 提高农业转移人口市民化质量</w:t>
          </w:r>
          <w:r>
            <w:tab/>
          </w:r>
          <w:r>
            <w:fldChar w:fldCharType="begin"/>
          </w:r>
          <w:r>
            <w:instrText xml:space="preserve"> PAGEREF _Toc72403419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"_Toc72403420" </w:instrText>
          </w:r>
          <w:r>
            <w:fldChar w:fldCharType="separate"/>
          </w:r>
          <w:r>
            <w:rPr>
              <w:rStyle w:val="24"/>
              <w:rFonts w:cs="Times New Roman"/>
              <w:kern w:val="0"/>
            </w:rPr>
            <w:t>第二节 构建新型城镇化发展格局</w:t>
          </w:r>
          <w:r>
            <w:tab/>
          </w:r>
          <w:r>
            <w:fldChar w:fldCharType="begin"/>
          </w:r>
          <w:r>
            <w:instrText xml:space="preserve"> PAGEREF _Toc72403420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"_Toc72403421" </w:instrText>
          </w:r>
          <w:r>
            <w:fldChar w:fldCharType="separate"/>
          </w:r>
          <w:r>
            <w:rPr>
              <w:rStyle w:val="24"/>
              <w:rFonts w:cs="Times New Roman"/>
              <w:kern w:val="0"/>
            </w:rPr>
            <w:t>第三节 推动“两区”融合发展</w:t>
          </w:r>
          <w:r>
            <w:tab/>
          </w:r>
          <w:r>
            <w:fldChar w:fldCharType="begin"/>
          </w:r>
          <w:r>
            <w:instrText xml:space="preserve"> PAGEREF _Toc72403421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"_Toc72403422" </w:instrText>
          </w:r>
          <w:r>
            <w:fldChar w:fldCharType="separate"/>
          </w:r>
          <w:r>
            <w:rPr>
              <w:rStyle w:val="24"/>
              <w:rFonts w:cs="Times New Roman"/>
            </w:rPr>
            <w:t>第九章 坚持农业农村优先发展，强力推进乡村振兴走在全市前列</w:t>
          </w:r>
          <w:r>
            <w:tab/>
          </w:r>
          <w:r>
            <w:fldChar w:fldCharType="begin"/>
          </w:r>
          <w:r>
            <w:instrText xml:space="preserve"> PAGEREF _Toc72403422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"_Toc72403423" </w:instrText>
          </w:r>
          <w:r>
            <w:fldChar w:fldCharType="separate"/>
          </w:r>
          <w:r>
            <w:rPr>
              <w:rStyle w:val="24"/>
              <w:rFonts w:cs="Times New Roman"/>
              <w:kern w:val="0"/>
            </w:rPr>
            <w:t>第一节 做强现代特色农业</w:t>
          </w:r>
          <w:r>
            <w:tab/>
          </w:r>
          <w:r>
            <w:fldChar w:fldCharType="begin"/>
          </w:r>
          <w:r>
            <w:instrText xml:space="preserve"> PAGEREF _Toc72403423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"_Toc72403424" </w:instrText>
          </w:r>
          <w:r>
            <w:fldChar w:fldCharType="separate"/>
          </w:r>
          <w:r>
            <w:rPr>
              <w:rStyle w:val="24"/>
              <w:rFonts w:cs="Times New Roman"/>
              <w:kern w:val="0"/>
            </w:rPr>
            <w:t>第二节 创新现代农业经营体系</w:t>
          </w:r>
          <w:r>
            <w:tab/>
          </w:r>
          <w:r>
            <w:fldChar w:fldCharType="begin"/>
          </w:r>
          <w:r>
            <w:instrText xml:space="preserve"> PAGEREF _Toc72403424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"_Toc72403425" </w:instrText>
          </w:r>
          <w:r>
            <w:fldChar w:fldCharType="separate"/>
          </w:r>
          <w:r>
            <w:rPr>
              <w:rStyle w:val="24"/>
              <w:rFonts w:cs="Times New Roman"/>
              <w:kern w:val="0"/>
            </w:rPr>
            <w:t>第三节 实施乡村建设行动</w:t>
          </w:r>
          <w:r>
            <w:tab/>
          </w:r>
          <w:r>
            <w:fldChar w:fldCharType="begin"/>
          </w:r>
          <w:r>
            <w:instrText xml:space="preserve"> PAGEREF _Toc72403425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"_Toc72403426" </w:instrText>
          </w:r>
          <w:r>
            <w:fldChar w:fldCharType="separate"/>
          </w:r>
          <w:r>
            <w:rPr>
              <w:rStyle w:val="24"/>
              <w:rFonts w:cs="Times New Roman"/>
              <w:kern w:val="0"/>
            </w:rPr>
            <w:t>第四节 做好脱贫攻坚与乡村振兴衔接工作</w:t>
          </w:r>
          <w:r>
            <w:tab/>
          </w:r>
          <w:r>
            <w:fldChar w:fldCharType="begin"/>
          </w:r>
          <w:r>
            <w:instrText xml:space="preserve"> PAGEREF _Toc72403426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"_Toc72403427" </w:instrText>
          </w:r>
          <w:r>
            <w:fldChar w:fldCharType="separate"/>
          </w:r>
          <w:r>
            <w:rPr>
              <w:rStyle w:val="24"/>
              <w:rFonts w:cs="Times New Roman"/>
            </w:rPr>
            <w:t>第十章 坚持生态优先、绿色发展，打造绿色崛起先行地</w:t>
          </w:r>
          <w:r>
            <w:tab/>
          </w:r>
          <w:r>
            <w:fldChar w:fldCharType="begin"/>
          </w:r>
          <w:r>
            <w:instrText xml:space="preserve"> PAGEREF _Toc72403427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"_Toc72403428" </w:instrText>
          </w:r>
          <w:r>
            <w:fldChar w:fldCharType="separate"/>
          </w:r>
          <w:r>
            <w:rPr>
              <w:rStyle w:val="24"/>
              <w:rFonts w:cs="Times New Roman"/>
              <w:kern w:val="0"/>
            </w:rPr>
            <w:t>第一节 强化生态空间管控</w:t>
          </w:r>
          <w:r>
            <w:tab/>
          </w:r>
          <w:r>
            <w:fldChar w:fldCharType="begin"/>
          </w:r>
          <w:r>
            <w:instrText xml:space="preserve"> PAGEREF _Toc72403428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"_Toc72403429" </w:instrText>
          </w:r>
          <w:r>
            <w:fldChar w:fldCharType="separate"/>
          </w:r>
          <w:r>
            <w:rPr>
              <w:rStyle w:val="24"/>
              <w:rFonts w:cs="Times New Roman"/>
              <w:kern w:val="0"/>
            </w:rPr>
            <w:t>第二节 打造“天蓝地绿水清”之城</w:t>
          </w:r>
          <w:r>
            <w:tab/>
          </w:r>
          <w:r>
            <w:fldChar w:fldCharType="begin"/>
          </w:r>
          <w:r>
            <w:instrText xml:space="preserve"> PAGEREF _Toc72403429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"_Toc72403430" </w:instrText>
          </w:r>
          <w:r>
            <w:fldChar w:fldCharType="separate"/>
          </w:r>
          <w:r>
            <w:rPr>
              <w:rStyle w:val="24"/>
              <w:rFonts w:cs="Times New Roman"/>
              <w:kern w:val="0"/>
            </w:rPr>
            <w:t>第三节 促进生产生活绿色化转型</w:t>
          </w:r>
          <w:r>
            <w:tab/>
          </w:r>
          <w:r>
            <w:fldChar w:fldCharType="begin"/>
          </w:r>
          <w:r>
            <w:instrText xml:space="preserve"> PAGEREF _Toc72403430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"_Toc72403431" </w:instrText>
          </w:r>
          <w:r>
            <w:fldChar w:fldCharType="separate"/>
          </w:r>
          <w:r>
            <w:rPr>
              <w:rStyle w:val="24"/>
              <w:rFonts w:cs="Times New Roman"/>
            </w:rPr>
            <w:t>第十一章 聚焦推进共同富裕，共创幸福美好生活</w:t>
          </w:r>
          <w:r>
            <w:tab/>
          </w:r>
          <w:r>
            <w:fldChar w:fldCharType="begin"/>
          </w:r>
          <w:r>
            <w:instrText xml:space="preserve"> PAGEREF _Toc72403431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"_Toc72403432" </w:instrText>
          </w:r>
          <w:r>
            <w:fldChar w:fldCharType="separate"/>
          </w:r>
          <w:r>
            <w:rPr>
              <w:rStyle w:val="24"/>
              <w:rFonts w:cs="Times New Roman"/>
              <w:kern w:val="0"/>
            </w:rPr>
            <w:t>第一节 落实教育优先发展战略</w:t>
          </w:r>
          <w:r>
            <w:tab/>
          </w:r>
          <w:r>
            <w:fldChar w:fldCharType="begin"/>
          </w:r>
          <w:r>
            <w:instrText xml:space="preserve"> PAGEREF _Toc72403432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"_Toc72403433" </w:instrText>
          </w:r>
          <w:r>
            <w:fldChar w:fldCharType="separate"/>
          </w:r>
          <w:r>
            <w:rPr>
              <w:rStyle w:val="24"/>
              <w:rFonts w:cs="Times New Roman"/>
              <w:kern w:val="0"/>
            </w:rPr>
            <w:t>第二节 推进卫生强区建设</w:t>
          </w:r>
          <w:r>
            <w:tab/>
          </w:r>
          <w:r>
            <w:fldChar w:fldCharType="begin"/>
          </w:r>
          <w:r>
            <w:instrText xml:space="preserve"> PAGEREF _Toc72403433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"_Toc72403434" </w:instrText>
          </w:r>
          <w:r>
            <w:fldChar w:fldCharType="separate"/>
          </w:r>
          <w:r>
            <w:rPr>
              <w:rStyle w:val="24"/>
              <w:rFonts w:cs="Times New Roman"/>
              <w:kern w:val="0"/>
            </w:rPr>
            <w:t>第三节 繁荣发展文体事业</w:t>
          </w:r>
          <w:r>
            <w:tab/>
          </w:r>
          <w:r>
            <w:fldChar w:fldCharType="begin"/>
          </w:r>
          <w:r>
            <w:instrText xml:space="preserve"> PAGEREF _Toc72403434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"_Toc72403435" </w:instrText>
          </w:r>
          <w:r>
            <w:fldChar w:fldCharType="separate"/>
          </w:r>
          <w:r>
            <w:rPr>
              <w:rStyle w:val="24"/>
              <w:rFonts w:cs="Times New Roman"/>
              <w:kern w:val="0"/>
            </w:rPr>
            <w:t>第四节 积极应对人口老龄化</w:t>
          </w:r>
          <w:r>
            <w:tab/>
          </w:r>
          <w:r>
            <w:fldChar w:fldCharType="begin"/>
          </w:r>
          <w:r>
            <w:instrText xml:space="preserve"> PAGEREF _Toc72403435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"_Toc72403436" </w:instrText>
          </w:r>
          <w:r>
            <w:fldChar w:fldCharType="separate"/>
          </w:r>
          <w:r>
            <w:rPr>
              <w:rStyle w:val="24"/>
              <w:rFonts w:cs="Times New Roman"/>
              <w:kern w:val="0"/>
            </w:rPr>
            <w:t>第五节 健全多层次社会保障体系</w:t>
          </w:r>
          <w:r>
            <w:tab/>
          </w:r>
          <w:r>
            <w:fldChar w:fldCharType="begin"/>
          </w:r>
          <w:r>
            <w:instrText xml:space="preserve"> PAGEREF _Toc72403436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"_Toc72403437" </w:instrText>
          </w:r>
          <w:r>
            <w:fldChar w:fldCharType="separate"/>
          </w:r>
          <w:r>
            <w:rPr>
              <w:rStyle w:val="24"/>
              <w:rFonts w:cs="Times New Roman"/>
            </w:rPr>
            <w:t>第十二章 统筹发展和安全，建设更高水平的平安云安</w:t>
          </w:r>
          <w:r>
            <w:tab/>
          </w:r>
          <w:r>
            <w:fldChar w:fldCharType="begin"/>
          </w:r>
          <w:r>
            <w:instrText xml:space="preserve"> PAGEREF _Toc72403437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"_Toc72403438" </w:instrText>
          </w:r>
          <w:r>
            <w:fldChar w:fldCharType="separate"/>
          </w:r>
          <w:r>
            <w:rPr>
              <w:rStyle w:val="24"/>
              <w:rFonts w:cs="Times New Roman"/>
              <w:kern w:val="0"/>
            </w:rPr>
            <w:t>第一节 全面加强平安云安建设</w:t>
          </w:r>
          <w:r>
            <w:tab/>
          </w:r>
          <w:r>
            <w:fldChar w:fldCharType="begin"/>
          </w:r>
          <w:r>
            <w:instrText xml:space="preserve"> PAGEREF _Toc72403438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"_Toc72403439" </w:instrText>
          </w:r>
          <w:r>
            <w:fldChar w:fldCharType="separate"/>
          </w:r>
          <w:r>
            <w:rPr>
              <w:rStyle w:val="24"/>
              <w:rFonts w:cs="Times New Roman"/>
              <w:kern w:val="0"/>
            </w:rPr>
            <w:t>第二节 全面推进法治云安建设</w:t>
          </w:r>
          <w:r>
            <w:tab/>
          </w:r>
          <w:r>
            <w:fldChar w:fldCharType="begin"/>
          </w:r>
          <w:r>
            <w:instrText xml:space="preserve"> PAGEREF _Toc72403439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"_Toc72403440" </w:instrText>
          </w:r>
          <w:r>
            <w:fldChar w:fldCharType="separate"/>
          </w:r>
          <w:r>
            <w:rPr>
              <w:rStyle w:val="24"/>
              <w:rFonts w:cs="Times New Roman"/>
              <w:kern w:val="0"/>
            </w:rPr>
            <w:t>第三节 推进市域社会治理现代化</w:t>
          </w:r>
          <w:r>
            <w:tab/>
          </w:r>
          <w:r>
            <w:fldChar w:fldCharType="begin"/>
          </w:r>
          <w:r>
            <w:instrText xml:space="preserve"> PAGEREF _Toc72403440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"_Toc72403441" </w:instrText>
          </w:r>
          <w:r>
            <w:fldChar w:fldCharType="separate"/>
          </w:r>
          <w:r>
            <w:rPr>
              <w:rStyle w:val="24"/>
              <w:rFonts w:cs="Times New Roman"/>
              <w:kern w:val="0"/>
            </w:rPr>
            <w:t>第四节 健全应急管理体制机制</w:t>
          </w:r>
          <w:r>
            <w:tab/>
          </w:r>
          <w:r>
            <w:fldChar w:fldCharType="begin"/>
          </w:r>
          <w:r>
            <w:instrText xml:space="preserve"> PAGEREF _Toc72403441 \h </w:instrText>
          </w:r>
          <w:r>
            <w:fldChar w:fldCharType="separate"/>
          </w:r>
          <w:r>
            <w:t>2</w:t>
          </w:r>
          <w:r>
            <w:fldChar w:fldCharType="end"/>
          </w:r>
          <w:r>
            <w:fldChar w:fldCharType="end"/>
          </w:r>
        </w:p>
        <w:p>
          <w:pPr>
            <w:pStyle w:val="16"/>
            <w:rPr>
              <w:rFonts w:eastAsiaTheme="minorEastAsia"/>
              <w:sz w:val="21"/>
              <w:szCs w:val="22"/>
            </w:rPr>
          </w:pPr>
          <w:r>
            <w:fldChar w:fldCharType="begin"/>
          </w:r>
          <w:r>
            <w:instrText xml:space="preserve"> HYPERLINK \l "_Toc72403442" </w:instrText>
          </w:r>
          <w:r>
            <w:fldChar w:fldCharType="separate"/>
          </w:r>
          <w:r>
            <w:rPr>
              <w:rStyle w:val="24"/>
              <w:rFonts w:cs="Times New Roman"/>
            </w:rPr>
            <w:t>第十三章 健全规划实施机制，保障实现发展蓝图</w:t>
          </w:r>
          <w:r>
            <w:tab/>
          </w:r>
          <w:r>
            <w:fldChar w:fldCharType="begin"/>
          </w:r>
          <w:r>
            <w:instrText xml:space="preserve"> PAGEREF _Toc72403442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"_Toc72403443" </w:instrText>
          </w:r>
          <w:r>
            <w:fldChar w:fldCharType="separate"/>
          </w:r>
          <w:r>
            <w:rPr>
              <w:rStyle w:val="24"/>
              <w:rFonts w:cs="Times New Roman"/>
              <w:kern w:val="0"/>
            </w:rPr>
            <w:t>第一节 加强组织领导</w:t>
          </w:r>
          <w:r>
            <w:tab/>
          </w:r>
          <w:r>
            <w:fldChar w:fldCharType="begin"/>
          </w:r>
          <w:r>
            <w:instrText xml:space="preserve"> PAGEREF _Toc72403443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"_Toc72403444" </w:instrText>
          </w:r>
          <w:r>
            <w:fldChar w:fldCharType="separate"/>
          </w:r>
          <w:r>
            <w:rPr>
              <w:rStyle w:val="24"/>
              <w:rFonts w:cs="Times New Roman"/>
              <w:kern w:val="0"/>
            </w:rPr>
            <w:t>第二节 完善政策保障</w:t>
          </w:r>
          <w:r>
            <w:tab/>
          </w:r>
          <w:r>
            <w:fldChar w:fldCharType="begin"/>
          </w:r>
          <w:r>
            <w:instrText xml:space="preserve"> PAGEREF _Toc72403444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"_Toc72403445" </w:instrText>
          </w:r>
          <w:r>
            <w:fldChar w:fldCharType="separate"/>
          </w:r>
          <w:r>
            <w:rPr>
              <w:rStyle w:val="24"/>
              <w:rFonts w:cs="Times New Roman"/>
              <w:kern w:val="0"/>
            </w:rPr>
            <w:t>第三节 加大资金投入</w:t>
          </w:r>
          <w:r>
            <w:tab/>
          </w:r>
          <w:r>
            <w:fldChar w:fldCharType="begin"/>
          </w:r>
          <w:r>
            <w:instrText xml:space="preserve"> PAGEREF _Toc72403445 \h </w:instrText>
          </w:r>
          <w:r>
            <w:fldChar w:fldCharType="separate"/>
          </w:r>
          <w:r>
            <w:t>2</w:t>
          </w:r>
          <w:r>
            <w:fldChar w:fldCharType="end"/>
          </w:r>
          <w:r>
            <w:fldChar w:fldCharType="end"/>
          </w:r>
        </w:p>
        <w:p>
          <w:pPr>
            <w:pStyle w:val="17"/>
            <w:ind w:left="420"/>
            <w:rPr>
              <w:rFonts w:eastAsiaTheme="minorEastAsia"/>
              <w:sz w:val="21"/>
              <w:szCs w:val="22"/>
            </w:rPr>
          </w:pPr>
          <w:r>
            <w:fldChar w:fldCharType="begin"/>
          </w:r>
          <w:r>
            <w:instrText xml:space="preserve"> HYPERLINK \l "_Toc72403446" </w:instrText>
          </w:r>
          <w:r>
            <w:fldChar w:fldCharType="separate"/>
          </w:r>
          <w:r>
            <w:rPr>
              <w:rStyle w:val="24"/>
              <w:rFonts w:cs="Times New Roman"/>
              <w:kern w:val="0"/>
            </w:rPr>
            <w:t>第四节 注重规划衔接</w:t>
          </w:r>
          <w:r>
            <w:tab/>
          </w:r>
          <w:r>
            <w:fldChar w:fldCharType="begin"/>
          </w:r>
          <w:r>
            <w:instrText xml:space="preserve"> PAGEREF _Toc72403446 \h </w:instrText>
          </w:r>
          <w:r>
            <w:fldChar w:fldCharType="separate"/>
          </w:r>
          <w:r>
            <w:t>2</w:t>
          </w:r>
          <w:r>
            <w:fldChar w:fldCharType="end"/>
          </w:r>
          <w:r>
            <w:fldChar w:fldCharType="end"/>
          </w:r>
        </w:p>
        <w:p>
          <w:pPr>
            <w:spacing w:line="600" w:lineRule="exact"/>
            <w:rPr>
              <w:rFonts w:ascii="Times New Roman" w:hAnsi="Times New Roman"/>
              <w:sz w:val="28"/>
              <w:szCs w:val="28"/>
            </w:rPr>
            <w:sectPr>
              <w:pgSz w:w="11906" w:h="16838"/>
              <w:pgMar w:top="1418" w:right="1588" w:bottom="1418" w:left="1588" w:header="851" w:footer="992" w:gutter="0"/>
              <w:cols w:space="425" w:num="1"/>
              <w:docGrid w:type="lines" w:linePitch="600" w:charSpace="0"/>
            </w:sectPr>
          </w:pPr>
          <w:r>
            <w:rPr>
              <w:rFonts w:ascii="Times New Roman" w:hAnsi="Times New Roman" w:eastAsia="楷体"/>
              <w:sz w:val="22"/>
            </w:rPr>
            <w:fldChar w:fldCharType="end"/>
          </w:r>
        </w:p>
      </w:sdtContent>
    </w:sdt>
    <w:p>
      <w:pPr>
        <w:pStyle w:val="11"/>
        <w:spacing w:line="600" w:lineRule="exact"/>
        <w:ind w:firstLine="640"/>
        <w:rPr>
          <w:rFonts w:ascii="Times New Roman" w:hAnsi="Times New Roman" w:cs="仿宋_GB2312"/>
          <w:b/>
          <w:bCs/>
          <w:szCs w:val="32"/>
        </w:rPr>
      </w:pPr>
      <w:bookmarkStart w:id="0" w:name="_Toc56537368"/>
      <w:r>
        <w:rPr>
          <w:rFonts w:hint="eastAsia" w:ascii="Times New Roman" w:hAnsi="Times New Roman" w:cs="仿宋_GB2312"/>
          <w:szCs w:val="32"/>
        </w:rPr>
        <w:t>本规划纲要根据党的十九届五中全会精神、广东省委十二届十二次全会、云浮市委六届九次全会精神和《中共云浮市云安区委关于制定国民经济和社会发展第十四个五年规划和二Ο三五年远景目标的建议》编制，主要明确“十四五”时期云安经济社会发展的主要目标、重点任务和重大项目，是未来五年全区人民共同奋斗的行动纲领，对于推进我区全域融湾发展，全面推动</w:t>
      </w:r>
      <w:bookmarkStart w:id="1" w:name="_Hlk53153244"/>
      <w:r>
        <w:rPr>
          <w:rFonts w:hint="eastAsia" w:ascii="Times New Roman" w:hAnsi="Times New Roman" w:cs="仿宋_GB2312"/>
          <w:szCs w:val="32"/>
        </w:rPr>
        <w:t>“十四五”时期</w:t>
      </w:r>
      <w:bookmarkEnd w:id="1"/>
      <w:r>
        <w:rPr>
          <w:rFonts w:hint="eastAsia" w:ascii="Times New Roman" w:hAnsi="Times New Roman" w:cs="仿宋_GB2312"/>
          <w:szCs w:val="32"/>
        </w:rPr>
        <w:t>经济社会高质量发展，具有十分重要的意义。</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2" w:name="_Toc70518079"/>
      <w:bookmarkStart w:id="3" w:name="_Toc72403387"/>
      <w:r>
        <w:rPr>
          <w:rFonts w:hint="eastAsia" w:ascii="Times New Roman" w:hAnsi="Times New Roman" w:eastAsia="黑体" w:cs="Times New Roman"/>
          <w:b w:val="0"/>
          <w:bCs w:val="0"/>
          <w:sz w:val="32"/>
          <w:szCs w:val="32"/>
        </w:rPr>
        <w:t>第一章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发展基础和发展环境</w:t>
      </w:r>
      <w:bookmarkEnd w:id="0"/>
      <w:bookmarkEnd w:id="2"/>
      <w:bookmarkEnd w:id="3"/>
    </w:p>
    <w:p>
      <w:pPr>
        <w:pStyle w:val="11"/>
        <w:spacing w:line="600" w:lineRule="exact"/>
        <w:ind w:firstLine="640"/>
        <w:rPr>
          <w:rFonts w:ascii="Times New Roman" w:hAnsi="Times New Roman" w:cs="仿宋_GB2312"/>
          <w:szCs w:val="32"/>
        </w:rPr>
      </w:pPr>
      <w:r>
        <w:rPr>
          <w:rFonts w:hint="eastAsia" w:ascii="Times New Roman" w:hAnsi="Times New Roman" w:cs="仿宋_GB2312"/>
          <w:szCs w:val="32"/>
        </w:rPr>
        <w:t>“十三五”时期，在以习近平同志为核心的党中央坚强领导下，云安区委切实增强“四个意识”、坚定“四个自信”、做到“两个维护”，统筹推进“五位一体”总体布局，协调推进“四个全面”战略布局，团结带领全区党员干部群众深入贯彻落实习近平总书记对广东系列重要讲话和重要指示批示精神及省委省政府、市委市政府决策部署，主动应对新冠肺炎疫情等重大风险挑战和内外严峻复杂的改革发展形势任务，“十三五”规划目标任务基本完成，决胜全面建成小康社会取得决定性成就。</w:t>
      </w:r>
    </w:p>
    <w:p>
      <w:pPr>
        <w:adjustRightInd w:val="0"/>
        <w:snapToGrid w:val="0"/>
        <w:spacing w:before="100" w:after="100" w:line="600" w:lineRule="exact"/>
        <w:jc w:val="center"/>
        <w:outlineLvl w:val="1"/>
        <w:rPr>
          <w:rFonts w:ascii="Times New Roman" w:hAnsi="Times New Roman" w:eastAsia="楷体_GB2312" w:cs="Times New Roman"/>
          <w:kern w:val="0"/>
        </w:rPr>
      </w:pPr>
      <w:bookmarkStart w:id="4" w:name="_Toc56537369"/>
      <w:bookmarkStart w:id="5" w:name="_Toc72403388"/>
      <w:bookmarkStart w:id="6" w:name="_Toc70518080"/>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发展基础</w:t>
      </w:r>
      <w:bookmarkEnd w:id="4"/>
      <w:bookmarkEnd w:id="5"/>
      <w:bookmarkEnd w:id="6"/>
    </w:p>
    <w:p>
      <w:pPr>
        <w:pStyle w:val="11"/>
        <w:spacing w:line="600" w:lineRule="exact"/>
        <w:ind w:firstLine="643"/>
        <w:rPr>
          <w:rFonts w:ascii="Times New Roman" w:hAnsi="Times New Roman" w:cs="仿宋_GB2312"/>
          <w:szCs w:val="32"/>
        </w:rPr>
      </w:pPr>
      <w:bookmarkStart w:id="7" w:name="_Toc56537370"/>
      <w:r>
        <w:rPr>
          <w:rFonts w:hint="eastAsia" w:ascii="Times New Roman" w:hAnsi="Times New Roman" w:cs="仿宋_GB2312"/>
          <w:b/>
          <w:bCs/>
          <w:szCs w:val="32"/>
        </w:rPr>
        <w:t>经济发展稳中向好</w:t>
      </w:r>
      <w:bookmarkEnd w:id="7"/>
      <w:r>
        <w:rPr>
          <w:rFonts w:hint="eastAsia" w:ascii="Times New Roman" w:hAnsi="Times New Roman" w:cs="仿宋_GB2312"/>
          <w:b/>
          <w:bCs/>
          <w:szCs w:val="32"/>
        </w:rPr>
        <w:t>。</w:t>
      </w:r>
      <w:r>
        <w:rPr>
          <w:rFonts w:hint="eastAsia" w:ascii="Times New Roman" w:hAnsi="Times New Roman" w:cs="仿宋_GB2312"/>
          <w:szCs w:val="32"/>
        </w:rPr>
        <w:t>“十三五”时期，云安区各项经济指标运行良好，保持平稳发展态势。全区生产总值由</w:t>
      </w:r>
      <w:r>
        <w:rPr>
          <w:rFonts w:ascii="Times New Roman" w:hAnsi="Times New Roman" w:cs="仿宋_GB2312"/>
          <w:szCs w:val="32"/>
        </w:rPr>
        <w:t>201</w:t>
      </w:r>
      <w:r>
        <w:rPr>
          <w:rFonts w:hint="eastAsia" w:ascii="Times New Roman" w:hAnsi="Times New Roman" w:cs="仿宋_GB2312"/>
          <w:szCs w:val="32"/>
        </w:rPr>
        <w:t>5年的76.13亿元增至2020年的</w:t>
      </w:r>
      <w:r>
        <w:rPr>
          <w:rFonts w:ascii="Times New Roman" w:hAnsi="Times New Roman" w:cs="仿宋_GB2312"/>
          <w:szCs w:val="32"/>
        </w:rPr>
        <w:t>109.71</w:t>
      </w:r>
      <w:r>
        <w:rPr>
          <w:rFonts w:hint="eastAsia" w:ascii="Times New Roman" w:hAnsi="Times New Roman" w:cs="仿宋_GB2312"/>
          <w:szCs w:val="32"/>
        </w:rPr>
        <w:t>亿元，突破百亿大关，年均增长5.8</w:t>
      </w:r>
      <w:r>
        <w:rPr>
          <w:rFonts w:ascii="Times New Roman" w:hAnsi="Times New Roman" w:cs="仿宋_GB2312"/>
          <w:szCs w:val="32"/>
        </w:rPr>
        <w:t>%</w:t>
      </w:r>
      <w:r>
        <w:rPr>
          <w:rFonts w:hint="eastAsia" w:ascii="Times New Roman" w:hAnsi="Times New Roman" w:cs="仿宋_GB2312"/>
          <w:szCs w:val="32"/>
        </w:rPr>
        <w:t>，增速位居全市前列。社会消费品零售总额由</w:t>
      </w:r>
      <w:r>
        <w:rPr>
          <w:rFonts w:ascii="Times New Roman" w:hAnsi="Times New Roman" w:cs="仿宋_GB2312"/>
          <w:szCs w:val="32"/>
        </w:rPr>
        <w:t>2015</w:t>
      </w:r>
      <w:r>
        <w:rPr>
          <w:rFonts w:hint="eastAsia" w:ascii="Times New Roman" w:hAnsi="Times New Roman" w:cs="仿宋_GB2312"/>
          <w:szCs w:val="32"/>
        </w:rPr>
        <w:t>年的14.25</w:t>
      </w:r>
      <w:r>
        <w:rPr>
          <w:rFonts w:ascii="Times New Roman" w:hAnsi="Times New Roman" w:cs="仿宋_GB2312"/>
          <w:szCs w:val="32"/>
        </w:rPr>
        <w:t>亿元</w:t>
      </w:r>
      <w:r>
        <w:rPr>
          <w:rFonts w:hint="eastAsia" w:ascii="Times New Roman" w:hAnsi="Times New Roman" w:cs="仿宋_GB2312"/>
          <w:szCs w:val="32"/>
        </w:rPr>
        <w:t>增至2020年的18.6亿元，年均增长5.5</w:t>
      </w:r>
      <w:r>
        <w:rPr>
          <w:rFonts w:ascii="Times New Roman" w:hAnsi="Times New Roman" w:cs="仿宋_GB2312"/>
          <w:szCs w:val="32"/>
        </w:rPr>
        <w:t>%</w:t>
      </w:r>
      <w:r>
        <w:rPr>
          <w:rFonts w:hint="eastAsia" w:ascii="Times New Roman" w:hAnsi="Times New Roman" w:cs="仿宋_GB2312"/>
          <w:szCs w:val="32"/>
        </w:rPr>
        <w:t>。全社会固定资产投资年均增长</w:t>
      </w:r>
      <w:r>
        <w:rPr>
          <w:rFonts w:ascii="Times New Roman" w:hAnsi="Times New Roman" w:cs="仿宋_GB2312"/>
          <w:szCs w:val="32"/>
        </w:rPr>
        <w:t>7.9%</w:t>
      </w:r>
      <w:r>
        <w:rPr>
          <w:rFonts w:hint="eastAsia" w:ascii="Times New Roman" w:hAnsi="Times New Roman" w:cs="仿宋_GB2312"/>
          <w:szCs w:val="32"/>
        </w:rPr>
        <w:t>，地方一般公共预算收入突破五亿大关。三次产业结构比例调整为</w:t>
      </w:r>
      <w:r>
        <w:rPr>
          <w:rFonts w:ascii="Times New Roman" w:hAnsi="Times New Roman" w:cs="仿宋_GB2312"/>
          <w:szCs w:val="32"/>
        </w:rPr>
        <w:t>14.06:50.81:35.12</w:t>
      </w:r>
      <w:r>
        <w:rPr>
          <w:rFonts w:hint="eastAsia" w:ascii="Times New Roman" w:hAnsi="Times New Roman" w:cs="仿宋_GB2312"/>
          <w:szCs w:val="32"/>
        </w:rPr>
        <w:t>，产业结构不断优化。工业发展稳中向好，规模以上工业增加值年均增长</w:t>
      </w:r>
      <w:r>
        <w:rPr>
          <w:rFonts w:ascii="Times New Roman" w:hAnsi="Times New Roman" w:cs="仿宋_GB2312"/>
          <w:szCs w:val="32"/>
        </w:rPr>
        <w:t>6.</w:t>
      </w:r>
      <w:r>
        <w:rPr>
          <w:rFonts w:hint="eastAsia" w:ascii="Times New Roman" w:hAnsi="Times New Roman" w:cs="仿宋_GB2312"/>
          <w:szCs w:val="32"/>
        </w:rPr>
        <w:t>5</w:t>
      </w:r>
      <w:r>
        <w:rPr>
          <w:rFonts w:ascii="Times New Roman" w:hAnsi="Times New Roman" w:cs="仿宋_GB2312"/>
          <w:szCs w:val="32"/>
        </w:rPr>
        <w:t>%</w:t>
      </w:r>
      <w:r>
        <w:rPr>
          <w:rFonts w:hint="eastAsia" w:ascii="Times New Roman" w:hAnsi="Times New Roman" w:cs="仿宋_GB2312"/>
          <w:szCs w:val="32"/>
        </w:rPr>
        <w:t>。现代农业加快发展，农林牧渔业总产值由</w:t>
      </w:r>
      <w:r>
        <w:rPr>
          <w:rFonts w:ascii="Times New Roman" w:hAnsi="Times New Roman" w:cs="仿宋_GB2312"/>
          <w:szCs w:val="32"/>
        </w:rPr>
        <w:t>201</w:t>
      </w:r>
      <w:r>
        <w:rPr>
          <w:rFonts w:hint="eastAsia" w:ascii="Times New Roman" w:hAnsi="Times New Roman" w:cs="仿宋_GB2312"/>
          <w:szCs w:val="32"/>
        </w:rPr>
        <w:t>5年的14.86亿元增至2020年的</w:t>
      </w:r>
      <w:r>
        <w:rPr>
          <w:rFonts w:ascii="Times New Roman" w:hAnsi="Times New Roman" w:cs="仿宋_GB2312"/>
          <w:szCs w:val="32"/>
        </w:rPr>
        <w:t>23.12</w:t>
      </w:r>
      <w:r>
        <w:rPr>
          <w:rFonts w:hint="eastAsia" w:ascii="Times New Roman" w:hAnsi="Times New Roman" w:cs="仿宋_GB2312"/>
          <w:szCs w:val="32"/>
        </w:rPr>
        <w:t>亿元，年均增长3.7</w:t>
      </w:r>
      <w:r>
        <w:rPr>
          <w:rFonts w:ascii="Times New Roman" w:hAnsi="Times New Roman" w:cs="仿宋_GB2312"/>
          <w:szCs w:val="32"/>
        </w:rPr>
        <w:t>%</w:t>
      </w:r>
      <w:r>
        <w:rPr>
          <w:rFonts w:hint="eastAsia" w:ascii="Times New Roman" w:hAnsi="Times New Roman" w:cs="仿宋_GB2312"/>
          <w:szCs w:val="32"/>
        </w:rPr>
        <w:t>。</w:t>
      </w:r>
      <w:bookmarkStart w:id="8" w:name="_Toc56537371"/>
      <w:r>
        <w:rPr>
          <w:rFonts w:hint="eastAsia" w:ascii="Times New Roman" w:hAnsi="Times New Roman" w:cs="仿宋_GB2312"/>
          <w:szCs w:val="32"/>
        </w:rPr>
        <w:t>现代服务业快速发展，第三产业增加值由2015年的21.43亿元增至2020年的38.53亿元，年均增长8.4%。</w:t>
      </w:r>
    </w:p>
    <w:p>
      <w:pPr>
        <w:pStyle w:val="11"/>
        <w:spacing w:line="600" w:lineRule="exact"/>
        <w:ind w:firstLine="643"/>
        <w:rPr>
          <w:rFonts w:ascii="Times New Roman" w:hAnsi="Times New Roman"/>
          <w:kern w:val="21"/>
          <w:szCs w:val="32"/>
          <w:lang w:val="zh-CN"/>
        </w:rPr>
      </w:pPr>
      <w:r>
        <w:rPr>
          <w:rFonts w:hint="eastAsia" w:ascii="Times New Roman" w:hAnsi="Times New Roman" w:cs="仿宋_GB2312"/>
          <w:b/>
          <w:bCs/>
          <w:szCs w:val="32"/>
        </w:rPr>
        <w:t>产业发展卓有成效</w:t>
      </w:r>
      <w:bookmarkEnd w:id="8"/>
      <w:r>
        <w:rPr>
          <w:rFonts w:hint="eastAsia" w:ascii="Times New Roman" w:hAnsi="Times New Roman" w:cs="仿宋_GB2312"/>
          <w:b/>
          <w:bCs/>
          <w:szCs w:val="32"/>
        </w:rPr>
        <w:t>。</w:t>
      </w:r>
      <w:r>
        <w:rPr>
          <w:rFonts w:hint="eastAsia" w:ascii="Times New Roman" w:hAnsi="Times New Roman" w:cs="仿宋_GB2312"/>
          <w:szCs w:val="32"/>
        </w:rPr>
        <w:t>工业发展质量不断提升，</w:t>
      </w:r>
      <w:r>
        <w:rPr>
          <w:rFonts w:ascii="Times New Roman" w:hAnsi="Times New Roman" w:cs="仿宋_GB2312"/>
          <w:szCs w:val="32"/>
        </w:rPr>
        <w:t>20</w:t>
      </w:r>
      <w:r>
        <w:rPr>
          <w:rFonts w:hint="eastAsia" w:ascii="Times New Roman" w:hAnsi="Times New Roman" w:cs="仿宋_GB2312"/>
          <w:szCs w:val="32"/>
        </w:rPr>
        <w:t>20年全区规模以上工业增加值增长8.4</w:t>
      </w:r>
      <w:r>
        <w:rPr>
          <w:rFonts w:ascii="Times New Roman" w:hAnsi="Times New Roman" w:cs="仿宋_GB2312"/>
          <w:szCs w:val="32"/>
        </w:rPr>
        <w:t>%</w:t>
      </w:r>
      <w:r>
        <w:rPr>
          <w:rFonts w:hint="eastAsia" w:ascii="Times New Roman" w:hAnsi="Times New Roman" w:cs="仿宋_GB2312"/>
          <w:szCs w:val="32"/>
        </w:rPr>
        <w:t>，增速在全市排名第二。传统产业加速转型升级，水泥、硫化工和石材三大传统支柱产业占全区规模以上工业总产值比重达51</w:t>
      </w:r>
      <w:r>
        <w:rPr>
          <w:rFonts w:ascii="Times New Roman" w:hAnsi="Times New Roman" w:cs="仿宋_GB2312"/>
          <w:szCs w:val="32"/>
        </w:rPr>
        <w:t>%</w:t>
      </w:r>
      <w:r>
        <w:rPr>
          <w:rFonts w:hint="eastAsia" w:ascii="Times New Roman" w:hAnsi="Times New Roman" w:cs="仿宋_GB2312"/>
          <w:szCs w:val="32"/>
        </w:rPr>
        <w:t>，水泥产业税收同比增长25.6</w:t>
      </w:r>
      <w:r>
        <w:rPr>
          <w:rFonts w:ascii="Times New Roman" w:hAnsi="Times New Roman" w:cs="仿宋_GB2312"/>
          <w:szCs w:val="32"/>
        </w:rPr>
        <w:t>%</w:t>
      </w:r>
      <w:r>
        <w:rPr>
          <w:rFonts w:hint="eastAsia" w:ascii="Times New Roman" w:hAnsi="Times New Roman" w:cs="仿宋_GB2312"/>
          <w:szCs w:val="32"/>
        </w:rPr>
        <w:t>，惠云钛业成为云浮市第二家、云安区首家本土上市企业。新兴产业加快培育，绿色日化、绿色建材、新材料企业加速集聚，日化产品工业城、中云石海石材产业城有序推进。钢铁及金属加工产业实现突破，成功引入投资超</w:t>
      </w:r>
      <w:r>
        <w:rPr>
          <w:rFonts w:ascii="Times New Roman" w:hAnsi="Times New Roman" w:cs="仿宋_GB2312"/>
          <w:szCs w:val="32"/>
        </w:rPr>
        <w:t>100</w:t>
      </w:r>
      <w:r>
        <w:rPr>
          <w:rFonts w:hint="eastAsia" w:ascii="Times New Roman" w:hAnsi="Times New Roman" w:cs="仿宋_GB2312"/>
          <w:szCs w:val="32"/>
        </w:rPr>
        <w:t>亿的珠江钢管项目。以汽车零部件为主导的智能制造产业飞速发展，</w:t>
      </w:r>
      <w:r>
        <w:rPr>
          <w:rFonts w:hint="eastAsia" w:ascii="Times New Roman" w:hAnsi="Times New Roman"/>
        </w:rPr>
        <w:t>规上工业总产值占新区比重近六成，</w:t>
      </w:r>
      <w:r>
        <w:rPr>
          <w:rFonts w:hint="eastAsia" w:ascii="Times New Roman" w:hAnsi="Times New Roman" w:cs="仿宋_GB2312"/>
          <w:szCs w:val="32"/>
        </w:rPr>
        <w:t>已成为新区</w:t>
      </w:r>
      <w:r>
        <w:rPr>
          <w:rFonts w:hint="eastAsia" w:ascii="Times New Roman" w:hAnsi="Times New Roman"/>
        </w:rPr>
        <w:t>优势产业。</w:t>
      </w:r>
      <w:r>
        <w:rPr>
          <w:rFonts w:ascii="Times New Roman" w:hAnsi="Times New Roman"/>
        </w:rPr>
        <w:t>信息技术应用创新产业</w:t>
      </w:r>
      <w:r>
        <w:rPr>
          <w:rFonts w:hint="eastAsia" w:ascii="Times New Roman" w:hAnsi="Times New Roman"/>
        </w:rPr>
        <w:t>起步发展，省市共建信息技术应用创新产业园（以下简称信创园）成为广东省首个信创产业园、云浮市唯一信创产业基地。产业园区提质增效加快，云安区产业园（南园）、新区万洋众创城、智能制造产业园等重点项目加速推进。旅游业发展前景广阔，</w:t>
      </w:r>
      <w:r>
        <w:rPr>
          <w:rFonts w:hint="eastAsia" w:ascii="Times New Roman" w:hAnsi="Times New Roman"/>
          <w:kern w:val="21"/>
          <w:szCs w:val="32"/>
          <w:lang w:val="zh-CN"/>
        </w:rPr>
        <w:t>《云浮市云安区全域旅游发展总体规划（</w:t>
      </w:r>
      <w:r>
        <w:rPr>
          <w:rFonts w:ascii="Times New Roman" w:hAnsi="Times New Roman"/>
          <w:kern w:val="21"/>
          <w:szCs w:val="32"/>
          <w:lang w:val="zh-CN"/>
        </w:rPr>
        <w:t>2020</w:t>
      </w:r>
      <w:r>
        <w:rPr>
          <w:rFonts w:hint="eastAsia" w:ascii="Times New Roman" w:hAnsi="Times New Roman"/>
          <w:kern w:val="21"/>
          <w:szCs w:val="32"/>
          <w:lang w:val="zh-CN"/>
        </w:rPr>
        <w:t>年－</w:t>
      </w:r>
      <w:r>
        <w:rPr>
          <w:rFonts w:ascii="Times New Roman" w:hAnsi="Times New Roman"/>
          <w:kern w:val="21"/>
          <w:szCs w:val="32"/>
          <w:lang w:val="zh-CN"/>
        </w:rPr>
        <w:t>2030</w:t>
      </w:r>
      <w:r>
        <w:rPr>
          <w:rFonts w:hint="eastAsia" w:ascii="Times New Roman" w:hAnsi="Times New Roman"/>
          <w:kern w:val="21"/>
          <w:szCs w:val="32"/>
          <w:lang w:val="zh-CN"/>
        </w:rPr>
        <w:t>年）》正式实施，西江和云雾山绿色生态旅游项目、云浮新区樱花主题农业公园布局建设。现代农业发展初见成效，肉牛、花卉苗木</w:t>
      </w:r>
      <w:r>
        <w:rPr>
          <w:rFonts w:hint="eastAsia" w:ascii="Times New Roman" w:hAnsi="Times New Roman"/>
          <w:kern w:val="21"/>
          <w:szCs w:val="32"/>
        </w:rPr>
        <w:t>产业园</w:t>
      </w:r>
      <w:r>
        <w:rPr>
          <w:rFonts w:hint="eastAsia" w:ascii="Times New Roman" w:hAnsi="Times New Roman"/>
          <w:kern w:val="21"/>
          <w:szCs w:val="32"/>
          <w:lang w:val="zh-CN"/>
        </w:rPr>
        <w:t>成功创建省级现代农业产业园，石城镇获批国家农业产业强镇，形成“两园一强镇”格局，农业</w:t>
      </w:r>
      <w:bookmarkStart w:id="9" w:name="_Hlk62633572"/>
      <w:r>
        <w:rPr>
          <w:rFonts w:hint="eastAsia" w:ascii="Times New Roman" w:hAnsi="Times New Roman"/>
          <w:kern w:val="21"/>
          <w:szCs w:val="32"/>
          <w:lang w:val="zh-CN"/>
        </w:rPr>
        <w:t>接二连三</w:t>
      </w:r>
      <w:bookmarkEnd w:id="9"/>
      <w:r>
        <w:rPr>
          <w:rFonts w:hint="eastAsia" w:ascii="Times New Roman" w:hAnsi="Times New Roman"/>
          <w:kern w:val="21"/>
          <w:szCs w:val="32"/>
          <w:lang w:val="zh-CN"/>
        </w:rPr>
        <w:t>取得质的突破，用</w:t>
      </w:r>
      <w:r>
        <w:rPr>
          <w:rFonts w:ascii="Times New Roman" w:hAnsi="Times New Roman"/>
          <w:kern w:val="21"/>
          <w:szCs w:val="32"/>
          <w:lang w:val="zh-CN"/>
        </w:rPr>
        <w:t>20</w:t>
      </w:r>
      <w:r>
        <w:rPr>
          <w:rFonts w:hint="eastAsia" w:ascii="Times New Roman" w:hAnsi="Times New Roman"/>
          <w:kern w:val="21"/>
          <w:szCs w:val="32"/>
          <w:lang w:val="zh-CN"/>
        </w:rPr>
        <w:t>天时间引进京基智农</w:t>
      </w:r>
      <w:r>
        <w:rPr>
          <w:rFonts w:ascii="Times New Roman" w:hAnsi="Times New Roman"/>
          <w:kern w:val="21"/>
          <w:szCs w:val="32"/>
          <w:lang w:val="zh-CN"/>
        </w:rPr>
        <w:t>60</w:t>
      </w:r>
      <w:r>
        <w:rPr>
          <w:rFonts w:hint="eastAsia" w:ascii="Times New Roman" w:hAnsi="Times New Roman"/>
          <w:kern w:val="21"/>
          <w:szCs w:val="32"/>
          <w:lang w:val="zh-CN"/>
        </w:rPr>
        <w:t>亿元、</w:t>
      </w:r>
      <w:r>
        <w:rPr>
          <w:rFonts w:ascii="Times New Roman" w:hAnsi="Times New Roman"/>
          <w:kern w:val="21"/>
          <w:szCs w:val="32"/>
          <w:lang w:val="zh-CN"/>
        </w:rPr>
        <w:t>200</w:t>
      </w:r>
      <w:r>
        <w:rPr>
          <w:rFonts w:hint="eastAsia" w:ascii="Times New Roman" w:hAnsi="Times New Roman"/>
          <w:kern w:val="21"/>
          <w:szCs w:val="32"/>
          <w:lang w:val="zh-CN"/>
        </w:rPr>
        <w:t>万头生猪养殖全产业链项目落地动工，创下“云安速度”。</w:t>
      </w:r>
    </w:p>
    <w:p>
      <w:pPr>
        <w:pStyle w:val="11"/>
        <w:spacing w:line="600" w:lineRule="exact"/>
        <w:ind w:firstLine="643"/>
        <w:rPr>
          <w:rFonts w:ascii="Times New Roman" w:hAnsi="Times New Roman" w:cs="仿宋_GB2312"/>
          <w:szCs w:val="32"/>
        </w:rPr>
      </w:pPr>
      <w:bookmarkStart w:id="10" w:name="_Toc56537372"/>
      <w:r>
        <w:rPr>
          <w:rFonts w:hint="eastAsia" w:ascii="Times New Roman" w:hAnsi="Times New Roman" w:cs="仿宋_GB2312"/>
          <w:b/>
          <w:bCs/>
          <w:szCs w:val="32"/>
        </w:rPr>
        <w:t>科技创新加快实施</w:t>
      </w:r>
      <w:bookmarkEnd w:id="10"/>
      <w:r>
        <w:rPr>
          <w:rFonts w:hint="eastAsia" w:ascii="Times New Roman" w:hAnsi="Times New Roman" w:cs="仿宋_GB2312"/>
          <w:b/>
          <w:bCs/>
          <w:szCs w:val="32"/>
        </w:rPr>
        <w:t>。</w:t>
      </w:r>
      <w:r>
        <w:rPr>
          <w:rFonts w:hint="eastAsia" w:ascii="Times New Roman" w:hAnsi="Times New Roman" w:cs="仿宋_GB2312"/>
          <w:szCs w:val="32"/>
        </w:rPr>
        <w:t>成功创建省级高新区，创新平台和高新技术企业量质齐升，云浮循环经济工业园协同创新研究院获评省级新型研发机构。云安区及新区现有高新技术企业</w:t>
      </w:r>
      <w:r>
        <w:rPr>
          <w:rFonts w:ascii="Times New Roman" w:hAnsi="Times New Roman" w:cs="仿宋_GB2312"/>
          <w:szCs w:val="32"/>
        </w:rPr>
        <w:t>1</w:t>
      </w:r>
      <w:r>
        <w:rPr>
          <w:rFonts w:hint="eastAsia" w:ascii="Times New Roman" w:hAnsi="Times New Roman" w:cs="仿宋_GB2312"/>
          <w:szCs w:val="32"/>
        </w:rPr>
        <w:t>9家。云安区拥有省级工程技术研究中心2家，规模以上工业企业建立研发机构比例达</w:t>
      </w:r>
      <w:r>
        <w:rPr>
          <w:rFonts w:ascii="Times New Roman" w:hAnsi="Times New Roman" w:cs="仿宋_GB2312"/>
          <w:szCs w:val="32"/>
        </w:rPr>
        <w:t>30%</w:t>
      </w:r>
      <w:r>
        <w:rPr>
          <w:rFonts w:hint="eastAsia" w:ascii="Times New Roman" w:hAnsi="Times New Roman" w:cs="仿宋_GB2312"/>
          <w:szCs w:val="32"/>
        </w:rPr>
        <w:t>以上。新区拥有省级工程技术中心</w:t>
      </w:r>
      <w:r>
        <w:rPr>
          <w:rFonts w:ascii="Times New Roman" w:hAnsi="Times New Roman" w:cs="仿宋_GB2312"/>
          <w:szCs w:val="32"/>
        </w:rPr>
        <w:t>4</w:t>
      </w:r>
      <w:r>
        <w:rPr>
          <w:rFonts w:hint="eastAsia" w:ascii="Times New Roman" w:hAnsi="Times New Roman" w:cs="仿宋_GB2312"/>
          <w:szCs w:val="32"/>
        </w:rPr>
        <w:t>家，市级工程中心</w:t>
      </w:r>
      <w:r>
        <w:rPr>
          <w:rFonts w:ascii="Times New Roman" w:hAnsi="Times New Roman" w:cs="仿宋_GB2312"/>
          <w:szCs w:val="32"/>
        </w:rPr>
        <w:t>7</w:t>
      </w:r>
      <w:r>
        <w:rPr>
          <w:rFonts w:hint="eastAsia" w:ascii="Times New Roman" w:hAnsi="Times New Roman" w:cs="仿宋_GB2312"/>
          <w:szCs w:val="32"/>
        </w:rPr>
        <w:t>家，科技型中小企业</w:t>
      </w:r>
      <w:r>
        <w:rPr>
          <w:rFonts w:ascii="Times New Roman" w:hAnsi="Times New Roman" w:cs="仿宋_GB2312"/>
          <w:szCs w:val="32"/>
        </w:rPr>
        <w:t>17</w:t>
      </w:r>
      <w:r>
        <w:rPr>
          <w:rFonts w:hint="eastAsia" w:ascii="Times New Roman" w:hAnsi="Times New Roman" w:cs="仿宋_GB2312"/>
          <w:szCs w:val="32"/>
        </w:rPr>
        <w:t>家，共有</w:t>
      </w:r>
      <w:r>
        <w:rPr>
          <w:rFonts w:ascii="Times New Roman" w:hAnsi="Times New Roman" w:cs="仿宋_GB2312"/>
          <w:szCs w:val="32"/>
        </w:rPr>
        <w:t>13</w:t>
      </w:r>
      <w:r>
        <w:rPr>
          <w:rFonts w:hint="eastAsia" w:ascii="Times New Roman" w:hAnsi="Times New Roman" w:cs="仿宋_GB2312"/>
          <w:szCs w:val="32"/>
        </w:rPr>
        <w:t>家规上企业建立了企业技术研发机构。新区建成孵化平台</w:t>
      </w:r>
      <w:r>
        <w:rPr>
          <w:rFonts w:ascii="Times New Roman" w:hAnsi="Times New Roman" w:cs="仿宋_GB2312"/>
          <w:szCs w:val="32"/>
        </w:rPr>
        <w:t>2</w:t>
      </w:r>
      <w:r>
        <w:rPr>
          <w:rFonts w:hint="eastAsia" w:ascii="Times New Roman" w:hAnsi="Times New Roman" w:cs="仿宋_GB2312"/>
          <w:szCs w:val="32"/>
        </w:rPr>
        <w:t>个，其中云浮创新设计中心获评省级新型研发机构和省众创空间试点单位。人才引培工作有序开展，建成云浮国际创新院、云安区云浮新区人才驿站以及博士后创新实践基地</w:t>
      </w:r>
      <w:r>
        <w:rPr>
          <w:rFonts w:ascii="Times New Roman" w:hAnsi="Times New Roman" w:cs="仿宋_GB2312"/>
          <w:szCs w:val="32"/>
        </w:rPr>
        <w:t>2</w:t>
      </w:r>
      <w:r>
        <w:rPr>
          <w:rFonts w:hint="eastAsia" w:ascii="Times New Roman" w:hAnsi="Times New Roman" w:cs="仿宋_GB2312"/>
          <w:szCs w:val="32"/>
        </w:rPr>
        <w:t>个。</w:t>
      </w:r>
    </w:p>
    <w:p>
      <w:pPr>
        <w:pStyle w:val="11"/>
        <w:spacing w:line="600" w:lineRule="exact"/>
        <w:ind w:firstLine="643"/>
        <w:rPr>
          <w:rFonts w:ascii="Times New Roman" w:hAnsi="Times New Roman" w:cs="仿宋_GB2312"/>
          <w:szCs w:val="32"/>
        </w:rPr>
      </w:pPr>
      <w:bookmarkStart w:id="11" w:name="_Toc56537373"/>
      <w:r>
        <w:rPr>
          <w:rFonts w:hint="eastAsia" w:ascii="Times New Roman" w:hAnsi="Times New Roman" w:cs="仿宋_GB2312"/>
          <w:b/>
          <w:bCs/>
          <w:szCs w:val="32"/>
        </w:rPr>
        <w:t>开放合作不断深化</w:t>
      </w:r>
      <w:bookmarkEnd w:id="11"/>
      <w:r>
        <w:rPr>
          <w:rFonts w:hint="eastAsia" w:ascii="Times New Roman" w:hAnsi="Times New Roman" w:cs="仿宋_GB2312"/>
          <w:b/>
          <w:bCs/>
          <w:szCs w:val="32"/>
        </w:rPr>
        <w:t>。</w:t>
      </w:r>
      <w:r>
        <w:rPr>
          <w:rFonts w:hint="eastAsia" w:ascii="Times New Roman" w:hAnsi="Times New Roman" w:cs="仿宋_GB2312"/>
          <w:szCs w:val="32"/>
        </w:rPr>
        <w:t>“十三五”期间，外贸增长稳居全市前列。</w:t>
      </w:r>
      <w:r>
        <w:rPr>
          <w:rFonts w:ascii="Times New Roman" w:hAnsi="Times New Roman" w:cs="仿宋_GB2312"/>
          <w:szCs w:val="32"/>
        </w:rPr>
        <w:t>2020年，</w:t>
      </w:r>
      <w:r>
        <w:rPr>
          <w:rFonts w:hint="eastAsia" w:ascii="Times New Roman" w:hAnsi="Times New Roman" w:cs="仿宋_GB2312"/>
          <w:szCs w:val="32"/>
        </w:rPr>
        <w:t>外贸</w:t>
      </w:r>
      <w:r>
        <w:rPr>
          <w:rFonts w:ascii="Times New Roman" w:hAnsi="Times New Roman" w:cs="仿宋_GB2312"/>
          <w:szCs w:val="32"/>
        </w:rPr>
        <w:t>进出口总额12.</w:t>
      </w:r>
      <w:r>
        <w:rPr>
          <w:rFonts w:hint="eastAsia" w:ascii="Times New Roman" w:hAnsi="Times New Roman" w:cs="仿宋_GB2312"/>
          <w:szCs w:val="32"/>
        </w:rPr>
        <w:t>72</w:t>
      </w:r>
      <w:r>
        <w:rPr>
          <w:rFonts w:ascii="Times New Roman" w:hAnsi="Times New Roman" w:cs="仿宋_GB2312"/>
          <w:szCs w:val="32"/>
        </w:rPr>
        <w:t>亿元，五年年均增长</w:t>
      </w:r>
      <w:r>
        <w:rPr>
          <w:rFonts w:hint="eastAsia" w:ascii="Times New Roman" w:hAnsi="Times New Roman" w:cs="仿宋_GB2312"/>
          <w:szCs w:val="32"/>
        </w:rPr>
        <w:t>34.9</w:t>
      </w:r>
      <w:r>
        <w:rPr>
          <w:rFonts w:ascii="Times New Roman" w:hAnsi="Times New Roman" w:cs="仿宋_GB2312"/>
          <w:szCs w:val="32"/>
        </w:rPr>
        <w:t>%，总额比“十二五”末增加了</w:t>
      </w:r>
      <w:r>
        <w:rPr>
          <w:rFonts w:hint="eastAsia" w:ascii="Times New Roman" w:hAnsi="Times New Roman" w:cs="仿宋_GB2312"/>
          <w:szCs w:val="32"/>
        </w:rPr>
        <w:t>9.88</w:t>
      </w:r>
      <w:r>
        <w:rPr>
          <w:rFonts w:ascii="Times New Roman" w:hAnsi="Times New Roman" w:cs="仿宋_GB2312"/>
          <w:szCs w:val="32"/>
        </w:rPr>
        <w:t>亿元。</w:t>
      </w:r>
      <w:r>
        <w:rPr>
          <w:rFonts w:hint="eastAsia" w:ascii="Times New Roman" w:hAnsi="Times New Roman" w:cs="仿宋_GB2312"/>
          <w:szCs w:val="32"/>
        </w:rPr>
        <w:t>实际</w:t>
      </w:r>
      <w:r>
        <w:rPr>
          <w:rFonts w:ascii="Times New Roman" w:hAnsi="Times New Roman" w:cs="仿宋_GB2312"/>
          <w:szCs w:val="32"/>
        </w:rPr>
        <w:t>利用外资规模全市领先，累计利用外资金额6402.74万美元</w:t>
      </w:r>
      <w:r>
        <w:rPr>
          <w:rFonts w:hint="eastAsia" w:ascii="Times New Roman" w:hAnsi="Times New Roman" w:cs="仿宋_GB2312"/>
          <w:szCs w:val="32"/>
        </w:rPr>
        <w:t>。对外贸易不断深化，</w:t>
      </w:r>
      <w:r>
        <w:rPr>
          <w:rFonts w:ascii="Times New Roman" w:hAnsi="Times New Roman" w:cs="仿宋_GB2312"/>
          <w:szCs w:val="32"/>
        </w:rPr>
        <w:t>2016</w:t>
      </w:r>
      <w:r>
        <w:rPr>
          <w:rFonts w:hint="eastAsia" w:ascii="Times New Roman" w:hAnsi="Times New Roman" w:cs="仿宋_GB2312"/>
          <w:szCs w:val="32"/>
        </w:rPr>
        <w:t>年成立云浮新港保税仓并实施</w:t>
      </w:r>
      <w:bookmarkStart w:id="12" w:name="_Hlk62633636"/>
      <w:r>
        <w:rPr>
          <w:rFonts w:hint="eastAsia" w:ascii="Times New Roman" w:hAnsi="Times New Roman" w:cs="仿宋_GB2312"/>
          <w:szCs w:val="32"/>
        </w:rPr>
        <w:t>新港保税仓</w:t>
      </w:r>
      <w:r>
        <w:rPr>
          <w:rFonts w:ascii="Times New Roman" w:hAnsi="Times New Roman" w:cs="仿宋_GB2312"/>
          <w:szCs w:val="32"/>
        </w:rPr>
        <w:t>“</w:t>
      </w:r>
      <w:r>
        <w:rPr>
          <w:rFonts w:hint="eastAsia" w:ascii="Times New Roman" w:hAnsi="Times New Roman" w:cs="仿宋_GB2312"/>
          <w:szCs w:val="32"/>
        </w:rPr>
        <w:t>倍增计划</w:t>
      </w:r>
      <w:r>
        <w:rPr>
          <w:rFonts w:ascii="Times New Roman" w:hAnsi="Times New Roman" w:cs="仿宋_GB2312"/>
          <w:szCs w:val="32"/>
        </w:rPr>
        <w:t>”</w:t>
      </w:r>
      <w:bookmarkEnd w:id="12"/>
      <w:r>
        <w:rPr>
          <w:rFonts w:hint="eastAsia" w:ascii="Times New Roman" w:hAnsi="Times New Roman" w:cs="仿宋_GB2312"/>
          <w:szCs w:val="32"/>
        </w:rPr>
        <w:t>。港口竞争力不断提升，云浮新港建成计算机智能码头操作管理系统、全自动识别智能化闸口系统，加强各领域数据对接，实现了</w:t>
      </w:r>
      <w:r>
        <w:rPr>
          <w:rFonts w:ascii="Times New Roman" w:hAnsi="Times New Roman" w:cs="仿宋_GB2312"/>
          <w:szCs w:val="32"/>
        </w:rPr>
        <w:t>24</w:t>
      </w:r>
      <w:r>
        <w:rPr>
          <w:rFonts w:hint="eastAsia" w:ascii="Times New Roman" w:hAnsi="Times New Roman" w:cs="仿宋_GB2312"/>
          <w:szCs w:val="32"/>
        </w:rPr>
        <w:t>小时不间断作业通关一体化，现已发展成为广东最大的石材进口口岸。电子商务工作初见成效，成功申报省级电子商务进农村综合示范县，成功引进一亩田、京东等电商进驻，与云仓物流签订站点建设合作协议，完成区级物流站点</w:t>
      </w:r>
      <w:r>
        <w:rPr>
          <w:rFonts w:ascii="Times New Roman" w:hAnsi="Times New Roman" w:cs="仿宋_GB2312"/>
          <w:szCs w:val="32"/>
        </w:rPr>
        <w:t>1</w:t>
      </w:r>
      <w:r>
        <w:rPr>
          <w:rFonts w:hint="eastAsia" w:ascii="Times New Roman" w:hAnsi="Times New Roman" w:cs="仿宋_GB2312"/>
          <w:szCs w:val="32"/>
        </w:rPr>
        <w:t>个，镇级物流站点</w:t>
      </w:r>
      <w:r>
        <w:rPr>
          <w:rFonts w:ascii="Times New Roman" w:hAnsi="Times New Roman" w:cs="仿宋_GB2312"/>
          <w:szCs w:val="32"/>
        </w:rPr>
        <w:t>7</w:t>
      </w:r>
      <w:r>
        <w:rPr>
          <w:rFonts w:hint="eastAsia" w:ascii="Times New Roman" w:hAnsi="Times New Roman" w:cs="仿宋_GB2312"/>
          <w:szCs w:val="32"/>
        </w:rPr>
        <w:t>个，村级物流站点</w:t>
      </w:r>
      <w:r>
        <w:rPr>
          <w:rFonts w:ascii="Times New Roman" w:hAnsi="Times New Roman" w:cs="仿宋_GB2312"/>
          <w:szCs w:val="32"/>
        </w:rPr>
        <w:t>30</w:t>
      </w:r>
      <w:r>
        <w:rPr>
          <w:rFonts w:hint="eastAsia" w:ascii="Times New Roman" w:hAnsi="Times New Roman" w:cs="仿宋_GB2312"/>
          <w:szCs w:val="32"/>
        </w:rPr>
        <w:t>个；完善区、镇、村三级电子商务站点建设，完成区级电子商务服务中心</w:t>
      </w:r>
      <w:r>
        <w:rPr>
          <w:rFonts w:ascii="Times New Roman" w:hAnsi="Times New Roman" w:cs="仿宋_GB2312"/>
          <w:szCs w:val="32"/>
        </w:rPr>
        <w:t>1</w:t>
      </w:r>
      <w:r>
        <w:rPr>
          <w:rFonts w:hint="eastAsia" w:ascii="Times New Roman" w:hAnsi="Times New Roman" w:cs="仿宋_GB2312"/>
          <w:szCs w:val="32"/>
        </w:rPr>
        <w:t>个，镇级电子商务站点建设</w:t>
      </w:r>
      <w:r>
        <w:rPr>
          <w:rFonts w:ascii="Times New Roman" w:hAnsi="Times New Roman" w:cs="仿宋_GB2312"/>
          <w:szCs w:val="32"/>
        </w:rPr>
        <w:t>7</w:t>
      </w:r>
      <w:r>
        <w:rPr>
          <w:rFonts w:hint="eastAsia" w:ascii="Times New Roman" w:hAnsi="Times New Roman" w:cs="仿宋_GB2312"/>
          <w:szCs w:val="32"/>
        </w:rPr>
        <w:t>个，村级站点建设</w:t>
      </w:r>
      <w:r>
        <w:rPr>
          <w:rFonts w:ascii="Times New Roman" w:hAnsi="Times New Roman" w:cs="仿宋_GB2312"/>
          <w:szCs w:val="32"/>
        </w:rPr>
        <w:t>74</w:t>
      </w:r>
      <w:r>
        <w:rPr>
          <w:rFonts w:hint="eastAsia" w:ascii="Times New Roman" w:hAnsi="Times New Roman" w:cs="仿宋_GB2312"/>
          <w:szCs w:val="32"/>
        </w:rPr>
        <w:t>个。</w:t>
      </w:r>
    </w:p>
    <w:p>
      <w:pPr>
        <w:pStyle w:val="11"/>
        <w:spacing w:line="600" w:lineRule="exact"/>
        <w:ind w:firstLine="643"/>
        <w:rPr>
          <w:rFonts w:ascii="Times New Roman" w:hAnsi="Times New Roman" w:cs="仿宋_GB2312"/>
          <w:szCs w:val="32"/>
        </w:rPr>
      </w:pPr>
      <w:bookmarkStart w:id="13" w:name="_Toc56537374"/>
      <w:r>
        <w:rPr>
          <w:rFonts w:hint="eastAsia" w:ascii="Times New Roman" w:hAnsi="Times New Roman" w:cs="仿宋_GB2312"/>
          <w:b/>
          <w:bCs/>
          <w:szCs w:val="32"/>
        </w:rPr>
        <w:t>各项改革深入推进</w:t>
      </w:r>
      <w:bookmarkEnd w:id="13"/>
      <w:r>
        <w:rPr>
          <w:rFonts w:hint="eastAsia" w:ascii="Times New Roman" w:hAnsi="Times New Roman" w:cs="仿宋_GB2312"/>
          <w:b/>
          <w:bCs/>
          <w:szCs w:val="32"/>
        </w:rPr>
        <w:t>。</w:t>
      </w:r>
      <w:r>
        <w:rPr>
          <w:rFonts w:hint="eastAsia" w:ascii="Times New Roman" w:hAnsi="Times New Roman" w:cs="仿宋_GB2312"/>
          <w:szCs w:val="32"/>
        </w:rPr>
        <w:t>供给侧结构性改革稳步推进，累计完成减税降费</w:t>
      </w:r>
      <w:r>
        <w:rPr>
          <w:rFonts w:ascii="Times New Roman" w:hAnsi="Times New Roman" w:cs="仿宋_GB2312"/>
          <w:szCs w:val="32"/>
        </w:rPr>
        <w:t>14632万元。营商环境持续优化，</w:t>
      </w:r>
      <w:r>
        <w:rPr>
          <w:rFonts w:hint="eastAsia" w:ascii="Times New Roman" w:hAnsi="Times New Roman" w:cs="仿宋_GB2312"/>
          <w:szCs w:val="32"/>
        </w:rPr>
        <w:t>“</w:t>
      </w:r>
      <w:r>
        <w:rPr>
          <w:rFonts w:ascii="Times New Roman" w:hAnsi="Times New Roman" w:cs="仿宋_GB2312"/>
          <w:szCs w:val="32"/>
        </w:rPr>
        <w:t>转提优</w:t>
      </w:r>
      <w:r>
        <w:rPr>
          <w:rFonts w:hint="eastAsia" w:ascii="Times New Roman" w:hAnsi="Times New Roman" w:cs="仿宋_GB2312"/>
          <w:szCs w:val="32"/>
        </w:rPr>
        <w:t>”</w:t>
      </w:r>
      <w:r>
        <w:rPr>
          <w:rFonts w:ascii="Times New Roman" w:hAnsi="Times New Roman" w:cs="仿宋_GB2312"/>
          <w:szCs w:val="32"/>
        </w:rPr>
        <w:t>专项活动扎实开展，市场活力不断提升，全区实有市场主体10253户。深化</w:t>
      </w:r>
      <w:r>
        <w:rPr>
          <w:rFonts w:hint="eastAsia" w:ascii="Times New Roman" w:hAnsi="Times New Roman" w:cs="仿宋_GB2312"/>
          <w:szCs w:val="32"/>
        </w:rPr>
        <w:t>“放管服”</w:t>
      </w:r>
      <w:r>
        <w:rPr>
          <w:rFonts w:ascii="Times New Roman" w:hAnsi="Times New Roman" w:cs="仿宋_GB2312"/>
          <w:szCs w:val="32"/>
        </w:rPr>
        <w:t>改革，完成权责清单动态调整，</w:t>
      </w:r>
      <w:r>
        <w:rPr>
          <w:rFonts w:hint="eastAsia" w:ascii="Times New Roman" w:hAnsi="Times New Roman" w:cs="仿宋_GB2312"/>
          <w:szCs w:val="32"/>
        </w:rPr>
        <w:t>近</w:t>
      </w:r>
      <w:r>
        <w:rPr>
          <w:rFonts w:ascii="Times New Roman" w:hAnsi="Times New Roman" w:cs="仿宋_GB2312"/>
          <w:szCs w:val="32"/>
        </w:rPr>
        <w:t>5年来全区累计取消行政审批事项55大项，审批事项减少19.8％，审批中介服务事项精减28.8％，法定办理时限压减71.08%。推行投资项目审批事项的</w:t>
      </w:r>
      <w:r>
        <w:rPr>
          <w:rFonts w:hint="eastAsia" w:ascii="Times New Roman" w:hAnsi="Times New Roman" w:cs="仿宋_GB2312"/>
          <w:szCs w:val="32"/>
        </w:rPr>
        <w:t>“绿色通道”“容缺受理”和“并联办理”</w:t>
      </w:r>
      <w:r>
        <w:rPr>
          <w:rFonts w:ascii="Times New Roman" w:hAnsi="Times New Roman" w:cs="仿宋_GB2312"/>
          <w:szCs w:val="32"/>
        </w:rPr>
        <w:t>，实施工程领域</w:t>
      </w:r>
      <w:r>
        <w:rPr>
          <w:rFonts w:hint="eastAsia" w:ascii="Times New Roman" w:hAnsi="Times New Roman" w:cs="仿宋_GB2312"/>
          <w:szCs w:val="32"/>
        </w:rPr>
        <w:t>“</w:t>
      </w:r>
      <w:r>
        <w:rPr>
          <w:rFonts w:ascii="Times New Roman" w:hAnsi="Times New Roman" w:cs="仿宋_GB2312"/>
          <w:szCs w:val="32"/>
        </w:rPr>
        <w:t>数字审图</w:t>
      </w:r>
      <w:r>
        <w:rPr>
          <w:rFonts w:hint="eastAsia" w:ascii="Times New Roman" w:hAnsi="Times New Roman" w:cs="仿宋_GB2312"/>
          <w:szCs w:val="32"/>
        </w:rPr>
        <w:t>”“</w:t>
      </w:r>
      <w:r>
        <w:rPr>
          <w:rFonts w:ascii="Times New Roman" w:hAnsi="Times New Roman" w:cs="仿宋_GB2312"/>
          <w:szCs w:val="32"/>
        </w:rPr>
        <w:t>多图联审</w:t>
      </w:r>
      <w:r>
        <w:rPr>
          <w:rFonts w:hint="eastAsia" w:ascii="Times New Roman" w:hAnsi="Times New Roman" w:cs="仿宋_GB2312"/>
          <w:szCs w:val="32"/>
        </w:rPr>
        <w:t>”</w:t>
      </w:r>
      <w:r>
        <w:rPr>
          <w:rFonts w:ascii="Times New Roman" w:hAnsi="Times New Roman" w:cs="仿宋_GB2312"/>
          <w:szCs w:val="32"/>
        </w:rPr>
        <w:t>，投资项目</w:t>
      </w:r>
      <w:r>
        <w:rPr>
          <w:rFonts w:hint="eastAsia" w:ascii="Times New Roman" w:hAnsi="Times New Roman" w:cs="仿宋_GB2312"/>
          <w:szCs w:val="32"/>
        </w:rPr>
        <w:t>“联合验收”</w:t>
      </w:r>
      <w:r>
        <w:rPr>
          <w:rFonts w:ascii="Times New Roman" w:hAnsi="Times New Roman" w:cs="仿宋_GB2312"/>
          <w:szCs w:val="32"/>
        </w:rPr>
        <w:t>。推进商事制度改革，全面推行</w:t>
      </w:r>
      <w:r>
        <w:rPr>
          <w:rFonts w:hint="eastAsia" w:ascii="Times New Roman" w:hAnsi="Times New Roman" w:cs="仿宋_GB2312"/>
          <w:szCs w:val="32"/>
        </w:rPr>
        <w:t>“多证合一”“先照后证”“证照分离”</w:t>
      </w:r>
      <w:r>
        <w:rPr>
          <w:rFonts w:ascii="Times New Roman" w:hAnsi="Times New Roman" w:cs="仿宋_GB2312"/>
          <w:szCs w:val="32"/>
        </w:rPr>
        <w:t>，实现电子化管理，开办企业实现1个工作日</w:t>
      </w:r>
      <w:r>
        <w:rPr>
          <w:rFonts w:hint="eastAsia" w:ascii="Times New Roman" w:hAnsi="Times New Roman" w:cs="仿宋_GB2312"/>
          <w:szCs w:val="32"/>
        </w:rPr>
        <w:t>内办结。推进“数字政府”改革，“一网式”政务服务改革初见成效，全面升级改造电子政务云平台、云安区一体化政务服务审批平台及区政府门户网站，推动“互联网</w:t>
      </w:r>
      <w:r>
        <w:rPr>
          <w:rFonts w:ascii="Times New Roman" w:hAnsi="Times New Roman" w:cs="仿宋_GB2312"/>
          <w:szCs w:val="32"/>
        </w:rPr>
        <w:t>+政务服务”向基层覆盖，区镇村三级政务服务体系初步形成。深化国资国企改革，整合组建了泓凯投资集团、云歌传媒、云达政数科技等公司。</w:t>
      </w:r>
      <w:r>
        <w:rPr>
          <w:rFonts w:hint="eastAsia" w:ascii="Times New Roman" w:hAnsi="Times New Roman" w:cs="仿宋_GB2312"/>
          <w:szCs w:val="32"/>
        </w:rPr>
        <w:t>农业农村改革深入推进，涉农资金整合成效明显，农村集体经济产权制度改革</w:t>
      </w:r>
      <w:r>
        <w:rPr>
          <w:rFonts w:ascii="Times New Roman" w:hAnsi="Times New Roman" w:cs="仿宋_GB2312"/>
          <w:szCs w:val="32"/>
        </w:rPr>
        <w:t>、</w:t>
      </w:r>
      <w:r>
        <w:rPr>
          <w:rFonts w:hint="eastAsia" w:ascii="Times New Roman" w:hAnsi="Times New Roman" w:cs="仿宋_GB2312"/>
          <w:szCs w:val="32"/>
        </w:rPr>
        <w:t>农村土地确权基本完成，实现村集体经济“零收入村”全部销号清零。</w:t>
      </w:r>
      <w:r>
        <w:rPr>
          <w:rFonts w:ascii="Times New Roman" w:hAnsi="Times New Roman" w:cs="仿宋_GB2312"/>
          <w:szCs w:val="32"/>
        </w:rPr>
        <w:t>都杨镇成功入</w:t>
      </w:r>
      <w:r>
        <w:rPr>
          <w:rFonts w:hint="eastAsia" w:ascii="Times New Roman" w:hAnsi="Times New Roman" w:cs="仿宋_GB2312"/>
          <w:szCs w:val="32"/>
        </w:rPr>
        <w:t>选广东省城乡融合发展省级试点地区名单。</w:t>
      </w:r>
    </w:p>
    <w:p>
      <w:pPr>
        <w:pStyle w:val="11"/>
        <w:spacing w:line="600" w:lineRule="exact"/>
        <w:ind w:firstLine="643"/>
        <w:rPr>
          <w:rFonts w:ascii="Times New Roman" w:hAnsi="Times New Roman" w:cs="仿宋_GB2312"/>
          <w:szCs w:val="32"/>
        </w:rPr>
      </w:pPr>
      <w:bookmarkStart w:id="14" w:name="_Toc56537375"/>
      <w:r>
        <w:rPr>
          <w:rFonts w:hint="eastAsia" w:ascii="Times New Roman" w:hAnsi="Times New Roman" w:cs="仿宋_GB2312"/>
          <w:b/>
          <w:bCs/>
          <w:szCs w:val="32"/>
        </w:rPr>
        <w:t>基础设施逐步完善</w:t>
      </w:r>
      <w:bookmarkEnd w:id="14"/>
      <w:r>
        <w:rPr>
          <w:rFonts w:hint="eastAsia" w:ascii="Times New Roman" w:hAnsi="Times New Roman" w:cs="仿宋_GB2312"/>
          <w:b/>
          <w:bCs/>
          <w:szCs w:val="32"/>
        </w:rPr>
        <w:t>。</w:t>
      </w:r>
      <w:r>
        <w:rPr>
          <w:rFonts w:hint="eastAsia" w:ascii="Times New Roman" w:hAnsi="Times New Roman" w:cs="仿宋_GB2312"/>
          <w:szCs w:val="32"/>
        </w:rPr>
        <w:t>交通设施日臻完善，初步形成以广昆高速、深岑高速、汕湛高速为主通道，</w:t>
      </w:r>
      <w:r>
        <w:rPr>
          <w:rFonts w:ascii="Times New Roman" w:hAnsi="Times New Roman" w:cs="仿宋_GB2312"/>
          <w:szCs w:val="32"/>
        </w:rPr>
        <w:t>G324、S368、S265、S274、S537、S538、S539等国省道为主骨架，云浮高铁东站为主枢纽的立体化交通网络。累计完成交通基础设施建设</w:t>
      </w:r>
      <w:r>
        <w:rPr>
          <w:rFonts w:hint="eastAsia" w:ascii="Times New Roman" w:hAnsi="Times New Roman" w:cs="仿宋_GB2312"/>
          <w:szCs w:val="32"/>
        </w:rPr>
        <w:t>917</w:t>
      </w:r>
      <w:r>
        <w:rPr>
          <w:rFonts w:ascii="Times New Roman" w:hAnsi="Times New Roman" w:cs="仿宋_GB2312"/>
          <w:szCs w:val="32"/>
        </w:rPr>
        <w:t>公里，全区公路总里程</w:t>
      </w:r>
      <w:r>
        <w:rPr>
          <w:rFonts w:hint="eastAsia" w:ascii="Times New Roman" w:hAnsi="Times New Roman" w:cs="仿宋_GB2312"/>
          <w:szCs w:val="32"/>
        </w:rPr>
        <w:t>年底到达数</w:t>
      </w:r>
      <w:r>
        <w:rPr>
          <w:rFonts w:ascii="Times New Roman" w:hAnsi="Times New Roman" w:cs="仿宋_GB2312"/>
          <w:szCs w:val="32"/>
        </w:rPr>
        <w:t>1462.171公里，公路密度为124.71公里/百平方公里。航运能力提升发展，广州云浮国际物流港（都骑通用码头二期）和华润发电厂配套码头动工建设，</w:t>
      </w:r>
      <w:r>
        <w:rPr>
          <w:rFonts w:hint="eastAsia" w:ascii="Times New Roman" w:hAnsi="Times New Roman" w:cs="仿宋_GB2312"/>
          <w:szCs w:val="32"/>
        </w:rPr>
        <w:t>西江沿线港口码头</w:t>
      </w:r>
      <w:r>
        <w:rPr>
          <w:rFonts w:ascii="Times New Roman" w:hAnsi="Times New Roman" w:cs="仿宋_GB2312"/>
          <w:szCs w:val="32"/>
        </w:rPr>
        <w:t>持续整治发展。能源基础设施建设大力推进，全</w:t>
      </w:r>
      <w:r>
        <w:rPr>
          <w:rFonts w:hint="eastAsia" w:ascii="Times New Roman" w:hAnsi="Times New Roman" w:cs="仿宋_GB2312"/>
          <w:szCs w:val="32"/>
        </w:rPr>
        <w:t>区共有成品油零售企业</w:t>
      </w:r>
      <w:r>
        <w:rPr>
          <w:rFonts w:ascii="Times New Roman" w:hAnsi="Times New Roman" w:cs="仿宋_GB2312"/>
          <w:szCs w:val="32"/>
        </w:rPr>
        <w:t>20家，加氢站</w:t>
      </w:r>
      <w:r>
        <w:rPr>
          <w:rFonts w:hint="eastAsia" w:ascii="Times New Roman" w:hAnsi="Times New Roman" w:cs="仿宋_GB2312"/>
          <w:szCs w:val="32"/>
        </w:rPr>
        <w:t>、</w:t>
      </w:r>
      <w:r>
        <w:rPr>
          <w:rFonts w:ascii="Times New Roman" w:hAnsi="Times New Roman" w:cs="仿宋_GB2312"/>
          <w:szCs w:val="32"/>
        </w:rPr>
        <w:t>加油站建设加速推进；华润西江发电厂项目已动工建设，能源供应安全保障水平进一步提高。山塘水库除险加固、中小流域综合治理和城区水利防灾减灾工程等水利设施建设持续推进，水利保障有效加强。信息基础设施不断完善，</w:t>
      </w:r>
      <w:r>
        <w:rPr>
          <w:rFonts w:hint="eastAsia" w:ascii="Times New Roman" w:hAnsi="Times New Roman" w:cs="仿宋_GB2312"/>
          <w:szCs w:val="32"/>
        </w:rPr>
        <w:t>全区基本实现主城区及部分乡镇重点区域</w:t>
      </w:r>
      <w:r>
        <w:rPr>
          <w:rFonts w:ascii="Times New Roman" w:hAnsi="Times New Roman" w:cs="仿宋_GB2312"/>
          <w:szCs w:val="32"/>
        </w:rPr>
        <w:t>5G网络覆盖，行政村4G网络实现光纤网络全覆盖。</w:t>
      </w:r>
    </w:p>
    <w:p>
      <w:pPr>
        <w:pStyle w:val="11"/>
        <w:spacing w:line="600" w:lineRule="exact"/>
        <w:ind w:firstLine="643"/>
        <w:rPr>
          <w:rFonts w:ascii="Times New Roman" w:hAnsi="Times New Roman" w:cs="仿宋_GB2312"/>
          <w:szCs w:val="32"/>
        </w:rPr>
      </w:pPr>
      <w:bookmarkStart w:id="15" w:name="_Toc56537376"/>
      <w:r>
        <w:rPr>
          <w:rFonts w:hint="eastAsia" w:ascii="Times New Roman" w:hAnsi="Times New Roman" w:cs="仿宋_GB2312"/>
          <w:b/>
          <w:bCs/>
          <w:szCs w:val="32"/>
        </w:rPr>
        <w:t>城市品质不断提升</w:t>
      </w:r>
      <w:bookmarkEnd w:id="15"/>
      <w:r>
        <w:rPr>
          <w:rFonts w:hint="eastAsia" w:ascii="Times New Roman" w:hAnsi="Times New Roman" w:cs="仿宋_GB2312"/>
          <w:b/>
          <w:bCs/>
          <w:szCs w:val="32"/>
        </w:rPr>
        <w:t>。</w:t>
      </w:r>
      <w:r>
        <w:rPr>
          <w:rFonts w:hint="eastAsia" w:ascii="Times New Roman" w:hAnsi="Times New Roman" w:cs="仿宋_GB2312"/>
          <w:szCs w:val="32"/>
        </w:rPr>
        <w:t>中心城区首位度全面提升，规划编制工作持续有序开展，完成六都组团分区规划及</w:t>
      </w:r>
      <w:r>
        <w:rPr>
          <w:rFonts w:ascii="Times New Roman" w:hAnsi="Times New Roman" w:cs="仿宋_GB2312"/>
          <w:szCs w:val="32"/>
        </w:rPr>
        <w:t>3个片区的控制性详细规划、5个镇的总体规划（3个镇同步开展控规编制）、64个行政村和22个省定贫困村的</w:t>
      </w:r>
      <w:r>
        <w:rPr>
          <w:rFonts w:hint="eastAsia" w:ascii="Times New Roman" w:hAnsi="Times New Roman" w:cs="仿宋_GB2312"/>
          <w:szCs w:val="32"/>
        </w:rPr>
        <w:t>“多规合一”</w:t>
      </w:r>
      <w:r>
        <w:rPr>
          <w:rFonts w:ascii="Times New Roman" w:hAnsi="Times New Roman" w:cs="仿宋_GB2312"/>
          <w:szCs w:val="32"/>
        </w:rPr>
        <w:t>村庄规划编制，对全省试点的两个村进行村庄规划优化提升，推进城市设计编制和六都组团东北片区、港口城西片区的控制性详细规划局部调整工作。</w:t>
      </w:r>
      <w:r>
        <w:rPr>
          <w:rFonts w:hint="eastAsia" w:ascii="Times New Roman" w:hAnsi="Times New Roman" w:cs="仿宋_GB2312"/>
          <w:szCs w:val="32"/>
        </w:rPr>
        <w:t>“两区”</w:t>
      </w:r>
      <w:r>
        <w:rPr>
          <w:rFonts w:ascii="Times New Roman" w:hAnsi="Times New Roman" w:cs="仿宋_GB2312"/>
          <w:szCs w:val="32"/>
        </w:rPr>
        <w:t>一体化建设</w:t>
      </w:r>
      <w:r>
        <w:rPr>
          <w:rFonts w:hint="eastAsia" w:ascii="Times New Roman" w:hAnsi="Times New Roman" w:cs="仿宋_GB2312"/>
          <w:szCs w:val="32"/>
        </w:rPr>
        <w:t>加快</w:t>
      </w:r>
      <w:r>
        <w:rPr>
          <w:rFonts w:ascii="Times New Roman" w:hAnsi="Times New Roman" w:cs="仿宋_GB2312"/>
          <w:szCs w:val="32"/>
        </w:rPr>
        <w:t>，市政基础设施和城市综合体建设</w:t>
      </w:r>
      <w:r>
        <w:rPr>
          <w:rFonts w:hint="eastAsia" w:ascii="Times New Roman" w:hAnsi="Times New Roman" w:cs="仿宋_GB2312"/>
          <w:szCs w:val="32"/>
        </w:rPr>
        <w:t>顺利</w:t>
      </w:r>
      <w:r>
        <w:rPr>
          <w:rFonts w:ascii="Times New Roman" w:hAnsi="Times New Roman" w:cs="仿宋_GB2312"/>
          <w:szCs w:val="32"/>
        </w:rPr>
        <w:t>推进。城市建设</w:t>
      </w:r>
      <w:r>
        <w:rPr>
          <w:rFonts w:hint="eastAsia" w:ascii="Times New Roman" w:hAnsi="Times New Roman" w:cs="仿宋_GB2312"/>
          <w:szCs w:val="32"/>
        </w:rPr>
        <w:t>提质增速</w:t>
      </w:r>
      <w:r>
        <w:rPr>
          <w:rFonts w:ascii="Times New Roman" w:hAnsi="Times New Roman" w:cs="仿宋_GB2312"/>
          <w:szCs w:val="32"/>
        </w:rPr>
        <w:t>，征地拆迁和低效闲置用地整治工作深入开展，完成新区宏源大厦、市地税部门地块、茅坪村整体搬迁等工作。公共设施布局进一步完善，</w:t>
      </w:r>
      <w:r>
        <w:rPr>
          <w:rFonts w:hint="eastAsia" w:ascii="Times New Roman" w:hAnsi="Times New Roman" w:cs="仿宋_GB2312"/>
          <w:szCs w:val="32"/>
        </w:rPr>
        <w:t>新区中央商务区综合交通枢纽站前广场、云浮市档案综合大楼、新区文体公园、光明外国语学校等设施建成使用，图书馆建设进入收尾，</w:t>
      </w:r>
      <w:r>
        <w:rPr>
          <w:rFonts w:ascii="Times New Roman" w:hAnsi="Times New Roman" w:cs="仿宋_GB2312"/>
          <w:szCs w:val="32"/>
        </w:rPr>
        <w:t>体育馆和创业创新孵化基地有序推进。深入开展环境卫生治理工作，实施网格</w:t>
      </w:r>
      <w:r>
        <w:rPr>
          <w:rFonts w:hint="eastAsia" w:ascii="Times New Roman" w:hAnsi="Times New Roman" w:cs="仿宋_GB2312"/>
          <w:szCs w:val="32"/>
        </w:rPr>
        <w:t>化管理、常态化巡查，完善环卫设施配套，截至</w:t>
      </w:r>
      <w:r>
        <w:rPr>
          <w:rFonts w:ascii="Times New Roman" w:hAnsi="Times New Roman" w:cs="仿宋_GB2312"/>
          <w:szCs w:val="32"/>
        </w:rPr>
        <w:t>2020年底，城镇生活污水处理率</w:t>
      </w:r>
      <w:r>
        <w:rPr>
          <w:rFonts w:hint="eastAsia" w:ascii="Times New Roman" w:hAnsi="Times New Roman" w:cs="仿宋_GB2312"/>
          <w:szCs w:val="32"/>
        </w:rPr>
        <w:t>超过9</w:t>
      </w:r>
      <w:r>
        <w:rPr>
          <w:rFonts w:ascii="Times New Roman" w:hAnsi="Times New Roman" w:cs="仿宋_GB2312"/>
          <w:szCs w:val="32"/>
        </w:rPr>
        <w:t>2%，生活垃圾无害化处理率达98%。</w:t>
      </w:r>
    </w:p>
    <w:p>
      <w:pPr>
        <w:pStyle w:val="11"/>
        <w:spacing w:line="600" w:lineRule="exact"/>
        <w:ind w:firstLine="643"/>
        <w:rPr>
          <w:rFonts w:ascii="Times New Roman" w:hAnsi="Times New Roman" w:cs="仿宋_GB2312"/>
          <w:szCs w:val="32"/>
        </w:rPr>
      </w:pPr>
      <w:bookmarkStart w:id="16" w:name="_Toc56537377"/>
      <w:r>
        <w:rPr>
          <w:rFonts w:hint="eastAsia" w:ascii="Times New Roman" w:hAnsi="Times New Roman" w:cs="Times New Roman"/>
          <w:b/>
          <w:bCs/>
        </w:rPr>
        <w:t>乡村振兴</w:t>
      </w:r>
      <w:bookmarkEnd w:id="16"/>
      <w:r>
        <w:rPr>
          <w:rFonts w:hint="eastAsia" w:ascii="Times New Roman" w:hAnsi="Times New Roman" w:cs="Times New Roman"/>
          <w:b/>
          <w:bCs/>
        </w:rPr>
        <w:t>步伐加快</w:t>
      </w:r>
      <w:r>
        <w:rPr>
          <w:rFonts w:hint="eastAsia" w:ascii="Times New Roman" w:hAnsi="Times New Roman" w:cs="仿宋_GB2312"/>
          <w:b/>
          <w:bCs/>
          <w:szCs w:val="32"/>
        </w:rPr>
        <w:t>。</w:t>
      </w:r>
      <w:r>
        <w:rPr>
          <w:rFonts w:ascii="Times New Roman" w:hAnsi="Times New Roman" w:cs="仿宋_GB2312"/>
          <w:szCs w:val="32"/>
        </w:rPr>
        <w:t>深入开展脱贫攻坚工作，全区贫困人口已全部脱贫，22个省定贫困村全部出列。</w:t>
      </w:r>
      <w:r>
        <w:rPr>
          <w:rFonts w:hint="eastAsia" w:ascii="Times New Roman" w:hAnsi="Times New Roman" w:cs="仿宋_GB2312"/>
          <w:szCs w:val="32"/>
        </w:rPr>
        <w:t>农业主体发展壮大，全区区级以上的农业龙头企业</w:t>
      </w:r>
      <w:r>
        <w:rPr>
          <w:rFonts w:ascii="Times New Roman" w:hAnsi="Times New Roman" w:cs="仿宋_GB2312"/>
          <w:szCs w:val="32"/>
        </w:rPr>
        <w:t>32家（</w:t>
      </w:r>
      <w:r>
        <w:rPr>
          <w:rFonts w:hint="eastAsia" w:ascii="Times New Roman" w:hAnsi="Times New Roman" w:cs="仿宋_GB2312"/>
          <w:szCs w:val="32"/>
        </w:rPr>
        <w:t>其中</w:t>
      </w:r>
      <w:r>
        <w:rPr>
          <w:rFonts w:ascii="Times New Roman" w:hAnsi="Times New Roman" w:cs="仿宋_GB2312"/>
          <w:szCs w:val="32"/>
        </w:rPr>
        <w:t>省级</w:t>
      </w:r>
      <w:r>
        <w:rPr>
          <w:rFonts w:hint="eastAsia" w:ascii="Times New Roman" w:hAnsi="Times New Roman" w:cs="仿宋_GB2312"/>
          <w:szCs w:val="32"/>
        </w:rPr>
        <w:t>4</w:t>
      </w:r>
      <w:r>
        <w:rPr>
          <w:rFonts w:ascii="Times New Roman" w:hAnsi="Times New Roman" w:cs="仿宋_GB2312"/>
          <w:szCs w:val="32"/>
        </w:rPr>
        <w:t>家），登记在册的家庭农场</w:t>
      </w:r>
      <w:r>
        <w:rPr>
          <w:rFonts w:hint="eastAsia" w:ascii="Times New Roman" w:hAnsi="Times New Roman" w:cs="仿宋_GB2312"/>
          <w:szCs w:val="32"/>
        </w:rPr>
        <w:t>356</w:t>
      </w:r>
      <w:r>
        <w:rPr>
          <w:rFonts w:ascii="Times New Roman" w:hAnsi="Times New Roman" w:cs="仿宋_GB2312"/>
          <w:szCs w:val="32"/>
        </w:rPr>
        <w:t>家、农民专业合作社24</w:t>
      </w:r>
      <w:r>
        <w:rPr>
          <w:rFonts w:hint="eastAsia" w:ascii="Times New Roman" w:hAnsi="Times New Roman" w:cs="仿宋_GB2312"/>
          <w:szCs w:val="32"/>
        </w:rPr>
        <w:t>4</w:t>
      </w:r>
      <w:r>
        <w:rPr>
          <w:rFonts w:ascii="Times New Roman" w:hAnsi="Times New Roman" w:cs="仿宋_GB2312"/>
          <w:szCs w:val="32"/>
        </w:rPr>
        <w:t>家。</w:t>
      </w:r>
      <w:r>
        <w:rPr>
          <w:rFonts w:hint="eastAsia" w:ascii="Times New Roman" w:hAnsi="Times New Roman"/>
        </w:rPr>
        <w:t>省级菜篮子基地（养殖场）</w:t>
      </w:r>
      <w:r>
        <w:rPr>
          <w:rFonts w:ascii="Times New Roman" w:hAnsi="Times New Roman"/>
        </w:rPr>
        <w:t>2家、省级现代美丽牧场</w:t>
      </w:r>
      <w:r>
        <w:rPr>
          <w:rFonts w:hint="eastAsia" w:ascii="Times New Roman" w:hAnsi="Times New Roman"/>
        </w:rPr>
        <w:t>2</w:t>
      </w:r>
      <w:r>
        <w:rPr>
          <w:rFonts w:ascii="Times New Roman" w:hAnsi="Times New Roman"/>
        </w:rPr>
        <w:t>家，拥有国家A级绿色认证产品3个，无公害认证产品2个，地方知名品牌6个，</w:t>
      </w:r>
      <w:r>
        <w:rPr>
          <w:rFonts w:hint="eastAsia" w:ascii="Times New Roman" w:hAnsi="Times New Roman"/>
        </w:rPr>
        <w:t>国家农业部产业强镇</w:t>
      </w:r>
      <w:r>
        <w:rPr>
          <w:rFonts w:ascii="Times New Roman" w:hAnsi="Times New Roman"/>
        </w:rPr>
        <w:t>1个（石城镇肉牛产业），省级现代农业</w:t>
      </w:r>
      <w:r>
        <w:rPr>
          <w:rFonts w:hint="eastAsia" w:ascii="Times New Roman" w:hAnsi="Times New Roman"/>
        </w:rPr>
        <w:t>产业</w:t>
      </w:r>
      <w:r>
        <w:rPr>
          <w:rFonts w:ascii="Times New Roman" w:hAnsi="Times New Roman"/>
        </w:rPr>
        <w:t>园2个</w:t>
      </w:r>
      <w:r>
        <w:rPr>
          <w:rFonts w:hint="eastAsia" w:ascii="Times New Roman" w:hAnsi="Times New Roman"/>
        </w:rPr>
        <w:t>，省级“一乡一品”项目镇</w:t>
      </w:r>
      <w:r>
        <w:rPr>
          <w:rFonts w:ascii="Times New Roman" w:hAnsi="Times New Roman"/>
        </w:rPr>
        <w:t>4</w:t>
      </w:r>
      <w:r>
        <w:rPr>
          <w:rFonts w:hint="eastAsia" w:ascii="Times New Roman" w:hAnsi="Times New Roman"/>
        </w:rPr>
        <w:t>个，省级“一村一品”项目</w:t>
      </w:r>
      <w:r>
        <w:rPr>
          <w:rFonts w:ascii="Times New Roman" w:hAnsi="Times New Roman"/>
        </w:rPr>
        <w:t>7</w:t>
      </w:r>
      <w:r>
        <w:rPr>
          <w:rFonts w:hint="eastAsia" w:ascii="Times New Roman" w:hAnsi="Times New Roman"/>
        </w:rPr>
        <w:t>个，获国家级地理标志保护产品</w:t>
      </w:r>
      <w:r>
        <w:rPr>
          <w:rFonts w:ascii="Times New Roman" w:hAnsi="Times New Roman"/>
        </w:rPr>
        <w:t>2</w:t>
      </w:r>
      <w:r>
        <w:rPr>
          <w:rFonts w:hint="eastAsia" w:ascii="Times New Roman" w:hAnsi="Times New Roman"/>
        </w:rPr>
        <w:t>个。现代特色农业产业集聚发展，花卉苗木产业园种植面积达</w:t>
      </w:r>
      <w:r>
        <w:rPr>
          <w:rFonts w:ascii="Times New Roman" w:hAnsi="Times New Roman"/>
        </w:rPr>
        <w:t>2.5</w:t>
      </w:r>
      <w:r>
        <w:rPr>
          <w:rFonts w:hint="eastAsia" w:ascii="Times New Roman" w:hAnsi="Times New Roman"/>
        </w:rPr>
        <w:t>万亩，总产值</w:t>
      </w:r>
      <w:r>
        <w:rPr>
          <w:rFonts w:ascii="Times New Roman" w:hAnsi="Times New Roman"/>
        </w:rPr>
        <w:t>8.14</w:t>
      </w:r>
      <w:r>
        <w:rPr>
          <w:rFonts w:hint="eastAsia" w:ascii="Times New Roman" w:hAnsi="Times New Roman"/>
        </w:rPr>
        <w:t>亿元；</w:t>
      </w:r>
      <w:r>
        <w:rPr>
          <w:rFonts w:hint="eastAsia" w:ascii="Times New Roman" w:hAnsi="Times New Roman" w:cs="仿宋_GB2312"/>
          <w:szCs w:val="32"/>
        </w:rPr>
        <w:t>肉牛产业园是目前全省唯一以肉牛为主导产业的省级现代农业产业园；</w:t>
      </w:r>
      <w:r>
        <w:rPr>
          <w:rFonts w:ascii="Times New Roman" w:hAnsi="Times New Roman" w:cs="仿宋_GB2312"/>
          <w:szCs w:val="32"/>
        </w:rPr>
        <w:t>现代特色南药示范区建成种植基地6个，现有南药种植面积约6.32万亩。农村人居环境持续改善，</w:t>
      </w:r>
      <w:r>
        <w:rPr>
          <w:rFonts w:hint="eastAsia" w:ascii="Times New Roman" w:hAnsi="Times New Roman" w:cs="仿宋_GB2312"/>
          <w:szCs w:val="32"/>
        </w:rPr>
        <w:t>村庄规划实现全覆盖，</w:t>
      </w:r>
      <w:r>
        <w:rPr>
          <w:rFonts w:ascii="Times New Roman" w:hAnsi="Times New Roman" w:cs="仿宋_GB2312"/>
          <w:szCs w:val="32"/>
        </w:rPr>
        <w:t>全面完成“三清三拆三整治”工作，大力推进</w:t>
      </w:r>
      <w:r>
        <w:rPr>
          <w:rFonts w:hint="eastAsia" w:ascii="Times New Roman" w:hAnsi="Times New Roman" w:cs="仿宋_GB2312"/>
          <w:szCs w:val="32"/>
        </w:rPr>
        <w:t>“厕所革命”</w:t>
      </w:r>
      <w:r>
        <w:rPr>
          <w:rFonts w:ascii="Times New Roman" w:hAnsi="Times New Roman" w:cs="仿宋_GB2312"/>
          <w:szCs w:val="32"/>
        </w:rPr>
        <w:t>，农村生活垃圾清运率和无害化处理率达到98%。乡村旅游发展迅猛，</w:t>
      </w:r>
      <w:r>
        <w:rPr>
          <w:rFonts w:hint="eastAsia" w:ascii="Times New Roman" w:hAnsi="Times New Roman" w:cs="仿宋_GB2312"/>
          <w:szCs w:val="32"/>
        </w:rPr>
        <w:t>打造了湾边、石底等一批特色精品村，</w:t>
      </w:r>
      <w:r>
        <w:rPr>
          <w:rFonts w:ascii="Times New Roman" w:hAnsi="Times New Roman" w:cs="仿宋_GB2312"/>
          <w:szCs w:val="32"/>
        </w:rPr>
        <w:t>云雾</w:t>
      </w:r>
      <w:r>
        <w:rPr>
          <w:rFonts w:hint="eastAsia" w:ascii="Times New Roman" w:hAnsi="Times New Roman" w:cs="仿宋_GB2312"/>
          <w:szCs w:val="32"/>
        </w:rPr>
        <w:t>山美丽乡村之旅等</w:t>
      </w:r>
      <w:r>
        <w:rPr>
          <w:rFonts w:ascii="Times New Roman" w:hAnsi="Times New Roman" w:cs="仿宋_GB2312"/>
          <w:szCs w:val="32"/>
        </w:rPr>
        <w:t>2条精品线路入选全市十大乡村旅游精品线路，云雾山旅游度假区入选全国优选旅游项目。基层社会治理深入推进，白石镇石底村入选</w:t>
      </w:r>
      <w:r>
        <w:rPr>
          <w:rFonts w:hint="eastAsia" w:ascii="Times New Roman" w:hAnsi="Times New Roman" w:cs="仿宋_GB2312"/>
          <w:szCs w:val="32"/>
        </w:rPr>
        <w:t>“全国乡村治理示范村”</w:t>
      </w:r>
      <w:r>
        <w:rPr>
          <w:rFonts w:ascii="Times New Roman" w:hAnsi="Times New Roman" w:cs="仿宋_GB2312"/>
          <w:szCs w:val="32"/>
        </w:rPr>
        <w:t>。</w:t>
      </w:r>
    </w:p>
    <w:p>
      <w:pPr>
        <w:pStyle w:val="11"/>
        <w:spacing w:line="600" w:lineRule="exact"/>
        <w:ind w:firstLine="643"/>
        <w:rPr>
          <w:rFonts w:ascii="Times New Roman" w:hAnsi="Times New Roman"/>
          <w:shd w:val="clear" w:color="auto" w:fill="FFFFFF"/>
        </w:rPr>
      </w:pPr>
      <w:bookmarkStart w:id="17" w:name="_Toc56537378"/>
      <w:r>
        <w:rPr>
          <w:rFonts w:hint="eastAsia" w:ascii="Times New Roman" w:hAnsi="Times New Roman" w:cs="仿宋_GB2312"/>
          <w:b/>
          <w:bCs/>
          <w:szCs w:val="32"/>
        </w:rPr>
        <w:t>生态建设</w:t>
      </w:r>
      <w:bookmarkEnd w:id="17"/>
      <w:r>
        <w:rPr>
          <w:rFonts w:hint="eastAsia" w:ascii="Times New Roman" w:hAnsi="Times New Roman" w:cs="仿宋_GB2312"/>
          <w:b/>
          <w:bCs/>
          <w:szCs w:val="32"/>
        </w:rPr>
        <w:t>有新突破。</w:t>
      </w:r>
      <w:r>
        <w:rPr>
          <w:rFonts w:hint="eastAsia" w:ascii="Times New Roman" w:hAnsi="Times New Roman" w:cs="仿宋_GB2312"/>
          <w:szCs w:val="32"/>
        </w:rPr>
        <w:t>坚决</w:t>
      </w:r>
      <w:r>
        <w:rPr>
          <w:rFonts w:hint="eastAsia" w:ascii="Times New Roman" w:hAnsi="Times New Roman"/>
          <w:shd w:val="clear" w:color="auto" w:fill="FFFFFF"/>
        </w:rPr>
        <w:t>打好污染防治攻坚战，全面实施河长制，西江水源地饮用水源水质达标率</w:t>
      </w:r>
      <w:r>
        <w:rPr>
          <w:rFonts w:ascii="Times New Roman" w:hAnsi="Times New Roman"/>
          <w:shd w:val="clear" w:color="auto" w:fill="FFFFFF"/>
        </w:rPr>
        <w:t>100%</w:t>
      </w:r>
      <w:r>
        <w:rPr>
          <w:rFonts w:hint="eastAsia" w:ascii="Times New Roman" w:hAnsi="Times New Roman"/>
          <w:shd w:val="clear" w:color="auto" w:fill="FFFFFF"/>
        </w:rPr>
        <w:t>，水质状况评价为优。扎实推进水污染防治工作，</w:t>
      </w:r>
      <w:r>
        <w:rPr>
          <w:rFonts w:hint="eastAsia" w:ascii="Times New Roman" w:hAnsi="Times New Roman"/>
          <w:szCs w:val="32"/>
        </w:rPr>
        <w:t>新建成城镇污水处理厂4座</w:t>
      </w:r>
      <w:r>
        <w:rPr>
          <w:rFonts w:ascii="Times New Roman" w:hAnsi="Times New Roman"/>
          <w:shd w:val="clear" w:color="auto" w:fill="FFFFFF"/>
        </w:rPr>
        <w:t>，22条省定贫困村启动新农村示范村生活污水处理工程建设，建成或在建污水处理站112个。</w:t>
      </w:r>
      <w:r>
        <w:rPr>
          <w:rFonts w:hint="eastAsia" w:ascii="Times New Roman" w:hAnsi="Times New Roman"/>
          <w:shd w:val="clear" w:color="auto" w:fill="FFFFFF"/>
        </w:rPr>
        <w:t>开展大气污染防治，铁腕治限治超、治砂治矿、治“散乱污”企业，乌烟瘴气、烟尘滚滚的局面得到明显遏制，主要污染物排放总量稳中有降，企业清洁生产水平明显提升</w:t>
      </w:r>
      <w:r>
        <w:rPr>
          <w:rFonts w:ascii="Times New Roman" w:hAnsi="Times New Roman"/>
          <w:shd w:val="clear" w:color="auto" w:fill="FFFFFF"/>
        </w:rPr>
        <w:t>，</w:t>
      </w:r>
      <w:r>
        <w:rPr>
          <w:rFonts w:hint="eastAsia" w:ascii="Times New Roman" w:hAnsi="Times New Roman"/>
          <w:shd w:val="clear" w:color="auto" w:fill="FFFFFF"/>
        </w:rPr>
        <w:t>全区空气环境质量保持在国家二级标准以上。加强森林资源保护，扎实推进“一江五道”第一重山的生态保护及林地生态功能保护</w:t>
      </w:r>
      <w:r>
        <w:rPr>
          <w:rFonts w:ascii="Times New Roman" w:hAnsi="Times New Roman"/>
          <w:shd w:val="clear" w:color="auto" w:fill="FFFFFF"/>
        </w:rPr>
        <w:t>，</w:t>
      </w:r>
      <w:r>
        <w:rPr>
          <w:rFonts w:hint="eastAsia" w:ascii="Times New Roman" w:hAnsi="Times New Roman" w:cs="楷体_GB2312"/>
          <w:szCs w:val="32"/>
        </w:rPr>
        <w:t>云雾山被省列入大湾区生态屏障和水源涵养地</w:t>
      </w:r>
      <w:r>
        <w:rPr>
          <w:rFonts w:ascii="Times New Roman" w:hAnsi="Times New Roman" w:cs="楷体_GB2312"/>
          <w:szCs w:val="32"/>
        </w:rPr>
        <w:t>。</w:t>
      </w:r>
      <w:r>
        <w:rPr>
          <w:rFonts w:hint="eastAsia" w:ascii="Times New Roman" w:hAnsi="Times New Roman"/>
          <w:shd w:val="clear" w:color="auto" w:fill="FFFFFF"/>
        </w:rPr>
        <w:t>深入实施生态景观林、森林碳汇、森林进城围城和乡村绿化美化四大林业重点生态工程，完成生态景观林带建设</w:t>
      </w:r>
      <w:r>
        <w:rPr>
          <w:rFonts w:ascii="Times New Roman" w:hAnsi="Times New Roman"/>
          <w:shd w:val="clear" w:color="auto" w:fill="FFFFFF"/>
        </w:rPr>
        <w:t>359亩及完善提升1080亩，森林碳汇造林面积23516亩，森林抚育面积142671亩，全区共发现202株古树名木，建设乡村美化绿化村150条（其中省级乡村美化绿化村50条，县级乡村美化绿化村100条），建</w:t>
      </w:r>
      <w:r>
        <w:rPr>
          <w:rFonts w:hint="eastAsia" w:ascii="Times New Roman" w:hAnsi="Times New Roman"/>
          <w:shd w:val="clear" w:color="auto" w:fill="FFFFFF"/>
        </w:rPr>
        <w:t>成</w:t>
      </w:r>
      <w:r>
        <w:rPr>
          <w:rFonts w:ascii="Times New Roman" w:hAnsi="Times New Roman"/>
          <w:shd w:val="clear" w:color="auto" w:fill="FFFFFF"/>
        </w:rPr>
        <w:t>绿美古树村庄3个，林业有害生物防控效果良好。2020年全区森林覆盖率达到66%。</w:t>
      </w:r>
      <w:r>
        <w:rPr>
          <w:rFonts w:hint="eastAsia" w:ascii="Times New Roman" w:hAnsi="Times New Roman"/>
          <w:shd w:val="clear" w:color="auto" w:fill="FFFFFF"/>
        </w:rPr>
        <w:t>“十三五”期间，我区总量减排考核、环保责任考核、大气污染防治考核均顺利完成市下达考核目标任务</w:t>
      </w:r>
      <w:r>
        <w:rPr>
          <w:rFonts w:ascii="Times New Roman" w:hAnsi="Times New Roman"/>
          <w:shd w:val="clear" w:color="auto" w:fill="FFFFFF"/>
        </w:rPr>
        <w:t>。</w:t>
      </w:r>
      <w:r>
        <w:rPr>
          <w:rFonts w:hint="eastAsia" w:ascii="Times New Roman" w:hAnsi="Times New Roman"/>
          <w:shd w:val="clear" w:color="auto" w:fill="FFFFFF"/>
        </w:rPr>
        <w:t>中央环保督察“回头看”工作扎实推进，督察组交办的案件全部办结。</w:t>
      </w:r>
    </w:p>
    <w:p>
      <w:pPr>
        <w:pStyle w:val="11"/>
        <w:spacing w:line="600" w:lineRule="exact"/>
        <w:ind w:firstLine="643"/>
        <w:rPr>
          <w:rFonts w:ascii="Times New Roman" w:hAnsi="Times New Roman"/>
          <w:shd w:val="clear" w:color="auto" w:fill="FFFFFF"/>
        </w:rPr>
      </w:pPr>
      <w:bookmarkStart w:id="18" w:name="_Toc56537379"/>
      <w:r>
        <w:rPr>
          <w:rFonts w:hint="eastAsia" w:ascii="Times New Roman" w:hAnsi="Times New Roman" w:cs="Times New Roman"/>
          <w:b/>
          <w:bCs/>
        </w:rPr>
        <w:t>社会事业全面进步</w:t>
      </w:r>
      <w:bookmarkEnd w:id="18"/>
      <w:r>
        <w:rPr>
          <w:rFonts w:hint="eastAsia" w:ascii="Times New Roman" w:hAnsi="Times New Roman" w:cs="Times New Roman"/>
          <w:b/>
          <w:bCs/>
        </w:rPr>
        <w:t>。</w:t>
      </w:r>
      <w:r>
        <w:rPr>
          <w:rFonts w:hint="eastAsia" w:ascii="Times New Roman" w:hAnsi="Times New Roman"/>
          <w:shd w:val="clear" w:color="auto" w:fill="FFFFFF"/>
        </w:rPr>
        <w:t>教育事业有新进展，成功创建广东省推进教育现代化先进区。公办幼儿园在园幼儿数占比和普惠性民办幼儿园在园幼儿数占比达到“</w:t>
      </w:r>
      <w:r>
        <w:rPr>
          <w:rFonts w:ascii="Times New Roman" w:hAnsi="Times New Roman"/>
          <w:shd w:val="clear" w:color="auto" w:fill="FFFFFF"/>
        </w:rPr>
        <w:t>5080</w:t>
      </w:r>
      <w:r>
        <w:rPr>
          <w:rFonts w:hint="eastAsia" w:ascii="Times New Roman" w:hAnsi="Times New Roman"/>
          <w:shd w:val="clear" w:color="auto" w:fill="FFFFFF"/>
        </w:rPr>
        <w:t>”</w:t>
      </w:r>
      <w:r>
        <w:rPr>
          <w:rFonts w:ascii="Times New Roman" w:hAnsi="Times New Roman"/>
          <w:shd w:val="clear" w:color="auto" w:fill="FFFFFF"/>
        </w:rPr>
        <w:t>普惠目标任务</w:t>
      </w:r>
      <w:r>
        <w:rPr>
          <w:rFonts w:hint="eastAsia" w:ascii="Times New Roman" w:hAnsi="Times New Roman"/>
          <w:shd w:val="clear" w:color="auto" w:fill="FFFFFF"/>
        </w:rPr>
        <w:t>。优化学校布局调整，推进寄宿制学校建设，成立鲲鹏教育基金会，云浮实验学校破土动工。教育信息化建设力度加大，</w:t>
      </w:r>
      <w:r>
        <w:rPr>
          <w:rFonts w:ascii="Times New Roman" w:hAnsi="Times New Roman"/>
          <w:shd w:val="clear" w:color="auto" w:fill="FFFFFF"/>
        </w:rPr>
        <w:t>全区中小学基本实现宽带</w:t>
      </w:r>
      <w:r>
        <w:rPr>
          <w:rFonts w:hint="eastAsia" w:ascii="Times New Roman" w:hAnsi="Times New Roman"/>
          <w:shd w:val="clear" w:color="auto" w:fill="FFFFFF"/>
        </w:rPr>
        <w:t>“校校通”</w:t>
      </w:r>
      <w:r>
        <w:rPr>
          <w:rFonts w:ascii="Times New Roman" w:hAnsi="Times New Roman"/>
          <w:shd w:val="clear" w:color="auto" w:fill="FFFFFF"/>
        </w:rPr>
        <w:t>。</w:t>
      </w:r>
      <w:bookmarkStart w:id="19" w:name="_Hlk58252916"/>
      <w:r>
        <w:rPr>
          <w:rFonts w:hint="eastAsia" w:ascii="Times New Roman" w:hAnsi="Times New Roman"/>
          <w:shd w:val="clear" w:color="auto" w:fill="FFFFFF"/>
        </w:rPr>
        <w:t>卫生事业有新提升</w:t>
      </w:r>
      <w:bookmarkEnd w:id="19"/>
      <w:r>
        <w:rPr>
          <w:rFonts w:hint="eastAsia" w:ascii="Times New Roman" w:hAnsi="Times New Roman"/>
          <w:shd w:val="clear" w:color="auto" w:fill="FFFFFF"/>
        </w:rPr>
        <w:t>，区人民医院完成升级改造，通过“创市二甲”等级评审并挂牌，区中医院</w:t>
      </w:r>
      <w:r>
        <w:rPr>
          <w:rFonts w:hint="eastAsia" w:ascii="Times New Roman" w:hAnsi="Times New Roman"/>
          <w:shd w:val="clear" w:color="auto" w:fill="FFFFFF"/>
          <w:lang w:eastAsia="zh-Hans"/>
        </w:rPr>
        <w:t>建成</w:t>
      </w:r>
      <w:r>
        <w:rPr>
          <w:rFonts w:hint="eastAsia" w:ascii="Times New Roman" w:hAnsi="Times New Roman"/>
          <w:shd w:val="clear" w:color="auto" w:fill="FFFFFF"/>
        </w:rPr>
        <w:t>使用，区第二人民医院、区疾病预防控制中心等</w:t>
      </w:r>
      <w:r>
        <w:rPr>
          <w:rFonts w:hint="eastAsia" w:ascii="Times New Roman" w:hAnsi="Times New Roman"/>
          <w:shd w:val="clear" w:color="auto" w:fill="FFFFFF"/>
          <w:lang w:eastAsia="zh-Hans"/>
        </w:rPr>
        <w:t>加快</w:t>
      </w:r>
      <w:r>
        <w:rPr>
          <w:rFonts w:hint="eastAsia" w:ascii="Times New Roman" w:hAnsi="Times New Roman"/>
          <w:shd w:val="clear" w:color="auto" w:fill="FFFFFF"/>
        </w:rPr>
        <w:t>建设，</w:t>
      </w:r>
      <w:r>
        <w:rPr>
          <w:rFonts w:hint="eastAsia" w:ascii="Times New Roman" w:hAnsi="Times New Roman"/>
          <w:shd w:val="clear" w:color="auto" w:fill="FFFFFF"/>
          <w:lang w:eastAsia="zh-Hans"/>
        </w:rPr>
        <w:t>推动</w:t>
      </w:r>
      <w:r>
        <w:rPr>
          <w:rFonts w:hint="eastAsia" w:ascii="Times New Roman" w:hAnsi="Times New Roman"/>
          <w:shd w:val="clear" w:color="auto" w:fill="FFFFFF"/>
        </w:rPr>
        <w:t>各基层医疗卫生机构进行扩容提质。医疗卫生体制改革稳步推进。加强公共卫生应急体系和能力建设，提升卫生综合监管能力，建立健全疾病预防控制体系，始终保持疫情“零发”态势。</w:t>
      </w:r>
      <w:bookmarkStart w:id="20" w:name="_Hlk58252934"/>
      <w:r>
        <w:rPr>
          <w:rFonts w:ascii="Times New Roman" w:hAnsi="Times New Roman"/>
          <w:shd w:val="clear" w:color="auto" w:fill="FFFFFF"/>
        </w:rPr>
        <w:t>加大卫生信息化建设力度，</w:t>
      </w:r>
      <w:r>
        <w:rPr>
          <w:rFonts w:hint="eastAsia" w:ascii="Times New Roman" w:hAnsi="Times New Roman"/>
          <w:shd w:val="clear" w:color="auto" w:fill="FFFFFF"/>
        </w:rPr>
        <w:t>搭建“医学影像云平台”，荣获“</w:t>
      </w:r>
      <w:r>
        <w:rPr>
          <w:rFonts w:ascii="Times New Roman" w:hAnsi="Times New Roman"/>
          <w:shd w:val="clear" w:color="auto" w:fill="FFFFFF"/>
        </w:rPr>
        <w:t>2017年度互联网医疗领域最佳创新奖</w:t>
      </w:r>
      <w:r>
        <w:rPr>
          <w:rFonts w:hint="eastAsia" w:ascii="Times New Roman" w:hAnsi="Times New Roman"/>
          <w:shd w:val="clear" w:color="auto" w:fill="FFFFFF"/>
        </w:rPr>
        <w:t>”</w:t>
      </w:r>
      <w:r>
        <w:rPr>
          <w:rFonts w:ascii="Times New Roman" w:hAnsi="Times New Roman"/>
          <w:shd w:val="clear" w:color="auto" w:fill="FFFFFF"/>
        </w:rPr>
        <w:t>。</w:t>
      </w:r>
      <w:bookmarkEnd w:id="20"/>
      <w:r>
        <w:rPr>
          <w:rFonts w:ascii="Times New Roman" w:hAnsi="Times New Roman"/>
          <w:shd w:val="clear" w:color="auto" w:fill="FFFFFF"/>
        </w:rPr>
        <w:t>建成省远程医疗平台区级中心，开展市区镇三级医联体建设</w:t>
      </w:r>
      <w:r>
        <w:rPr>
          <w:rFonts w:hint="eastAsia" w:ascii="Times New Roman" w:hAnsi="Times New Roman"/>
          <w:shd w:val="clear" w:color="auto" w:fill="FFFFFF"/>
        </w:rPr>
        <w:t>，积极与南海区医疗单位形成对口帮扶体系，远程医疗服务连接南海区三甲医院且专家</w:t>
      </w:r>
      <w:r>
        <w:rPr>
          <w:rFonts w:ascii="Times New Roman" w:hAnsi="Times New Roman"/>
          <w:shd w:val="clear" w:color="auto" w:fill="FFFFFF"/>
        </w:rPr>
        <w:t>24小时提供服务，</w:t>
      </w:r>
      <w:r>
        <w:rPr>
          <w:rFonts w:hint="eastAsia" w:ascii="Times New Roman" w:hAnsi="Times New Roman"/>
          <w:shd w:val="clear" w:color="auto" w:fill="FFFFFF"/>
        </w:rPr>
        <w:t>全面提升“互联网+医疗健康”服务水平。文化体育水平逐步提高，云安区融媒体中心揭牌成立</w:t>
      </w:r>
      <w:r>
        <w:rPr>
          <w:rFonts w:ascii="Times New Roman" w:hAnsi="Times New Roman"/>
          <w:shd w:val="clear" w:color="auto" w:fill="FFFFFF"/>
        </w:rPr>
        <w:t>，</w:t>
      </w:r>
      <w:r>
        <w:rPr>
          <w:rFonts w:hint="eastAsia" w:ascii="Times New Roman" w:hAnsi="Times New Roman"/>
          <w:shd w:val="clear" w:color="auto" w:fill="FFFFFF"/>
        </w:rPr>
        <w:t>全区实现综合性文化服务中心全覆盖。</w:t>
      </w:r>
      <w:r>
        <w:rPr>
          <w:rFonts w:ascii="Times New Roman" w:hAnsi="Times New Roman"/>
          <w:shd w:val="clear" w:color="auto" w:fill="FFFFFF"/>
        </w:rPr>
        <w:t>加强公共数字文化建设</w:t>
      </w:r>
      <w:r>
        <w:rPr>
          <w:rFonts w:hint="eastAsia" w:ascii="Times New Roman" w:hAnsi="Times New Roman"/>
          <w:shd w:val="clear" w:color="auto" w:fill="FFFFFF"/>
        </w:rPr>
        <w:t>，</w:t>
      </w:r>
      <w:r>
        <w:rPr>
          <w:rFonts w:ascii="Times New Roman" w:hAnsi="Times New Roman"/>
          <w:shd w:val="clear" w:color="auto" w:fill="FFFFFF"/>
        </w:rPr>
        <w:t>设立</w:t>
      </w:r>
      <w:r>
        <w:rPr>
          <w:rFonts w:hint="eastAsia" w:ascii="Times New Roman" w:hAnsi="Times New Roman" w:cs="仿宋_GB2312"/>
          <w:shd w:val="clear" w:color="auto" w:fill="FFFFFF"/>
        </w:rPr>
        <w:t>“数字图书阅读推广示范点”“全民阅读推广示范点”。</w:t>
      </w:r>
      <w:r>
        <w:rPr>
          <w:rFonts w:hint="eastAsia" w:ascii="Times New Roman" w:hAnsi="Times New Roman"/>
          <w:shd w:val="clear" w:color="auto" w:fill="FFFFFF"/>
        </w:rPr>
        <w:t>文化品牌影响力进一步提升，陈</w:t>
      </w:r>
      <w:r>
        <w:rPr>
          <w:rFonts w:hint="eastAsia" w:ascii="Times New Roman" w:hAnsi="Times New Roman" w:eastAsia="微软雅黑" w:cs="微软雅黑"/>
          <w:shd w:val="clear" w:color="auto" w:fill="FFFFFF"/>
        </w:rPr>
        <w:t>璘</w:t>
      </w:r>
      <w:r>
        <w:rPr>
          <w:rFonts w:hint="eastAsia" w:ascii="Times New Roman" w:hAnsi="Times New Roman" w:cs="仿宋_GB2312"/>
          <w:shd w:val="clear" w:color="auto" w:fill="FFFFFF"/>
        </w:rPr>
        <w:t>和云雾山入选云浮十大文化名片。群众体育发展水平不断提高，新建居住区和社区体育设施覆盖率达到</w:t>
      </w:r>
      <w:r>
        <w:rPr>
          <w:rFonts w:ascii="Times New Roman" w:hAnsi="Times New Roman" w:cs="仿宋_GB2312"/>
          <w:shd w:val="clear" w:color="auto" w:fill="FFFFFF"/>
        </w:rPr>
        <w:t>100%，公共体育场地设施开放率达到95%</w:t>
      </w:r>
      <w:r>
        <w:rPr>
          <w:rFonts w:hint="eastAsia" w:ascii="Times New Roman" w:hAnsi="Times New Roman" w:cs="仿宋_GB2312"/>
          <w:shd w:val="clear" w:color="auto" w:fill="FFFFFF"/>
        </w:rPr>
        <w:t>。</w:t>
      </w:r>
      <w:r>
        <w:rPr>
          <w:rFonts w:hint="eastAsia" w:ascii="Times New Roman" w:hAnsi="Times New Roman"/>
          <w:shd w:val="clear" w:color="auto" w:fill="FFFFFF"/>
        </w:rPr>
        <w:t>社会保障能力不断加强。城乡低保、特困人员、孤儿、残疾人等的基本生活救助标准逐年提高，</w:t>
      </w:r>
      <w:r>
        <w:rPr>
          <w:rFonts w:hint="eastAsia" w:ascii="Times New Roman" w:hAnsi="Times New Roman" w:cs="楷体_GB2312"/>
          <w:szCs w:val="32"/>
        </w:rPr>
        <w:t>城乡居民基本医疗保险实现参保人群全覆盖</w:t>
      </w:r>
      <w:r>
        <w:rPr>
          <w:rFonts w:ascii="Times New Roman" w:hAnsi="Times New Roman" w:cs="楷体_GB2312"/>
          <w:szCs w:val="32"/>
        </w:rPr>
        <w:t>，</w:t>
      </w:r>
      <w:r>
        <w:rPr>
          <w:rFonts w:hint="eastAsia" w:ascii="Times New Roman" w:hAnsi="Times New Roman"/>
          <w:shd w:val="clear" w:color="auto" w:fill="FFFFFF"/>
        </w:rPr>
        <w:t>建立社会救助兜底保障机制，实现应保尽保、应兜尽兜。加快推进居家和社区养老服务建设，逐步建成以居家为基础、社区为依托、机构为补充、医养相结合的覆盖城乡的社区养老服务体系。全面完成养老机构公建民营社会化改革</w:t>
      </w:r>
      <w:r>
        <w:rPr>
          <w:rFonts w:ascii="Times New Roman" w:hAnsi="Times New Roman"/>
          <w:shd w:val="clear" w:color="auto" w:fill="FFFFFF"/>
        </w:rPr>
        <w:t>，</w:t>
      </w:r>
      <w:r>
        <w:rPr>
          <w:rFonts w:hint="eastAsia" w:ascii="Times New Roman" w:hAnsi="Times New Roman"/>
          <w:shd w:val="clear" w:color="auto" w:fill="FFFFFF"/>
          <w:lang w:eastAsia="zh-Hans"/>
        </w:rPr>
        <w:t>并</w:t>
      </w:r>
      <w:r>
        <w:rPr>
          <w:rFonts w:ascii="Times New Roman" w:hAnsi="Times New Roman"/>
          <w:shd w:val="clear" w:color="auto" w:fill="FFFFFF"/>
        </w:rPr>
        <w:t>入选全国改革优秀案例。</w:t>
      </w:r>
      <w:r>
        <w:rPr>
          <w:rFonts w:hint="eastAsia" w:ascii="Times New Roman" w:hAnsi="Times New Roman"/>
          <w:shd w:val="clear" w:color="auto" w:fill="FFFFFF"/>
        </w:rPr>
        <w:t>初步实现城乡公共就业服务体系全覆盖，</w:t>
      </w:r>
      <w:r>
        <w:rPr>
          <w:rFonts w:ascii="Times New Roman" w:hAnsi="Times New Roman"/>
          <w:shd w:val="clear" w:color="auto" w:fill="FFFFFF"/>
        </w:rPr>
        <w:t>城镇累计新增就业岗位</w:t>
      </w:r>
      <w:r>
        <w:rPr>
          <w:rFonts w:hint="eastAsia" w:ascii="Times New Roman" w:hAnsi="Times New Roman" w:cs="仿宋_GB2312"/>
          <w:szCs w:val="32"/>
        </w:rPr>
        <w:t>6689</w:t>
      </w:r>
      <w:r>
        <w:rPr>
          <w:rFonts w:ascii="Times New Roman" w:hAnsi="Times New Roman"/>
          <w:shd w:val="clear" w:color="auto" w:fill="FFFFFF"/>
        </w:rPr>
        <w:t>个</w:t>
      </w:r>
      <w:r>
        <w:rPr>
          <w:rFonts w:hint="eastAsia" w:ascii="Times New Roman" w:hAnsi="Times New Roman"/>
          <w:shd w:val="clear" w:color="auto" w:fill="FFFFFF"/>
        </w:rPr>
        <w:t>以上</w:t>
      </w:r>
      <w:r>
        <w:rPr>
          <w:rFonts w:ascii="Times New Roman" w:hAnsi="Times New Roman"/>
          <w:shd w:val="clear" w:color="auto" w:fill="FFFFFF"/>
        </w:rPr>
        <w:t>，城镇登记失业率控制在4%以内。</w:t>
      </w:r>
      <w:r>
        <w:rPr>
          <w:rFonts w:hint="eastAsia" w:ascii="Times New Roman" w:hAnsi="Times New Roman"/>
          <w:shd w:val="clear" w:color="auto" w:fill="FFFFFF"/>
        </w:rPr>
        <w:t>创新“微网格”治理模式，“法治云安”“平安云安”建设纵深推进，扫黑除恶专项斗争取得阶段性成果，云安区综治分平台（智慧政法大脑）荣获全国政法智能化建设创新优秀案例</w:t>
      </w:r>
      <w:r>
        <w:rPr>
          <w:rFonts w:ascii="Times New Roman" w:hAnsi="Times New Roman"/>
          <w:shd w:val="clear" w:color="auto" w:fill="FFFFFF"/>
        </w:rPr>
        <w:t>，社会面长期保持安全稳定。</w:t>
      </w:r>
    </w:p>
    <w:p>
      <w:pPr>
        <w:pStyle w:val="11"/>
        <w:spacing w:line="600" w:lineRule="exact"/>
        <w:ind w:firstLine="560"/>
        <w:jc w:val="center"/>
        <w:rPr>
          <w:rFonts w:ascii="Times New Roman" w:hAnsi="Times New Roman" w:eastAsia="黑体"/>
          <w:sz w:val="28"/>
          <w:szCs w:val="21"/>
          <w:shd w:val="clear" w:color="auto" w:fill="FFFFFF"/>
        </w:rPr>
      </w:pPr>
      <w:r>
        <w:rPr>
          <w:rFonts w:hint="eastAsia" w:ascii="Times New Roman" w:hAnsi="Times New Roman" w:eastAsia="黑体"/>
          <w:sz w:val="28"/>
          <w:szCs w:val="21"/>
          <w:shd w:val="clear" w:color="auto" w:fill="FFFFFF"/>
        </w:rPr>
        <w:t>表1</w:t>
      </w:r>
      <w:r>
        <w:rPr>
          <w:rFonts w:ascii="Times New Roman" w:hAnsi="Times New Roman" w:eastAsia="黑体"/>
          <w:sz w:val="28"/>
          <w:szCs w:val="21"/>
          <w:shd w:val="clear" w:color="auto" w:fill="FFFFFF"/>
        </w:rPr>
        <w:t xml:space="preserve">  </w:t>
      </w:r>
      <w:r>
        <w:rPr>
          <w:rFonts w:hint="eastAsia" w:ascii="Times New Roman" w:hAnsi="Times New Roman" w:eastAsia="黑体"/>
          <w:sz w:val="28"/>
          <w:szCs w:val="21"/>
          <w:shd w:val="clear" w:color="auto" w:fill="FFFFFF"/>
        </w:rPr>
        <w:t>云安区“十三五”主要发展目标完成情况</w:t>
      </w:r>
    </w:p>
    <w:tbl>
      <w:tblPr>
        <w:tblStyle w:val="20"/>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580"/>
        <w:gridCol w:w="992"/>
        <w:gridCol w:w="992"/>
        <w:gridCol w:w="1134"/>
        <w:gridCol w:w="993"/>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47" w:type="dxa"/>
            <w:gridSpan w:val="2"/>
            <w:vMerge w:val="restart"/>
            <w:vAlign w:val="center"/>
          </w:tcPr>
          <w:p>
            <w:pPr>
              <w:pStyle w:val="11"/>
              <w:spacing w:line="600" w:lineRule="exact"/>
              <w:ind w:firstLine="402"/>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指标名称</w:t>
            </w:r>
          </w:p>
        </w:tc>
        <w:tc>
          <w:tcPr>
            <w:tcW w:w="992" w:type="dxa"/>
            <w:vMerge w:val="restart"/>
            <w:vAlign w:val="center"/>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2015年</w:t>
            </w:r>
          </w:p>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基期值</w:t>
            </w:r>
          </w:p>
        </w:tc>
        <w:tc>
          <w:tcPr>
            <w:tcW w:w="2126" w:type="dxa"/>
            <w:gridSpan w:val="2"/>
            <w:vAlign w:val="center"/>
          </w:tcPr>
          <w:p>
            <w:pPr>
              <w:pStyle w:val="11"/>
              <w:spacing w:line="240" w:lineRule="auto"/>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“十三五”目标值</w:t>
            </w:r>
          </w:p>
        </w:tc>
        <w:tc>
          <w:tcPr>
            <w:tcW w:w="2127" w:type="dxa"/>
            <w:gridSpan w:val="2"/>
            <w:vAlign w:val="center"/>
          </w:tcPr>
          <w:p>
            <w:pPr>
              <w:adjustRightInd w:val="0"/>
              <w:snapToGrid w:val="0"/>
              <w:jc w:val="center"/>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“十三五”</w:t>
            </w:r>
          </w:p>
          <w:p>
            <w:pPr>
              <w:adjustRightInd w:val="0"/>
              <w:snapToGrid w:val="0"/>
              <w:jc w:val="center"/>
              <w:rPr>
                <w:rFonts w:ascii="Times New Roman" w:hAnsi="Times New Roman"/>
                <w:b/>
                <w:bCs/>
                <w:sz w:val="20"/>
                <w:szCs w:val="20"/>
                <w:shd w:val="clear" w:color="auto" w:fill="FFFFFF"/>
              </w:rPr>
            </w:pPr>
            <w:r>
              <w:rPr>
                <w:rFonts w:hint="eastAsia" w:ascii="Times New Roman" w:hAnsi="Times New Roman" w:eastAsia="仿宋_GB2312" w:cs="仿宋_GB2312"/>
                <w:b/>
                <w:bCs/>
                <w:kern w:val="0"/>
                <w:sz w:val="20"/>
                <w:szCs w:val="20"/>
              </w:rPr>
              <w:t>完成情况</w:t>
            </w:r>
          </w:p>
        </w:tc>
        <w:tc>
          <w:tcPr>
            <w:tcW w:w="850" w:type="dxa"/>
            <w:vMerge w:val="restart"/>
            <w:vAlign w:val="center"/>
          </w:tcPr>
          <w:p>
            <w:pPr>
              <w:pStyle w:val="11"/>
              <w:spacing w:line="240" w:lineRule="auto"/>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指标</w:t>
            </w:r>
          </w:p>
          <w:p>
            <w:pPr>
              <w:pStyle w:val="11"/>
              <w:spacing w:line="240" w:lineRule="auto"/>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547" w:type="dxa"/>
            <w:gridSpan w:val="2"/>
            <w:vMerge w:val="continue"/>
          </w:tcPr>
          <w:p>
            <w:pPr>
              <w:pStyle w:val="11"/>
              <w:spacing w:line="600" w:lineRule="exact"/>
              <w:ind w:firstLine="402"/>
              <w:rPr>
                <w:rFonts w:ascii="Times New Roman" w:hAnsi="Times New Roman"/>
                <w:b/>
                <w:bCs/>
                <w:sz w:val="20"/>
                <w:szCs w:val="20"/>
                <w:shd w:val="clear" w:color="auto" w:fill="FFFFFF"/>
              </w:rPr>
            </w:pPr>
          </w:p>
        </w:tc>
        <w:tc>
          <w:tcPr>
            <w:tcW w:w="992" w:type="dxa"/>
            <w:vMerge w:val="continue"/>
          </w:tcPr>
          <w:p>
            <w:pPr>
              <w:pStyle w:val="11"/>
              <w:spacing w:line="600" w:lineRule="exact"/>
              <w:ind w:firstLine="402"/>
              <w:rPr>
                <w:rFonts w:ascii="Times New Roman" w:hAnsi="Times New Roman"/>
                <w:b/>
                <w:bCs/>
                <w:sz w:val="20"/>
                <w:szCs w:val="20"/>
                <w:shd w:val="clear" w:color="auto" w:fill="FFFFFF"/>
              </w:rPr>
            </w:pPr>
          </w:p>
        </w:tc>
        <w:tc>
          <w:tcPr>
            <w:tcW w:w="992" w:type="dxa"/>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2020年</w:t>
            </w:r>
          </w:p>
        </w:tc>
        <w:tc>
          <w:tcPr>
            <w:tcW w:w="1134" w:type="dxa"/>
          </w:tcPr>
          <w:p>
            <w:pPr>
              <w:adjustRightInd w:val="0"/>
              <w:snapToGrid w:val="0"/>
              <w:jc w:val="left"/>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年均增速</w:t>
            </w:r>
          </w:p>
          <w:p>
            <w:pPr>
              <w:adjustRightInd w:val="0"/>
              <w:snapToGrid w:val="0"/>
              <w:jc w:val="left"/>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[累计]</w:t>
            </w:r>
          </w:p>
        </w:tc>
        <w:tc>
          <w:tcPr>
            <w:tcW w:w="993" w:type="dxa"/>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2020年</w:t>
            </w:r>
          </w:p>
        </w:tc>
        <w:tc>
          <w:tcPr>
            <w:tcW w:w="1134" w:type="dxa"/>
          </w:tcPr>
          <w:p>
            <w:pPr>
              <w:adjustRightInd w:val="0"/>
              <w:snapToGrid w:val="0"/>
              <w:jc w:val="left"/>
              <w:rPr>
                <w:rFonts w:ascii="Times New Roman" w:hAnsi="Times New Roman" w:eastAsia="仿宋_GB2312" w:cs="仿宋_GB2312"/>
                <w:b/>
                <w:bCs/>
                <w:kern w:val="0"/>
                <w:sz w:val="20"/>
                <w:szCs w:val="20"/>
              </w:rPr>
            </w:pPr>
            <w:r>
              <w:rPr>
                <w:rFonts w:hint="eastAsia" w:ascii="Times New Roman" w:hAnsi="Times New Roman" w:eastAsia="仿宋_GB2312" w:cs="仿宋_GB2312"/>
                <w:b/>
                <w:bCs/>
                <w:kern w:val="0"/>
                <w:sz w:val="20"/>
                <w:szCs w:val="20"/>
              </w:rPr>
              <w:t>年均增速</w:t>
            </w:r>
          </w:p>
          <w:p>
            <w:pPr>
              <w:adjustRightInd w:val="0"/>
              <w:snapToGrid w:val="0"/>
              <w:jc w:val="left"/>
              <w:rPr>
                <w:rFonts w:ascii="Times New Roman" w:hAnsi="Times New Roman"/>
                <w:b/>
                <w:bCs/>
                <w:sz w:val="20"/>
                <w:szCs w:val="20"/>
                <w:shd w:val="clear" w:color="auto" w:fill="FFFFFF"/>
              </w:rPr>
            </w:pPr>
            <w:r>
              <w:rPr>
                <w:rFonts w:hint="eastAsia" w:ascii="Times New Roman" w:hAnsi="Times New Roman" w:eastAsia="仿宋_GB2312" w:cs="仿宋_GB2312"/>
                <w:b/>
                <w:bCs/>
                <w:kern w:val="0"/>
                <w:sz w:val="20"/>
                <w:szCs w:val="20"/>
              </w:rPr>
              <w:t>[累计]</w:t>
            </w:r>
          </w:p>
        </w:tc>
        <w:tc>
          <w:tcPr>
            <w:tcW w:w="850" w:type="dxa"/>
            <w:vMerge w:val="continue"/>
          </w:tcPr>
          <w:p>
            <w:pPr>
              <w:pStyle w:val="11"/>
              <w:spacing w:line="600" w:lineRule="exact"/>
              <w:ind w:firstLine="0" w:firstLineChars="0"/>
              <w:rPr>
                <w:rFonts w:ascii="Times New Roman" w:hAnsi="Times New Roman"/>
                <w:b/>
                <w:bCs/>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2" w:type="dxa"/>
            <w:gridSpan w:val="8"/>
            <w:vAlign w:val="center"/>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7" w:type="dxa"/>
            <w:gridSpan w:val="2"/>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地区生产总值(亿元)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76.13</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105</w:t>
            </w:r>
            <w:r>
              <w:rPr>
                <w:rFonts w:ascii="Times New Roman" w:hAnsi="Times New Roman"/>
                <w:sz w:val="20"/>
                <w:szCs w:val="20"/>
                <w:shd w:val="clear" w:color="auto" w:fill="FFFFFF"/>
              </w:rPr>
              <w:t>.</w:t>
            </w:r>
            <w:r>
              <w:rPr>
                <w:rFonts w:hint="eastAsia" w:ascii="Times New Roman" w:hAnsi="Times New Roman"/>
                <w:sz w:val="20"/>
                <w:szCs w:val="20"/>
                <w:shd w:val="clear" w:color="auto" w:fill="FFFFFF"/>
              </w:rPr>
              <w:t>91</w:t>
            </w:r>
          </w:p>
        </w:tc>
        <w:tc>
          <w:tcPr>
            <w:tcW w:w="1134" w:type="dxa"/>
            <w:vAlign w:val="center"/>
          </w:tcPr>
          <w:p>
            <w:pPr>
              <w:pStyle w:val="11"/>
              <w:spacing w:line="600" w:lineRule="exact"/>
              <w:ind w:firstLine="400"/>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7%</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109.71</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5.8%</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第一产业增加值(亿元）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10.93</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4%</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15.43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4.2%</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第二产业增加值(亿元)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43.77</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13%</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55.75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highlight w:val="yellow"/>
              </w:rPr>
            </w:pPr>
            <w:r>
              <w:rPr>
                <w:rFonts w:hint="eastAsia" w:ascii="Times New Roman" w:hAnsi="Times New Roman" w:eastAsia="仿宋_GB2312" w:cs="仿宋_GB2312"/>
                <w:kern w:val="0"/>
                <w:sz w:val="20"/>
                <w:szCs w:val="20"/>
              </w:rPr>
              <w:t>第三产业增加值(亿元)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21.43</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28.17</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9.5%</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38.53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8.4%</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人均生产总值(元)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27159</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36170</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6%</w:t>
            </w: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sz w:val="20"/>
                <w:szCs w:val="20"/>
                <w:shd w:val="clear" w:color="auto" w:fill="FFFFFF"/>
              </w:rPr>
              <w:t>未核定</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规模以上工业增加值(亿元)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48</w:t>
            </w:r>
            <w:r>
              <w:rPr>
                <w:rFonts w:ascii="Times New Roman" w:hAnsi="Times New Roman"/>
                <w:sz w:val="20"/>
                <w:szCs w:val="20"/>
                <w:shd w:val="clear" w:color="auto" w:fill="FFFFFF"/>
              </w:rPr>
              <w:t>.</w:t>
            </w:r>
            <w:r>
              <w:rPr>
                <w:rFonts w:hint="eastAsia" w:ascii="Times New Roman" w:hAnsi="Times New Roman"/>
                <w:sz w:val="20"/>
                <w:szCs w:val="20"/>
                <w:shd w:val="clear" w:color="auto" w:fill="FFFFFF"/>
              </w:rPr>
              <w:t>67</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5.2%</w:t>
            </w:r>
          </w:p>
        </w:tc>
        <w:tc>
          <w:tcPr>
            <w:tcW w:w="993" w:type="dxa"/>
            <w:vAlign w:val="center"/>
          </w:tcPr>
          <w:p>
            <w:pPr>
              <w:pStyle w:val="11"/>
              <w:spacing w:line="300" w:lineRule="exact"/>
              <w:ind w:firstLine="0" w:firstLineChars="0"/>
              <w:jc w:val="center"/>
              <w:rPr>
                <w:rFonts w:ascii="Times New Roman" w:hAnsi="Times New Roman" w:cs="仿宋_GB2312"/>
                <w:kern w:val="0"/>
                <w:sz w:val="20"/>
                <w:szCs w:val="20"/>
              </w:rPr>
            </w:pPr>
            <w:r>
              <w:rPr>
                <w:rFonts w:hint="eastAsia" w:ascii="Times New Roman" w:hAnsi="Times New Roman"/>
                <w:sz w:val="20"/>
                <w:szCs w:val="20"/>
                <w:shd w:val="clear" w:color="auto" w:fill="FFFFFF"/>
              </w:rPr>
              <w:t>34.85</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6.5%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地方财政一般预算内收入(万元)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41200</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50430</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5.5%</w:t>
            </w: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50430</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ascii="Times New Roman" w:hAnsi="Times New Roman"/>
                <w:sz w:val="20"/>
                <w:szCs w:val="20"/>
                <w:shd w:val="clear" w:color="auto" w:fill="FFFFFF"/>
              </w:rPr>
              <w:t>5</w:t>
            </w:r>
            <w:r>
              <w:rPr>
                <w:rFonts w:hint="eastAsia" w:ascii="Times New Roman" w:hAnsi="Times New Roman"/>
                <w:sz w:val="20"/>
                <w:szCs w:val="20"/>
                <w:shd w:val="clear" w:color="auto" w:fill="FFFFFF"/>
              </w:rPr>
              <w:t>.5%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547" w:type="dxa"/>
            <w:gridSpan w:val="2"/>
            <w:vAlign w:val="center"/>
          </w:tcPr>
          <w:p>
            <w:pPr>
              <w:adjustRightInd w:val="0"/>
              <w:snapToGrid w:val="0"/>
              <w:spacing w:line="240" w:lineRule="atLeast"/>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国税收入(亿元)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3.41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4.19</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4.2%</w:t>
            </w:r>
          </w:p>
        </w:tc>
        <w:tc>
          <w:tcPr>
            <w:tcW w:w="993" w:type="dxa"/>
            <w:vAlign w:val="center"/>
          </w:tcPr>
          <w:p>
            <w:pPr>
              <w:pStyle w:val="11"/>
              <w:spacing w:line="3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15.74（全区总税收收入）</w:t>
            </w:r>
          </w:p>
        </w:tc>
        <w:tc>
          <w:tcPr>
            <w:tcW w:w="1134" w:type="dxa"/>
            <w:vAlign w:val="center"/>
          </w:tcPr>
          <w:p>
            <w:pPr>
              <w:pStyle w:val="11"/>
              <w:spacing w:line="240" w:lineRule="atLeas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20.5%</w:t>
            </w:r>
          </w:p>
        </w:tc>
        <w:tc>
          <w:tcPr>
            <w:tcW w:w="850" w:type="dxa"/>
            <w:vAlign w:val="center"/>
          </w:tcPr>
          <w:p>
            <w:pPr>
              <w:pStyle w:val="11"/>
              <w:spacing w:line="240" w:lineRule="atLeas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地税收入(亿元)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4.25</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5.05</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3.5%</w:t>
            </w:r>
          </w:p>
        </w:tc>
        <w:tc>
          <w:tcPr>
            <w:tcW w:w="993"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社会消费品零售总额(亿元)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14.25</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12%</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18.6</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5.5%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居民消费价格指数</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101.2</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111</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1.8%</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103.3</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外贸出口总额(亿元)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2.84</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3.46</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3%</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12.72</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34.9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实际利用外资(万美元)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163.6</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181</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2%</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448</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全社会固定资产投资(亿元)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w:t>
            </w:r>
          </w:p>
        </w:tc>
        <w:tc>
          <w:tcPr>
            <w:tcW w:w="1134" w:type="dxa"/>
            <w:vAlign w:val="center"/>
          </w:tcPr>
          <w:p>
            <w:pPr>
              <w:pStyle w:val="11"/>
              <w:spacing w:line="600" w:lineRule="exact"/>
              <w:ind w:firstLine="400"/>
              <w:jc w:val="left"/>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12%</w:t>
            </w:r>
          </w:p>
        </w:tc>
        <w:tc>
          <w:tcPr>
            <w:tcW w:w="993"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59.26</w:t>
            </w:r>
          </w:p>
        </w:tc>
        <w:tc>
          <w:tcPr>
            <w:tcW w:w="1134" w:type="dxa"/>
            <w:vAlign w:val="center"/>
          </w:tcPr>
          <w:p>
            <w:pPr>
              <w:pStyle w:val="11"/>
              <w:spacing w:line="600" w:lineRule="exact"/>
              <w:ind w:firstLine="0" w:firstLineChars="0"/>
              <w:jc w:val="center"/>
              <w:rPr>
                <w:rFonts w:ascii="Times New Roman" w:hAnsi="Times New Roman"/>
                <w:b/>
                <w:bCs/>
                <w:sz w:val="20"/>
                <w:szCs w:val="20"/>
                <w:shd w:val="clear" w:color="auto" w:fill="FFFFFF"/>
              </w:rPr>
            </w:pPr>
            <w:r>
              <w:rPr>
                <w:rFonts w:hint="eastAsia" w:ascii="Times New Roman" w:hAnsi="Times New Roman"/>
                <w:sz w:val="20"/>
                <w:szCs w:val="20"/>
                <w:shd w:val="clear" w:color="auto" w:fill="FFFFFF"/>
              </w:rPr>
              <w:t>7.9%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城镇化水平（六普口径）(%)</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25.22</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29</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未核定</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基本公共服务支出占财政一般预算支出的比重(%)</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40.51</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46.91</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46.91</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42" w:type="dxa"/>
            <w:gridSpan w:val="8"/>
            <w:vAlign w:val="center"/>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二、社会发展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城镇居民人均可支配收入(元)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19615</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1134" w:type="dxa"/>
            <w:vMerge w:val="restart"/>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比2010年翻一番</w:t>
            </w: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sz w:val="20"/>
                <w:szCs w:val="20"/>
                <w:shd w:val="clear" w:color="auto" w:fill="FFFFFF"/>
              </w:rPr>
              <w:t>2</w:t>
            </w:r>
            <w:r>
              <w:rPr>
                <w:rFonts w:ascii="Times New Roman" w:hAnsi="Times New Roman"/>
                <w:sz w:val="20"/>
                <w:szCs w:val="20"/>
                <w:shd w:val="clear" w:color="auto" w:fill="FFFFFF"/>
              </w:rPr>
              <w:t>8455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7.9%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农民人均可支配收入(元)</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12161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1134" w:type="dxa"/>
            <w:vMerge w:val="continue"/>
            <w:vAlign w:val="center"/>
          </w:tcPr>
          <w:p>
            <w:pPr>
              <w:pStyle w:val="11"/>
              <w:spacing w:line="600" w:lineRule="exact"/>
              <w:ind w:firstLine="400"/>
              <w:jc w:val="center"/>
              <w:rPr>
                <w:rFonts w:ascii="Times New Roman" w:hAnsi="Times New Roman"/>
                <w:sz w:val="20"/>
                <w:szCs w:val="20"/>
                <w:shd w:val="clear" w:color="auto" w:fill="FFFFFF"/>
              </w:rPr>
            </w:pP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sz w:val="20"/>
                <w:szCs w:val="20"/>
                <w:shd w:val="clear" w:color="auto" w:fill="FFFFFF"/>
              </w:rPr>
              <w:t>1</w:t>
            </w:r>
            <w:r>
              <w:rPr>
                <w:rFonts w:ascii="Times New Roman" w:hAnsi="Times New Roman"/>
                <w:sz w:val="20"/>
                <w:szCs w:val="20"/>
                <w:shd w:val="clear" w:color="auto" w:fill="FFFFFF"/>
              </w:rPr>
              <w:t>7317</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8%</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人口自然增长率(‰)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9.94</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7.0左右</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-2.80%</w:t>
            </w:r>
          </w:p>
        </w:tc>
        <w:tc>
          <w:tcPr>
            <w:tcW w:w="993" w:type="dxa"/>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6.9‰左右</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4.86%</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城镇登记失业率（或城镇调查失业率）(%)</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2.47</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≤4.0</w:t>
            </w:r>
          </w:p>
        </w:tc>
        <w:tc>
          <w:tcPr>
            <w:tcW w:w="1134"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adjustRightInd w:val="0"/>
              <w:snapToGrid w:val="0"/>
              <w:jc w:val="center"/>
              <w:rPr>
                <w:rFonts w:ascii="Times New Roman" w:hAnsi="Times New Roman" w:eastAsia="仿宋_GB2312"/>
                <w:sz w:val="20"/>
                <w:szCs w:val="20"/>
                <w:shd w:val="clear" w:color="auto" w:fill="FFFFFF"/>
              </w:rPr>
            </w:pPr>
            <w:r>
              <w:rPr>
                <w:rFonts w:hint="eastAsia" w:ascii="Times New Roman" w:hAnsi="Times New Roman" w:eastAsia="仿宋_GB2312"/>
                <w:sz w:val="20"/>
                <w:szCs w:val="20"/>
                <w:shd w:val="clear" w:color="auto" w:fill="FFFFFF"/>
              </w:rPr>
              <w:t>控制在4%以内</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城镇新增就业人数（人)</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1330</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kern w:val="0"/>
                <w:sz w:val="20"/>
                <w:shd w:val="clear" w:color="auto" w:fill="FFFFFF"/>
              </w:rPr>
              <w:t>1380以上</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高中阶段教育毛入学率(%)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91</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98</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98</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城镇职工基本养老保险参保率(%)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城乡居民基本医疗保险参保率(%)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100</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96.</w:t>
            </w:r>
            <w:r>
              <w:rPr>
                <w:rFonts w:ascii="Times New Roman" w:hAnsi="Times New Roman"/>
                <w:sz w:val="20"/>
                <w:szCs w:val="20"/>
                <w:shd w:val="clear" w:color="auto" w:fill="FFFFFF"/>
              </w:rPr>
              <w:t>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常住人口(万人)</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28.12</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3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未核定</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47" w:type="dxa"/>
            <w:gridSpan w:val="2"/>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平均期望寿命(岁)</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70.16</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75.53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ascii="Times New Roman" w:hAnsi="Times New Roman"/>
                <w:sz w:val="20"/>
                <w:szCs w:val="20"/>
                <w:shd w:val="clear" w:color="auto" w:fill="FFFFFF"/>
              </w:rPr>
              <w:t>81.76</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平均每千人口拥有医生数(人)</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1.63</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1.75</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亿元GDP生产安全事故死亡率(人/亿元)</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0.1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0.15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0.1705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3.20%</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642" w:type="dxa"/>
            <w:gridSpan w:val="8"/>
            <w:vAlign w:val="center"/>
          </w:tcPr>
          <w:p>
            <w:pPr>
              <w:pStyle w:val="11"/>
              <w:spacing w:line="600" w:lineRule="exact"/>
              <w:ind w:firstLine="0" w:firstLineChars="0"/>
              <w:rPr>
                <w:rFonts w:ascii="Times New Roman" w:hAnsi="Times New Roman"/>
                <w:b/>
                <w:bCs/>
                <w:sz w:val="20"/>
                <w:szCs w:val="20"/>
                <w:shd w:val="clear" w:color="auto" w:fill="FFFFFF"/>
              </w:rPr>
            </w:pPr>
            <w:r>
              <w:rPr>
                <w:rFonts w:hint="eastAsia" w:ascii="Times New Roman" w:hAnsi="Times New Roman"/>
                <w:b/>
                <w:bCs/>
                <w:sz w:val="20"/>
                <w:szCs w:val="20"/>
                <w:shd w:val="clear" w:color="auto" w:fill="FFFFFF"/>
              </w:rPr>
              <w:t>三、资源环境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单位地区生产总值能耗降低（%）</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2.07</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3</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万元GDP用水量降低(%)</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245</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-15.2%</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45%</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耕地保有量(万亩)</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21.9231</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21.778</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16.2</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单位工业增加值用水量（立方米/万元）</w:t>
            </w:r>
          </w:p>
        </w:tc>
        <w:tc>
          <w:tcPr>
            <w:tcW w:w="992"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完成市下达指标</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cs="仿宋_GB2312"/>
                <w:kern w:val="0"/>
                <w:sz w:val="20"/>
                <w:szCs w:val="20"/>
              </w:rPr>
              <w:t>完成市下达指标</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47" w:type="dxa"/>
            <w:gridSpan w:val="2"/>
            <w:vAlign w:val="center"/>
          </w:tcPr>
          <w:p>
            <w:pPr>
              <w:adjustRightInd w:val="0"/>
              <w:snapToGrid w:val="0"/>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城镇生活污水处理率(%)</w:t>
            </w:r>
          </w:p>
        </w:tc>
        <w:tc>
          <w:tcPr>
            <w:tcW w:w="992" w:type="dxa"/>
            <w:vAlign w:val="center"/>
          </w:tcPr>
          <w:p>
            <w:pPr>
              <w:pStyle w:val="11"/>
              <w:spacing w:line="600" w:lineRule="exact"/>
              <w:ind w:firstLineChars="1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78</w:t>
            </w:r>
          </w:p>
        </w:tc>
        <w:tc>
          <w:tcPr>
            <w:tcW w:w="992" w:type="dxa"/>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大于90</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未核定</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城镇生活垃圾无害化处理率(%)</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98%</w:t>
            </w:r>
          </w:p>
        </w:tc>
        <w:tc>
          <w:tcPr>
            <w:tcW w:w="992" w:type="dxa"/>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98</w:t>
            </w:r>
          </w:p>
        </w:tc>
        <w:tc>
          <w:tcPr>
            <w:tcW w:w="1134" w:type="dxa"/>
            <w:vAlign w:val="center"/>
          </w:tcPr>
          <w:p>
            <w:pPr>
              <w:pStyle w:val="11"/>
              <w:spacing w:line="600" w:lineRule="exact"/>
              <w:ind w:firstLine="400"/>
              <w:rPr>
                <w:rFonts w:ascii="Times New Roman" w:hAnsi="Times New Roman"/>
                <w:sz w:val="20"/>
                <w:szCs w:val="20"/>
                <w:shd w:val="clear" w:color="auto" w:fill="FFFFFF"/>
              </w:rPr>
            </w:pPr>
            <w:r>
              <w:rPr>
                <w:rFonts w:hint="eastAsia" w:ascii="Times New Roman" w:hAnsi="Times New Roman"/>
                <w:sz w:val="20"/>
                <w:szCs w:val="20"/>
                <w:shd w:val="clear" w:color="auto" w:fill="FFFFFF"/>
              </w:rPr>
              <w:t>0</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城市人均公园绿地面积（平方米）</w:t>
            </w:r>
          </w:p>
        </w:tc>
        <w:tc>
          <w:tcPr>
            <w:tcW w:w="992"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11.25</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13</w:t>
            </w:r>
          </w:p>
        </w:tc>
        <w:tc>
          <w:tcPr>
            <w:tcW w:w="1134"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w:t>
            </w:r>
          </w:p>
        </w:tc>
        <w:tc>
          <w:tcPr>
            <w:tcW w:w="993" w:type="dxa"/>
            <w:vAlign w:val="center"/>
          </w:tcPr>
          <w:p>
            <w:pPr>
              <w:pStyle w:val="11"/>
              <w:spacing w:line="600" w:lineRule="exact"/>
              <w:ind w:firstLine="0" w:firstLineChars="0"/>
              <w:jc w:val="center"/>
              <w:rPr>
                <w:rFonts w:ascii="Times New Roman" w:hAnsi="Times New Roman" w:cs="仿宋_GB2312"/>
                <w:kern w:val="0"/>
                <w:sz w:val="20"/>
                <w:szCs w:val="20"/>
              </w:rPr>
            </w:pPr>
            <w:r>
              <w:rPr>
                <w:rFonts w:hint="eastAsia" w:ascii="Times New Roman" w:hAnsi="Times New Roman" w:cs="仿宋_GB2312"/>
                <w:kern w:val="0"/>
                <w:sz w:val="20"/>
                <w:szCs w:val="20"/>
              </w:rPr>
              <w:t>14.77</w:t>
            </w:r>
          </w:p>
        </w:tc>
        <w:tc>
          <w:tcPr>
            <w:tcW w:w="1134" w:type="dxa"/>
            <w:vAlign w:val="center"/>
          </w:tcPr>
          <w:p>
            <w:pPr>
              <w:pStyle w:val="11"/>
              <w:spacing w:line="600" w:lineRule="exact"/>
              <w:ind w:firstLine="400"/>
              <w:rPr>
                <w:rFonts w:ascii="Times New Roman" w:hAnsi="Times New Roman" w:cs="仿宋_GB2312"/>
                <w:kern w:val="0"/>
                <w:sz w:val="20"/>
                <w:szCs w:val="20"/>
              </w:rPr>
            </w:pPr>
            <w:r>
              <w:rPr>
                <w:rFonts w:hint="eastAsia" w:ascii="Times New Roman" w:hAnsi="Times New Roman" w:cs="仿宋_GB2312"/>
                <w:kern w:val="0"/>
                <w:sz w:val="20"/>
                <w:szCs w:val="20"/>
              </w:rPr>
              <w:t>-</w:t>
            </w:r>
          </w:p>
        </w:tc>
        <w:tc>
          <w:tcPr>
            <w:tcW w:w="850" w:type="dxa"/>
            <w:vAlign w:val="center"/>
          </w:tcPr>
          <w:p>
            <w:pPr>
              <w:pStyle w:val="11"/>
              <w:spacing w:line="600" w:lineRule="exact"/>
              <w:ind w:firstLine="0" w:firstLineChars="0"/>
              <w:rPr>
                <w:rFonts w:ascii="Times New Roman" w:hAnsi="Times New Roman" w:cs="仿宋_GB2312"/>
                <w:kern w:val="0"/>
                <w:sz w:val="20"/>
                <w:szCs w:val="20"/>
              </w:rPr>
            </w:pPr>
            <w:r>
              <w:rPr>
                <w:rFonts w:hint="eastAsia" w:ascii="Times New Roman" w:hAnsi="Times New Roman" w:cs="仿宋_GB2312"/>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单位GDP二氧化碳排放总量(吨/万元)</w:t>
            </w:r>
          </w:p>
        </w:tc>
        <w:tc>
          <w:tcPr>
            <w:tcW w:w="992" w:type="dxa"/>
            <w:vAlign w:val="center"/>
          </w:tcPr>
          <w:p>
            <w:pPr>
              <w:pStyle w:val="11"/>
              <w:spacing w:line="600" w:lineRule="exact"/>
              <w:ind w:firstLine="400"/>
              <w:jc w:val="center"/>
              <w:rPr>
                <w:rFonts w:ascii="Times New Roman" w:hAnsi="Times New Roman"/>
                <w:sz w:val="20"/>
                <w:szCs w:val="20"/>
                <w:shd w:val="clear" w:color="auto" w:fill="FFFFFF"/>
              </w:rPr>
            </w:pPr>
          </w:p>
        </w:tc>
        <w:tc>
          <w:tcPr>
            <w:tcW w:w="992" w:type="dxa"/>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2127" w:type="dxa"/>
            <w:gridSpan w:val="2"/>
            <w:noWrap/>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67" w:type="dxa"/>
            <w:vMerge w:val="restart"/>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主要污染物排放总量累计减少(%)</w:t>
            </w:r>
          </w:p>
        </w:tc>
        <w:tc>
          <w:tcPr>
            <w:tcW w:w="1580" w:type="dxa"/>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#二氧化硫</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0</w:t>
            </w:r>
          </w:p>
        </w:tc>
        <w:tc>
          <w:tcPr>
            <w:tcW w:w="992" w:type="dxa"/>
            <w:vMerge w:val="restart"/>
            <w:vAlign w:val="center"/>
          </w:tcPr>
          <w:p>
            <w:pPr>
              <w:adjustRightInd w:val="0"/>
              <w:snapToGrid w:val="0"/>
              <w:jc w:val="center"/>
              <w:rPr>
                <w:rFonts w:ascii="Times New Roman" w:hAnsi="Times New Roman"/>
                <w:sz w:val="20"/>
                <w:szCs w:val="20"/>
                <w:shd w:val="clear" w:color="auto" w:fill="FFFFFF"/>
              </w:rPr>
            </w:pPr>
            <w:r>
              <w:rPr>
                <w:rFonts w:hint="eastAsia" w:ascii="Times New Roman" w:hAnsi="Times New Roman" w:eastAsia="仿宋_GB2312" w:cs="仿宋_GB2312"/>
                <w:kern w:val="0"/>
                <w:sz w:val="20"/>
                <w:szCs w:val="20"/>
              </w:rPr>
              <w:t>完成市考核指标</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2127" w:type="dxa"/>
            <w:gridSpan w:val="2"/>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7" w:type="dxa"/>
            <w:vMerge w:val="continue"/>
            <w:vAlign w:val="center"/>
          </w:tcPr>
          <w:p>
            <w:pPr>
              <w:pStyle w:val="11"/>
              <w:spacing w:line="600" w:lineRule="exact"/>
              <w:ind w:firstLine="400"/>
              <w:rPr>
                <w:rFonts w:ascii="Times New Roman" w:hAnsi="Times New Roman"/>
                <w:sz w:val="20"/>
                <w:szCs w:val="20"/>
                <w:shd w:val="clear" w:color="auto" w:fill="FFFFFF"/>
              </w:rPr>
            </w:pPr>
          </w:p>
        </w:tc>
        <w:tc>
          <w:tcPr>
            <w:tcW w:w="1580" w:type="dxa"/>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#化学需氧量</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-1%</w:t>
            </w:r>
          </w:p>
        </w:tc>
        <w:tc>
          <w:tcPr>
            <w:tcW w:w="992" w:type="dxa"/>
            <w:vMerge w:val="continue"/>
            <w:vAlign w:val="center"/>
          </w:tcPr>
          <w:p>
            <w:pPr>
              <w:pStyle w:val="11"/>
              <w:spacing w:line="600" w:lineRule="exact"/>
              <w:ind w:firstLine="400"/>
              <w:jc w:val="center"/>
              <w:rPr>
                <w:rFonts w:ascii="Times New Roman" w:hAnsi="Times New Roman"/>
                <w:sz w:val="20"/>
                <w:szCs w:val="20"/>
                <w:shd w:val="clear" w:color="auto" w:fill="FFFFFF"/>
              </w:rPr>
            </w:pP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cs="仿宋_GB2312"/>
                <w:kern w:val="0"/>
                <w:sz w:val="20"/>
                <w:szCs w:val="20"/>
              </w:rPr>
              <w:t>-</w:t>
            </w:r>
          </w:p>
        </w:tc>
        <w:tc>
          <w:tcPr>
            <w:tcW w:w="2127" w:type="dxa"/>
            <w:gridSpan w:val="2"/>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7" w:type="dxa"/>
            <w:vMerge w:val="continue"/>
            <w:vAlign w:val="center"/>
          </w:tcPr>
          <w:p>
            <w:pPr>
              <w:pStyle w:val="11"/>
              <w:spacing w:line="600" w:lineRule="exact"/>
              <w:ind w:firstLine="400"/>
              <w:rPr>
                <w:rFonts w:ascii="Times New Roman" w:hAnsi="Times New Roman"/>
                <w:sz w:val="20"/>
                <w:szCs w:val="20"/>
                <w:shd w:val="clear" w:color="auto" w:fill="FFFFFF"/>
              </w:rPr>
            </w:pPr>
          </w:p>
        </w:tc>
        <w:tc>
          <w:tcPr>
            <w:tcW w:w="1580" w:type="dxa"/>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#氨氮放量</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w:t>
            </w:r>
          </w:p>
        </w:tc>
        <w:tc>
          <w:tcPr>
            <w:tcW w:w="992" w:type="dxa"/>
            <w:vMerge w:val="continue"/>
            <w:vAlign w:val="center"/>
          </w:tcPr>
          <w:p>
            <w:pPr>
              <w:pStyle w:val="11"/>
              <w:spacing w:line="600" w:lineRule="exact"/>
              <w:ind w:firstLine="400"/>
              <w:jc w:val="center"/>
              <w:rPr>
                <w:rFonts w:ascii="Times New Roman" w:hAnsi="Times New Roman"/>
                <w:sz w:val="20"/>
                <w:szCs w:val="20"/>
                <w:shd w:val="clear" w:color="auto" w:fill="FFFFFF"/>
              </w:rPr>
            </w:pP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2127" w:type="dxa"/>
            <w:gridSpan w:val="2"/>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67" w:type="dxa"/>
            <w:vMerge w:val="continue"/>
            <w:vAlign w:val="center"/>
          </w:tcPr>
          <w:p>
            <w:pPr>
              <w:pStyle w:val="11"/>
              <w:spacing w:line="600" w:lineRule="exact"/>
              <w:ind w:firstLine="400"/>
              <w:rPr>
                <w:rFonts w:ascii="Times New Roman" w:hAnsi="Times New Roman"/>
                <w:sz w:val="20"/>
                <w:szCs w:val="20"/>
                <w:shd w:val="clear" w:color="auto" w:fill="FFFFFF"/>
              </w:rPr>
            </w:pPr>
          </w:p>
        </w:tc>
        <w:tc>
          <w:tcPr>
            <w:tcW w:w="1580" w:type="dxa"/>
            <w:vAlign w:val="center"/>
          </w:tcPr>
          <w:p>
            <w:pPr>
              <w:adjustRightInd w:val="0"/>
              <w:snapToGrid w:val="0"/>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#氮氧化物</w:t>
            </w:r>
          </w:p>
        </w:tc>
        <w:tc>
          <w:tcPr>
            <w:tcW w:w="992" w:type="dxa"/>
            <w:vAlign w:val="center"/>
          </w:tcPr>
          <w:p>
            <w:pPr>
              <w:adjustRightInd w:val="0"/>
              <w:snapToGrid w:val="0"/>
              <w:jc w:val="center"/>
              <w:rPr>
                <w:rFonts w:ascii="Times New Roman" w:hAnsi="Times New Roman" w:eastAsia="仿宋_GB2312" w:cs="仿宋_GB2312"/>
                <w:kern w:val="0"/>
                <w:sz w:val="20"/>
                <w:szCs w:val="20"/>
              </w:rPr>
            </w:pPr>
            <w:r>
              <w:rPr>
                <w:rFonts w:hint="eastAsia" w:ascii="Times New Roman" w:hAnsi="Times New Roman" w:eastAsia="仿宋_GB2312" w:cs="仿宋_GB2312"/>
                <w:kern w:val="0"/>
                <w:sz w:val="20"/>
                <w:szCs w:val="20"/>
              </w:rPr>
              <w:t>0</w:t>
            </w:r>
          </w:p>
        </w:tc>
        <w:tc>
          <w:tcPr>
            <w:tcW w:w="992" w:type="dxa"/>
            <w:vMerge w:val="continue"/>
            <w:vAlign w:val="center"/>
          </w:tcPr>
          <w:p>
            <w:pPr>
              <w:pStyle w:val="11"/>
              <w:spacing w:line="600" w:lineRule="exact"/>
              <w:ind w:firstLine="400"/>
              <w:jc w:val="center"/>
              <w:rPr>
                <w:rFonts w:ascii="Times New Roman" w:hAnsi="Times New Roman"/>
                <w:sz w:val="20"/>
                <w:szCs w:val="20"/>
                <w:shd w:val="clear" w:color="auto" w:fill="FFFFFF"/>
              </w:rPr>
            </w:pP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2127" w:type="dxa"/>
            <w:gridSpan w:val="2"/>
            <w:vAlign w:val="center"/>
          </w:tcPr>
          <w:p>
            <w:pPr>
              <w:pStyle w:val="11"/>
              <w:spacing w:line="3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完成市考核指标</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547" w:type="dxa"/>
            <w:gridSpan w:val="2"/>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森林覆盖率(%)</w:t>
            </w:r>
          </w:p>
        </w:tc>
        <w:tc>
          <w:tcPr>
            <w:tcW w:w="992"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69.06</w:t>
            </w:r>
          </w:p>
        </w:tc>
        <w:tc>
          <w:tcPr>
            <w:tcW w:w="992" w:type="dxa"/>
            <w:vAlign w:val="center"/>
          </w:tcPr>
          <w:p>
            <w:pPr>
              <w:pStyle w:val="11"/>
              <w:spacing w:line="600" w:lineRule="exact"/>
              <w:ind w:firstLine="40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72</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993"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65.96</w:t>
            </w:r>
          </w:p>
        </w:tc>
        <w:tc>
          <w:tcPr>
            <w:tcW w:w="1134" w:type="dxa"/>
            <w:vAlign w:val="center"/>
          </w:tcPr>
          <w:p>
            <w:pPr>
              <w:pStyle w:val="11"/>
              <w:spacing w:line="600" w:lineRule="exact"/>
              <w:ind w:firstLine="0" w:firstLineChars="0"/>
              <w:jc w:val="center"/>
              <w:rPr>
                <w:rFonts w:ascii="Times New Roman" w:hAnsi="Times New Roman"/>
                <w:sz w:val="20"/>
                <w:szCs w:val="20"/>
                <w:shd w:val="clear" w:color="auto" w:fill="FFFFFF"/>
              </w:rPr>
            </w:pPr>
            <w:r>
              <w:rPr>
                <w:rFonts w:hint="eastAsia" w:ascii="Times New Roman" w:hAnsi="Times New Roman"/>
                <w:sz w:val="20"/>
                <w:szCs w:val="20"/>
                <w:shd w:val="clear" w:color="auto" w:fill="FFFFFF"/>
              </w:rPr>
              <w:t>-</w:t>
            </w:r>
          </w:p>
        </w:tc>
        <w:tc>
          <w:tcPr>
            <w:tcW w:w="850" w:type="dxa"/>
            <w:vAlign w:val="center"/>
          </w:tcPr>
          <w:p>
            <w:pPr>
              <w:pStyle w:val="11"/>
              <w:spacing w:line="600" w:lineRule="exact"/>
              <w:ind w:firstLine="0" w:firstLineChars="0"/>
              <w:rPr>
                <w:rFonts w:ascii="Times New Roman" w:hAnsi="Times New Roman"/>
                <w:sz w:val="20"/>
                <w:szCs w:val="20"/>
                <w:shd w:val="clear" w:color="auto" w:fill="FFFFFF"/>
              </w:rPr>
            </w:pPr>
            <w:r>
              <w:rPr>
                <w:rFonts w:hint="eastAsia" w:ascii="Times New Roman" w:hAnsi="Times New Roman"/>
                <w:sz w:val="20"/>
                <w:szCs w:val="20"/>
                <w:shd w:val="clear" w:color="auto" w:fill="FFFFFF"/>
              </w:rPr>
              <w:t>预期性</w:t>
            </w:r>
          </w:p>
        </w:tc>
      </w:tr>
    </w:tbl>
    <w:p>
      <w:pPr>
        <w:pStyle w:val="11"/>
        <w:adjustRightInd w:val="0"/>
        <w:snapToGrid w:val="0"/>
        <w:spacing w:line="240" w:lineRule="auto"/>
        <w:ind w:firstLine="0" w:firstLineChars="0"/>
        <w:rPr>
          <w:rFonts w:ascii="Times New Roman" w:hAnsi="Times New Roman"/>
          <w:sz w:val="21"/>
          <w:szCs w:val="21"/>
        </w:rPr>
      </w:pPr>
      <w:r>
        <w:rPr>
          <w:rFonts w:hint="eastAsia" w:ascii="Times New Roman" w:hAnsi="Times New Roman"/>
          <w:sz w:val="21"/>
          <w:szCs w:val="21"/>
        </w:rPr>
        <w:t>注：根据《云安区人大常委会关于云安区国民经济和社会发展第十三个五年规划纲要实施情况中期评估报告的决议》（云安区人常〔2019〕40号）精神，对我区“十三五”纲要部分预期目标指标进行了调整，如下：</w:t>
      </w:r>
      <w:r>
        <w:rPr>
          <w:rFonts w:hint="eastAsia" w:ascii="Times New Roman" w:hAnsi="Times New Roman"/>
          <w:sz w:val="21"/>
          <w:szCs w:val="21"/>
        </w:rPr>
        <w:br w:type="textWrapping"/>
      </w:r>
      <w:r>
        <w:rPr>
          <w:rFonts w:hint="eastAsia" w:ascii="Times New Roman" w:hAnsi="Times New Roman"/>
          <w:sz w:val="21"/>
          <w:szCs w:val="21"/>
        </w:rPr>
        <w:t xml:space="preserve">    1.GDP由年均增长11%，调整为年均增长7%：</w:t>
      </w:r>
      <w:r>
        <w:rPr>
          <w:rFonts w:hint="eastAsia" w:ascii="Times New Roman" w:hAnsi="Times New Roman"/>
          <w:sz w:val="21"/>
          <w:szCs w:val="21"/>
        </w:rPr>
        <w:br w:type="textWrapping"/>
      </w:r>
      <w:r>
        <w:rPr>
          <w:rFonts w:hint="eastAsia" w:ascii="Times New Roman" w:hAnsi="Times New Roman"/>
          <w:sz w:val="21"/>
          <w:szCs w:val="21"/>
        </w:rPr>
        <w:t xml:space="preserve">    2.人均GDP由年均增长17.6%，调整为年均增长6%；</w:t>
      </w:r>
      <w:r>
        <w:rPr>
          <w:rFonts w:hint="eastAsia" w:ascii="Times New Roman" w:hAnsi="Times New Roman"/>
          <w:sz w:val="21"/>
          <w:szCs w:val="21"/>
        </w:rPr>
        <w:br w:type="textWrapping"/>
      </w:r>
      <w:r>
        <w:rPr>
          <w:rFonts w:hint="eastAsia" w:ascii="Times New Roman" w:hAnsi="Times New Roman"/>
          <w:sz w:val="21"/>
          <w:szCs w:val="21"/>
        </w:rPr>
        <w:t xml:space="preserve">    3.社会固定资产投资由年均增长14.5%，调整为年均增长12%；</w:t>
      </w:r>
      <w:r>
        <w:rPr>
          <w:rFonts w:hint="eastAsia" w:ascii="Times New Roman" w:hAnsi="Times New Roman"/>
          <w:sz w:val="21"/>
          <w:szCs w:val="21"/>
        </w:rPr>
        <w:br w:type="textWrapping"/>
      </w:r>
      <w:r>
        <w:rPr>
          <w:rFonts w:hint="eastAsia" w:ascii="Times New Roman" w:hAnsi="Times New Roman"/>
          <w:sz w:val="21"/>
          <w:szCs w:val="21"/>
        </w:rPr>
        <w:t xml:space="preserve">    4.规模以上工业增加值由年均增长14.5%，调整为年均增长5.2%；</w:t>
      </w:r>
      <w:r>
        <w:rPr>
          <w:rFonts w:hint="eastAsia" w:ascii="Times New Roman" w:hAnsi="Times New Roman"/>
          <w:sz w:val="21"/>
          <w:szCs w:val="21"/>
        </w:rPr>
        <w:br w:type="textWrapping"/>
      </w:r>
      <w:r>
        <w:rPr>
          <w:rFonts w:hint="eastAsia" w:ascii="Times New Roman" w:hAnsi="Times New Roman"/>
          <w:sz w:val="21"/>
          <w:szCs w:val="21"/>
        </w:rPr>
        <w:t xml:space="preserve">    5.地方财政一般预算内收入由年均增长7%，调整为年均增长5.5%。</w:t>
      </w:r>
    </w:p>
    <w:p>
      <w:pPr>
        <w:pStyle w:val="11"/>
        <w:spacing w:line="600" w:lineRule="exact"/>
        <w:ind w:firstLine="640"/>
        <w:rPr>
          <w:rFonts w:ascii="Times New Roman" w:hAnsi="Times New Roman"/>
          <w:shd w:val="clear" w:color="auto" w:fill="FFFFFF"/>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21" w:name="_Toc72403389"/>
      <w:bookmarkStart w:id="22" w:name="_Toc70518081"/>
      <w:bookmarkStart w:id="23" w:name="_Toc56537381"/>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发展机遇</w:t>
      </w:r>
      <w:bookmarkEnd w:id="21"/>
      <w:bookmarkEnd w:id="22"/>
      <w:bookmarkEnd w:id="23"/>
    </w:p>
    <w:p>
      <w:pPr>
        <w:pStyle w:val="11"/>
        <w:spacing w:line="600" w:lineRule="exact"/>
        <w:ind w:firstLine="643"/>
        <w:rPr>
          <w:rFonts w:ascii="Times New Roman" w:hAnsi="Times New Roman"/>
          <w:szCs w:val="32"/>
        </w:rPr>
      </w:pPr>
      <w:r>
        <w:rPr>
          <w:rFonts w:ascii="Times New Roman" w:hAnsi="Times New Roman"/>
          <w:b/>
          <w:bCs/>
          <w:szCs w:val="32"/>
        </w:rPr>
        <w:t>新一轮</w:t>
      </w:r>
      <w:r>
        <w:rPr>
          <w:rFonts w:hint="eastAsia" w:ascii="Times New Roman" w:hAnsi="Times New Roman"/>
          <w:b/>
          <w:bCs/>
          <w:szCs w:val="32"/>
        </w:rPr>
        <w:t>科技革命和产业变革为经济增长注入新动能。</w:t>
      </w:r>
      <w:r>
        <w:rPr>
          <w:rFonts w:hint="eastAsia" w:ascii="Times New Roman" w:hAnsi="Times New Roman"/>
          <w:szCs w:val="32"/>
        </w:rPr>
        <w:t>当前世界经济进入新旧动能转换期，颠覆性技术不断涌现，新产品、新业态和新模式正在蓬勃发展，大幅提升传统产业发展能级和发展空间，现代产业体系还将加速重构。与此同时，随着新技术在生产制造领域取得突破，将催生出具有关联性强和发展前景广阔的生物、新能源、新材料、智能制造等产业，推动全球形成新的经济增长点，进入新一轮长周期繁荣期。</w:t>
      </w:r>
    </w:p>
    <w:p>
      <w:pPr>
        <w:pStyle w:val="11"/>
        <w:spacing w:line="600" w:lineRule="exact"/>
        <w:ind w:firstLine="643"/>
        <w:rPr>
          <w:rFonts w:ascii="Times New Roman" w:hAnsi="Times New Roman"/>
          <w:szCs w:val="32"/>
        </w:rPr>
      </w:pPr>
      <w:r>
        <w:rPr>
          <w:rFonts w:hint="eastAsia" w:ascii="Times New Roman" w:hAnsi="Times New Roman"/>
          <w:b/>
          <w:bCs/>
          <w:szCs w:val="32"/>
        </w:rPr>
        <w:t>国内国外双循环新格局为国民经济发展提供新增长点。</w:t>
      </w:r>
      <w:r>
        <w:rPr>
          <w:rFonts w:hint="eastAsia" w:ascii="Times New Roman" w:hAnsi="Times New Roman"/>
          <w:szCs w:val="32"/>
        </w:rPr>
        <w:t>着眼我国发展阶段、环境、条件变化，习近平总书记提出，要推动形成以国内大循环为主体、国内国际双循环相互促进的新发展格局。以实现国民经济体系高水平的完整性为目标，突出重点，抓住主要矛盾，着力打通堵点，贯通生产、分配、流通、消费各环节，实现供求动态均衡。发挥我国超大规模市场优势，吸引全球商品和资源要素，打造我国新的国际合作和竞争优势，为企业“走出去”和“引进来”创造更多便利条件和盈利的机会。</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b/>
          <w:bCs/>
          <w:sz w:val="32"/>
          <w:szCs w:val="32"/>
        </w:rPr>
        <w:t>区域发展战略叠加效应明显成为区域协调发展新亮点。</w:t>
      </w:r>
      <w:r>
        <w:rPr>
          <w:rFonts w:hint="eastAsia" w:ascii="Times New Roman" w:hAnsi="Times New Roman" w:eastAsia="仿宋_GB2312"/>
          <w:sz w:val="32"/>
          <w:szCs w:val="32"/>
        </w:rPr>
        <w:t>深入推进</w:t>
      </w:r>
      <w:r>
        <w:rPr>
          <w:rFonts w:hint="eastAsia" w:ascii="Times New Roman" w:hAnsi="Times New Roman" w:eastAsia="仿宋_GB2312" w:cs="仿宋_GB2312"/>
          <w:sz w:val="32"/>
          <w:szCs w:val="32"/>
        </w:rPr>
        <w:t>“双区”建设、“双城联动”、“一核一带一区”区域发展格局</w:t>
      </w:r>
      <w:r>
        <w:rPr>
          <w:rFonts w:hint="eastAsia" w:ascii="Times New Roman" w:hAnsi="Times New Roman" w:eastAsia="仿宋_GB2312" w:cs="仿宋_GB2312"/>
          <w:sz w:val="32"/>
        </w:rPr>
        <w:t>等高质量发展机遇同时汇聚，对云安发展</w:t>
      </w:r>
      <w:r>
        <w:rPr>
          <w:rFonts w:hint="eastAsia" w:ascii="Times New Roman" w:hAnsi="Times New Roman" w:eastAsia="仿宋_GB2312" w:cs="仿宋_GB2312"/>
          <w:sz w:val="32"/>
          <w:szCs w:val="32"/>
        </w:rPr>
        <w:t>形成更强大更持久的辐射带动力</w:t>
      </w:r>
      <w:r>
        <w:rPr>
          <w:rFonts w:hint="eastAsia" w:ascii="Times New Roman" w:hAnsi="Times New Roman" w:eastAsia="仿宋_GB2312" w:cs="仿宋_GB2312"/>
          <w:sz w:val="32"/>
        </w:rPr>
        <w:t>。云安应</w:t>
      </w:r>
      <w:r>
        <w:rPr>
          <w:rFonts w:hint="eastAsia" w:ascii="Times New Roman" w:hAnsi="Times New Roman" w:eastAsia="仿宋_GB2312" w:cs="仿宋_GB2312"/>
          <w:sz w:val="32"/>
          <w:szCs w:val="32"/>
        </w:rPr>
        <w:t>充分</w:t>
      </w:r>
      <w:r>
        <w:rPr>
          <w:rFonts w:hint="eastAsia" w:ascii="Times New Roman" w:hAnsi="Times New Roman" w:eastAsia="仿宋_GB2312" w:cs="仿宋_GB2312"/>
          <w:sz w:val="32"/>
        </w:rPr>
        <w:t>发挥区位、生态、产业等比较优势，</w:t>
      </w:r>
      <w:r>
        <w:rPr>
          <w:rFonts w:hint="eastAsia" w:ascii="Times New Roman" w:hAnsi="Times New Roman" w:eastAsia="仿宋_GB2312" w:cs="仿宋_GB2312"/>
          <w:sz w:val="32"/>
          <w:szCs w:val="32"/>
        </w:rPr>
        <w:t>吸收湾区城市群的溢出效应和区域一体化形成的市场效应，更快、更好地步入高质量发展的轨道。</w:t>
      </w:r>
    </w:p>
    <w:p>
      <w:pPr>
        <w:spacing w:line="600" w:lineRule="exact"/>
        <w:ind w:firstLine="642" w:firstLineChars="200"/>
        <w:rPr>
          <w:rFonts w:ascii="Times New Roman" w:hAnsi="Times New Roman" w:eastAsia="仿宋_GB2312"/>
          <w:b/>
          <w:bCs/>
          <w:sz w:val="32"/>
          <w:szCs w:val="32"/>
        </w:rPr>
      </w:pPr>
      <w:r>
        <w:rPr>
          <w:rFonts w:hint="eastAsia" w:ascii="Times New Roman" w:hAnsi="Times New Roman" w:eastAsia="仿宋_GB2312"/>
          <w:b/>
          <w:bCs/>
          <w:sz w:val="32"/>
          <w:szCs w:val="32"/>
        </w:rPr>
        <w:t>省委赋予云浮的发展定位成为我区高质量发展新路径。</w:t>
      </w:r>
      <w:r>
        <w:rPr>
          <w:rFonts w:hint="eastAsia" w:ascii="Times New Roman" w:hAnsi="Times New Roman" w:eastAsia="仿宋_GB2312"/>
          <w:sz w:val="32"/>
          <w:szCs w:val="32"/>
        </w:rPr>
        <w:t>省委书记李希赋予云浮“打造粤北生态建设发展新高地、推进乡村振兴走在全省前列”的新目标新定位，为我区指明了高质量发展的“云浮路径”，我们将对照目标定位，坚持问题导向，有的放矢，针对产业发展不强、基础设施不完善、生态建设压力大、民生短板较多等问题，攻坚克难，切实采取针对性的有效措施破解发展中各种难题，厚植发展优势，坚决在完成省委赋予云浮的使命任务中贡献云安力量、展现云安担当。</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24" w:name="_Toc70518082"/>
      <w:bookmarkStart w:id="25" w:name="_Toc56537382"/>
      <w:bookmarkStart w:id="26" w:name="_Toc72403390"/>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面临挑战</w:t>
      </w:r>
      <w:bookmarkEnd w:id="24"/>
      <w:bookmarkEnd w:id="25"/>
      <w:bookmarkEnd w:id="26"/>
    </w:p>
    <w:p>
      <w:pPr>
        <w:pStyle w:val="11"/>
        <w:spacing w:line="600" w:lineRule="exact"/>
        <w:ind w:firstLine="643"/>
        <w:rPr>
          <w:rFonts w:ascii="Times New Roman" w:hAnsi="Times New Roman"/>
          <w:szCs w:val="32"/>
        </w:rPr>
      </w:pPr>
      <w:r>
        <w:rPr>
          <w:rFonts w:hint="eastAsia" w:ascii="Times New Roman" w:hAnsi="Times New Roman" w:cs="仿宋_GB2312"/>
          <w:b/>
          <w:bCs/>
          <w:szCs w:val="32"/>
        </w:rPr>
        <w:t>全球经济复苏充满不确定性。</w:t>
      </w:r>
      <w:r>
        <w:rPr>
          <w:rFonts w:hint="eastAsia" w:ascii="Times New Roman" w:hAnsi="Times New Roman" w:cs="仿宋_GB2312"/>
          <w:szCs w:val="32"/>
        </w:rPr>
        <w:t>当今世界正经历百年未有之大变局，和平与发展仍然是时代主题，同时国际环境日趋复杂，不稳定性不确定性明显增强。国际疫情持续蔓延、以美国为首的经济单边主义影响广泛深远，将</w:t>
      </w:r>
      <w:r>
        <w:rPr>
          <w:rFonts w:ascii="Times New Roman" w:hAnsi="Times New Roman"/>
          <w:szCs w:val="32"/>
        </w:rPr>
        <w:t>导致全球产业链</w:t>
      </w:r>
      <w:r>
        <w:rPr>
          <w:rFonts w:hint="eastAsia" w:ascii="Times New Roman" w:hAnsi="Times New Roman"/>
          <w:szCs w:val="32"/>
        </w:rPr>
        <w:t>在较长周期内</w:t>
      </w:r>
      <w:r>
        <w:rPr>
          <w:rFonts w:ascii="Times New Roman" w:hAnsi="Times New Roman"/>
          <w:szCs w:val="32"/>
        </w:rPr>
        <w:t>调整和重构，直接影响到我国产业链的安全和稳定</w:t>
      </w:r>
      <w:r>
        <w:rPr>
          <w:rFonts w:hint="eastAsia" w:ascii="Times New Roman" w:hAnsi="Times New Roman"/>
          <w:szCs w:val="32"/>
        </w:rPr>
        <w:t>。对区内外贸</w:t>
      </w:r>
      <w:r>
        <w:rPr>
          <w:rFonts w:ascii="Times New Roman" w:hAnsi="Times New Roman"/>
          <w:szCs w:val="32"/>
        </w:rPr>
        <w:t>企业的正常经营活动</w:t>
      </w:r>
      <w:r>
        <w:rPr>
          <w:rFonts w:hint="eastAsia" w:ascii="Times New Roman" w:hAnsi="Times New Roman"/>
          <w:szCs w:val="32"/>
        </w:rPr>
        <w:t>和生存能力形成了挑战，特别是外向型</w:t>
      </w:r>
      <w:r>
        <w:rPr>
          <w:rFonts w:ascii="Times New Roman" w:hAnsi="Times New Roman"/>
          <w:szCs w:val="32"/>
        </w:rPr>
        <w:t>中小企业</w:t>
      </w:r>
      <w:r>
        <w:rPr>
          <w:rFonts w:hint="eastAsia" w:ascii="Times New Roman" w:hAnsi="Times New Roman"/>
          <w:szCs w:val="32"/>
        </w:rPr>
        <w:t>发展</w:t>
      </w:r>
      <w:r>
        <w:rPr>
          <w:rFonts w:ascii="Times New Roman" w:hAnsi="Times New Roman"/>
          <w:szCs w:val="32"/>
        </w:rPr>
        <w:t>面临巨大压力</w:t>
      </w:r>
      <w:r>
        <w:rPr>
          <w:rFonts w:hint="eastAsia" w:ascii="Times New Roman" w:hAnsi="Times New Roman"/>
          <w:szCs w:val="32"/>
        </w:rPr>
        <w:t>。</w:t>
      </w:r>
    </w:p>
    <w:p>
      <w:pPr>
        <w:pStyle w:val="11"/>
        <w:spacing w:line="600" w:lineRule="exact"/>
        <w:ind w:firstLine="643"/>
        <w:rPr>
          <w:rFonts w:ascii="Times New Roman" w:hAnsi="Times New Roman"/>
          <w:b/>
          <w:bCs/>
          <w:szCs w:val="32"/>
        </w:rPr>
      </w:pPr>
      <w:r>
        <w:rPr>
          <w:rFonts w:hint="eastAsia" w:ascii="Times New Roman" w:hAnsi="Times New Roman"/>
          <w:b/>
          <w:bCs/>
          <w:szCs w:val="32"/>
        </w:rPr>
        <w:t>广深珠等湾区城市虹吸效应增强。</w:t>
      </w:r>
      <w:r>
        <w:rPr>
          <w:rFonts w:hint="eastAsia" w:ascii="Times New Roman" w:hAnsi="Times New Roman"/>
          <w:szCs w:val="32"/>
        </w:rPr>
        <w:t>随着粤港澳大湾区各项配套设施的不断发展，交流合作、生产生活等日益便捷，广深珠等湾区核心城市的优势不断凸显，对大湾区内资源的虹吸效应显著增强，我区将面临着新一轮资源外流的风险。目前我区处于打基础、争赶超阶段，产业新旧动能转换还未完成，园区和城市基础设施正加快完善，“产城人融合”发展格局还未形成，短期内很难吸引有利的要素集聚。</w:t>
      </w:r>
    </w:p>
    <w:p>
      <w:pPr>
        <w:spacing w:line="600" w:lineRule="exact"/>
        <w:ind w:firstLine="642" w:firstLineChars="200"/>
        <w:rPr>
          <w:rFonts w:ascii="Times New Roman" w:hAnsi="Times New Roman" w:eastAsia="仿宋_GB2312"/>
          <w:sz w:val="32"/>
          <w:szCs w:val="32"/>
        </w:rPr>
      </w:pPr>
      <w:r>
        <w:rPr>
          <w:rFonts w:hint="eastAsia" w:ascii="Times New Roman" w:hAnsi="Times New Roman" w:eastAsia="仿宋_GB2312"/>
          <w:b/>
          <w:bCs/>
          <w:sz w:val="32"/>
          <w:szCs w:val="32"/>
        </w:rPr>
        <w:t>资源环境约束趋紧。</w:t>
      </w:r>
      <w:r>
        <w:rPr>
          <w:rFonts w:hint="eastAsia" w:ascii="Times New Roman" w:hAnsi="Times New Roman" w:eastAsia="仿宋_GB2312"/>
          <w:sz w:val="32"/>
          <w:szCs w:val="32"/>
        </w:rPr>
        <w:t>云安处于北部山区，交通不发达，土地等资源要素缺乏，产业基础薄弱。“十四五”时期新型城镇化及经济高质量发展，势必会加剧全区人地矛盾，各种资源的消耗也将加大，发展空间不足，不利于开辟新的经济增长源。因此我区必须加快传统产业转型升级步伐，培育新兴支柱产业，发展绿色生态经济，加快与云浮新区融合发展。</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综合判断，“十</w:t>
      </w:r>
      <w:r>
        <w:rPr>
          <w:rFonts w:hint="eastAsia" w:ascii="Times New Roman" w:hAnsi="Times New Roman" w:eastAsia="仿宋_GB2312"/>
          <w:sz w:val="32"/>
          <w:szCs w:val="32"/>
        </w:rPr>
        <w:t>四</w:t>
      </w:r>
      <w:r>
        <w:rPr>
          <w:rFonts w:ascii="Times New Roman" w:hAnsi="Times New Roman" w:eastAsia="仿宋_GB2312"/>
          <w:sz w:val="32"/>
          <w:szCs w:val="32"/>
        </w:rPr>
        <w:t>五”时期，</w:t>
      </w:r>
      <w:r>
        <w:rPr>
          <w:rFonts w:hint="eastAsia" w:ascii="Times New Roman" w:hAnsi="Times New Roman" w:eastAsia="仿宋_GB2312"/>
          <w:sz w:val="32"/>
          <w:szCs w:val="32"/>
        </w:rPr>
        <w:t>云安</w:t>
      </w:r>
      <w:r>
        <w:rPr>
          <w:rFonts w:ascii="Times New Roman" w:hAnsi="Times New Roman" w:eastAsia="仿宋_GB2312"/>
          <w:sz w:val="32"/>
          <w:szCs w:val="32"/>
        </w:rPr>
        <w:t>将迈入以改革求突破、以创新求发展的关键时期，仍处于可以大有作为的重要战略机遇期</w:t>
      </w:r>
      <w:r>
        <w:rPr>
          <w:rFonts w:hint="eastAsia" w:ascii="Times New Roman" w:hAnsi="Times New Roman" w:eastAsia="仿宋_GB2312"/>
          <w:sz w:val="32"/>
          <w:szCs w:val="32"/>
        </w:rPr>
        <w:t>，必须深刻认识新阶段新理念新格局，奋发有为、起而行之抢抓窗口机遇，坚定信心、接续奋斗应对风险挑战，保持定力、笃定心志办好自己的事，努力在危机中育先机、于变局中开新局，坚决夺取“十四五”发展新胜利。</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27" w:name="_Toc70518083"/>
      <w:bookmarkStart w:id="28" w:name="_Toc56537383"/>
      <w:bookmarkStart w:id="29" w:name="_Toc72403391"/>
      <w:r>
        <w:rPr>
          <w:rFonts w:hint="eastAsia" w:ascii="Times New Roman" w:hAnsi="Times New Roman" w:eastAsia="黑体" w:cs="Times New Roman"/>
          <w:b w:val="0"/>
          <w:bCs w:val="0"/>
          <w:sz w:val="32"/>
          <w:szCs w:val="32"/>
        </w:rPr>
        <w:t>第二章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总体要求和发展目标</w:t>
      </w:r>
      <w:bookmarkEnd w:id="27"/>
      <w:bookmarkEnd w:id="28"/>
      <w:bookmarkEnd w:id="29"/>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30" w:name="_Toc70518084"/>
      <w:bookmarkStart w:id="31" w:name="_Toc56537384"/>
      <w:bookmarkStart w:id="32" w:name="_Toc72403392"/>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指导思想</w:t>
      </w:r>
      <w:bookmarkEnd w:id="30"/>
      <w:bookmarkEnd w:id="31"/>
      <w:bookmarkEnd w:id="32"/>
    </w:p>
    <w:p>
      <w:pPr>
        <w:spacing w:line="600" w:lineRule="exact"/>
        <w:ind w:firstLine="640" w:firstLineChars="200"/>
        <w:rPr>
          <w:rFonts w:ascii="Times New Roman" w:hAnsi="Times New Roman"/>
        </w:rPr>
      </w:pPr>
      <w:r>
        <w:rPr>
          <w:rFonts w:hint="eastAsia" w:ascii="Times New Roman" w:hAnsi="Times New Roman" w:eastAsia="仿宋_GB2312"/>
          <w:bCs/>
          <w:sz w:val="32"/>
          <w:szCs w:val="32"/>
        </w:rPr>
        <w:t>高举习近平新时代中国特色社会主义思想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贯彻习近平总书记对广东系列重要讲话和重要指示批示精神，统筹推进“五位一体”总体布局，协调推进“四个全面”战略布局，坚持党的全面领导，坚持以人民为中心，坚持新发展理念，坚持深化改革开放，坚持系统观念，坚持稳中求进工作总基调，准确把握“新发展阶段、新发展理念、新发展格局”的大方位大逻辑大战略，以推动高质量发展为主题，以深化供给侧结构性改革为主线，以改革创新为根本动力，以满足人民日益增长的美好生活需要为根本目的，以解放思想、实事求是、与时俱进为行动先导，聚力广东的总定位总目标和云浮的新目标新定位，落实省委省政府“1+1+9”工作部署和市委市政府“六地”建设、“4321”工程思路决策，紧扣市委赋予云浮新区打造“宜居宜业、活力魅力的高质量发展新样板”和云安区打造“东进融湾桥头堡、绿色工业集聚区”的目标定位，围绕打造新发展格局的战略支点举纲张目，突出港产联动、以产兴城、两化并举（新型工业化和新型城镇化），突出“两区”融合、城乡融合、一二三产业融合，突出</w:t>
      </w:r>
      <w:r>
        <w:rPr>
          <w:rFonts w:hint="eastAsia" w:ascii="Times New Roman" w:hAnsi="Times New Roman" w:eastAsia="仿宋_GB2312"/>
          <w:spacing w:val="8"/>
          <w:sz w:val="32"/>
          <w:szCs w:val="32"/>
        </w:rPr>
        <w:t>生态优先、绿色发展、乡村振兴，</w:t>
      </w:r>
      <w:r>
        <w:rPr>
          <w:rFonts w:hint="eastAsia" w:ascii="Times New Roman" w:hAnsi="Times New Roman" w:eastAsia="仿宋_GB2312"/>
          <w:bCs/>
          <w:sz w:val="32"/>
          <w:szCs w:val="32"/>
        </w:rPr>
        <w:t>对接融入粤港澳大湾区、深圳先行示范区、珠三角核心区提质发展，加快建设现代化经济体系，加快推进农业农村现代化，加快打造珠江西江经济带重要节点枢纽、粤北生态发展区产业强区、东进融湾排头兵、绿色崛起先行地、基层治理新样板，统筹发展和安全，实现经济行稳致远、社会安定和谐，“西江明珠、美丽云安”建设取得显著成就，为全面建设社会主义现代化开好局、起好步，为服务全省全市大局彰显云安担当、作出云安贡献。</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33" w:name="_Toc56537385"/>
      <w:bookmarkStart w:id="34" w:name="_Toc70518085"/>
      <w:bookmarkStart w:id="35" w:name="_Toc72403393"/>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发展原则</w:t>
      </w:r>
      <w:bookmarkEnd w:id="33"/>
      <w:bookmarkEnd w:id="34"/>
      <w:bookmarkEnd w:id="35"/>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坚持党的全面领导。</w:t>
      </w:r>
      <w:r>
        <w:rPr>
          <w:rFonts w:hint="eastAsia" w:ascii="Times New Roman" w:hAnsi="Times New Roman"/>
        </w:rPr>
        <w:t>坚决维护习近平总书记党中央的核心、全党的核心地位，坚决维护党中央权威和集中统一领导，坚持和完善党领导经济社会发展的体制机制，坚持和完善中国特色社会主义制度，提高贯彻新发展理念、构建新发展格局能力和水平，为实现高质量发展提供根本保证。</w:t>
      </w:r>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坚持以人民为中心。</w:t>
      </w:r>
      <w:r>
        <w:rPr>
          <w:rFonts w:hint="eastAsia" w:ascii="Times New Roman" w:hAnsi="Times New Roman"/>
        </w:rPr>
        <w:t>坚持人民主体地位，坚持共同富裕方向，始终做到发展为了人民、发展依靠人民、发展成果由人民共享，维护人民根本利益，激发全区人民的积极性、主动性、创造性，促进社会公平，增进民生福祉，不断实现人民群众对美好生活的向往。</w:t>
      </w:r>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坚持新发展理念。</w:t>
      </w:r>
      <w:r>
        <w:rPr>
          <w:rFonts w:hint="eastAsia" w:ascii="Times New Roman" w:hAnsi="Times New Roman" w:cs="仿宋_GB2312"/>
          <w:kern w:val="0"/>
        </w:rPr>
        <w:t>把新发展理念贯穿发展全过程和各领域，服务全省全市率先探索构建新发展格局，切实转变发展方式，加快推动质量变革、效率变革、动力变革，实现更高质量、更有效率、更加公平、更可持续、更为安全的发展。</w:t>
      </w:r>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坚持深化改革开放。</w:t>
      </w:r>
      <w:r>
        <w:rPr>
          <w:rFonts w:hint="eastAsia" w:ascii="Times New Roman" w:hAnsi="Times New Roman"/>
        </w:rPr>
        <w:t>以更大魄力在更高起点上推进改革开放，坚持摸着石头过河和落实顶层设计相结合，加强治理体系和治理能力现代化建设，破除制约高质量发展、高品质生活的体制机制障碍，强化有利于提高资源配置效率、有利于调动全社会积极性的重大改革开放举措，持续增强发展动力和活力。</w:t>
      </w:r>
    </w:p>
    <w:p>
      <w:pPr>
        <w:pStyle w:val="42"/>
        <w:adjustRightInd w:val="0"/>
        <w:ind w:firstLine="787" w:firstLineChars="245"/>
        <w:rPr>
          <w:rFonts w:ascii="Times New Roman" w:hAnsi="Times New Roman"/>
        </w:rPr>
      </w:pPr>
      <w:r>
        <w:rPr>
          <w:rFonts w:ascii="Times New Roman" w:hAnsi="Times New Roman" w:cs="仿宋_GB2312"/>
          <w:b/>
          <w:bCs/>
          <w:kern w:val="0"/>
        </w:rPr>
        <w:t>——</w:t>
      </w:r>
      <w:r>
        <w:rPr>
          <w:rFonts w:hint="eastAsia" w:ascii="Times New Roman" w:hAnsi="Times New Roman"/>
          <w:b/>
          <w:bCs/>
        </w:rPr>
        <w:t>坚持系统观念。</w:t>
      </w:r>
      <w:r>
        <w:rPr>
          <w:rFonts w:hint="eastAsia" w:ascii="Times New Roman" w:hAnsi="Times New Roman"/>
        </w:rPr>
        <w:t>加强前瞻性思考、全局性谋划、战略性布局、整体性推进，坚决服从服务国家和省、市发展大局，坚持全区一盘棋，以谋好一隅、抓好一隅促全局，更好发挥全社会积极性，办好发展安全两件大事，着力固根基、扬优势、补短板、强弱项，注重防范化解重大风险挑战，实现发展质量、结构、规模、速度、效益、安全相统一。</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36" w:name="_Toc72403394"/>
      <w:bookmarkStart w:id="37" w:name="_Toc70518086"/>
      <w:bookmarkStart w:id="38" w:name="_Toc56537386"/>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发展目标</w:t>
      </w:r>
      <w:bookmarkEnd w:id="36"/>
      <w:bookmarkEnd w:id="37"/>
      <w:bookmarkEnd w:id="38"/>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党的十九大作出了到二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三五年我国基本实现社会主义现代化的战略安排。展望二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w:t>
      </w:r>
      <w:r>
        <w:rPr>
          <w:rFonts w:ascii="Times New Roman" w:hAnsi="Times New Roman" w:eastAsia="仿宋_GB2312" w:cs="仿宋_GB2312"/>
          <w:sz w:val="32"/>
          <w:szCs w:val="32"/>
        </w:rPr>
        <w:t>年，</w:t>
      </w:r>
      <w:r>
        <w:rPr>
          <w:rFonts w:hint="eastAsia" w:ascii="Times New Roman" w:hAnsi="Times New Roman" w:eastAsia="仿宋_GB2312" w:cs="仿宋_GB2312"/>
          <w:sz w:val="32"/>
          <w:szCs w:val="32"/>
        </w:rPr>
        <w:t>经过“十四五”夯基垒台、“十五五”接续攻坚、“十六五”冲刺决胜，云安将与全国全省全市同步基本实现社会主义现代化。高质量发展迈上新台阶，经济实力、综合实力特别是环境吸引力、发展竞争力大幅跃升，经济总量和城乡居民收入大幅增长，科技创新能力、产业发展水平有效提升，基本实现新型工业化、信息化、城镇化、农业现代化，基本建成经济繁荣、社会进步、文化昌明、环境优美、生活富足的西江明珠，美丽云安更具魅力，自然生态之美、人文和谐之美、绿色发展之美、政治清廉之美充分彰显。生态建设发展立起新标杆，形成绿色低碳环保的生产生活方式，推动生态产业化、产业生态化，基本建成绿色工业、生态农业、生态文旅协同发展的生态产业体系，成功走出一条立足资源禀赋、具有鲜明特色的“生态优先、绿色发展、乡村振兴”云安路径，生态环境根本好转、生态优势持续提升，生态绿色成为云安最深厚底色。新型城镇化和农业农村现代化焕发新容颜，六都、都杨“双核”驱动，石城、镇安串珠成链，其他各镇各美其美、美美与共，一座宜居宜业、活力魅力的人民新城昂首屹立于西江之畔，成为辐射带动全市新型城镇化和高质量发展的强大引擎；农业农村高质量发展，基本形成工农互促、城乡互补、协调发展、共同繁荣的新型工农城乡关系，实现公共服务一体化、一二三产融合发展，美丽圩镇宜居宜业、精美乡村全面振兴，走在全省县（市、区）前列。现代社会治理形成新格局，人民群众平等参与、平等发展权利得到充分保障，法治云安、法治政府、法治社会基本建成，共建共治共享社会治理格局总体完善，基本实现基层治理体系和治理能力现代化。社会文明程度达到新高度，社会主义核心价值观成风化俗，文化软实力显著提升，城乡居民思想道德、文明素养显著提高，建成教育强区、科技强区、人才强区、文体强区、健康云安和更高水平的平安云安，“信义和美”成为云安鲜明标识。人民群众普遍过上美好富足新生活，人民对美好生活的新向往新期待不断得到满足，人均生产总值年均增速超过全国平均水平，基本公共服务实现均等化，城乡区域发展差距和居民生活水平差距显著缩小，人的全面发展、全体人民共同富裕取得更为明显的实质性进展。</w:t>
      </w:r>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锚定二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三五远景目标，综合考虑内外发展形势和云安发展条件，坚持目标导向和问题导向相结合，坚持守正和创新相统一，今后五年要努力实现以下主要目标：</w:t>
      </w:r>
    </w:p>
    <w:p>
      <w:pPr>
        <w:spacing w:line="600" w:lineRule="exact"/>
        <w:ind w:firstLine="642" w:firstLineChars="200"/>
        <w:rPr>
          <w:rFonts w:ascii="Times New Roman" w:hAnsi="Times New Roman" w:eastAsia="仿宋_GB2312"/>
          <w:sz w:val="32"/>
          <w:szCs w:val="32"/>
        </w:rPr>
      </w:pPr>
      <w:r>
        <w:rPr>
          <w:rFonts w:hint="eastAsia" w:ascii="Times New Roman" w:hAnsi="Times New Roman" w:eastAsia="楷体"/>
          <w:b/>
          <w:bCs/>
          <w:kern w:val="0"/>
          <w:sz w:val="32"/>
          <w:szCs w:val="32"/>
        </w:rPr>
        <w:t>——</w:t>
      </w:r>
      <w:r>
        <w:rPr>
          <w:rFonts w:hint="eastAsia" w:ascii="Times New Roman" w:hAnsi="Times New Roman" w:eastAsia="楷体"/>
          <w:b/>
          <w:bCs/>
          <w:sz w:val="32"/>
          <w:szCs w:val="32"/>
        </w:rPr>
        <w:t>实力云安建设实现新跨越。</w:t>
      </w:r>
      <w:r>
        <w:rPr>
          <w:rFonts w:hint="eastAsia" w:ascii="Times New Roman" w:hAnsi="Times New Roman" w:eastAsia="仿宋_GB2312"/>
          <w:sz w:val="32"/>
          <w:szCs w:val="32"/>
        </w:rPr>
        <w:t>在质量效益明显提升基础上实现经济持续快速健康可持续发展，GDP增速快于全省全市平均水平，经济</w:t>
      </w:r>
      <w:r>
        <w:rPr>
          <w:rFonts w:hint="eastAsia" w:ascii="Times New Roman" w:hAnsi="Times New Roman" w:eastAsia="仿宋_GB2312" w:cs="仿宋_GB2312"/>
          <w:sz w:val="32"/>
          <w:szCs w:val="32"/>
        </w:rPr>
        <w:t>总量到2025年力争进入</w:t>
      </w:r>
      <w:r>
        <w:rPr>
          <w:rFonts w:hint="eastAsia" w:ascii="Times New Roman" w:hAnsi="Times New Roman" w:eastAsia="仿宋_GB2312"/>
          <w:sz w:val="32"/>
          <w:szCs w:val="32"/>
        </w:rPr>
        <w:t>全省县（市、区）百名以内，实体经济特别是制造业特色更为鲜明、基础更为牢固，经济结构、产业结构明显优化，新产业、新动能加快成长，创新主体不断涌现、创新能力不断提高，产业基础高级化、产业链现代化迈出坚实步伐，新型城镇化、新型工业化双轮驱动、并驾齐驱，现代化经济体系建设取得重大进展。</w:t>
      </w:r>
    </w:p>
    <w:p>
      <w:pPr>
        <w:spacing w:line="600" w:lineRule="exact"/>
        <w:ind w:firstLine="642" w:firstLineChars="200"/>
        <w:rPr>
          <w:rFonts w:ascii="Times New Roman" w:hAnsi="Times New Roman" w:eastAsia="仿宋_GB2312"/>
          <w:b/>
          <w:bCs/>
          <w:sz w:val="32"/>
          <w:szCs w:val="32"/>
        </w:rPr>
      </w:pPr>
      <w:r>
        <w:rPr>
          <w:rFonts w:hint="eastAsia" w:ascii="Times New Roman" w:hAnsi="Times New Roman" w:eastAsia="楷体"/>
          <w:b/>
          <w:bCs/>
          <w:kern w:val="0"/>
          <w:sz w:val="32"/>
          <w:szCs w:val="32"/>
        </w:rPr>
        <w:t>——</w:t>
      </w:r>
      <w:r>
        <w:rPr>
          <w:rFonts w:hint="eastAsia" w:ascii="Times New Roman" w:hAnsi="Times New Roman" w:eastAsia="楷体"/>
          <w:b/>
          <w:bCs/>
          <w:sz w:val="32"/>
          <w:szCs w:val="32"/>
        </w:rPr>
        <w:t>活力云安建设迈出新步伐。</w:t>
      </w:r>
      <w:r>
        <w:rPr>
          <w:rFonts w:hint="eastAsia" w:ascii="Times New Roman" w:hAnsi="Times New Roman" w:eastAsia="仿宋_GB2312"/>
          <w:sz w:val="32"/>
          <w:szCs w:val="32"/>
        </w:rPr>
        <w:t>有效市场和有为政府更好结合，土地、资金、人才等制约高质量发展的深层次问题和体制性障碍有效化解，绿色矿山建设、城乡融合发展、全域土地综合整治等重点领域和关键环节改革实质进展，要素市场化配置体制机制趋于完善，营商环境进一步优化，开放包容成为社会共识和自觉行动，区域品牌、竞争力和美誉度全面提升，政府调控力、市场活力、社会动力竞相迸发，创新创造创业的源泉充分涌流，成为投资落户“首选地”和“离成功最近的地方”。</w:t>
      </w:r>
    </w:p>
    <w:p>
      <w:pPr>
        <w:spacing w:line="600" w:lineRule="exact"/>
        <w:ind w:firstLine="642" w:firstLineChars="200"/>
        <w:rPr>
          <w:rFonts w:ascii="Times New Roman" w:hAnsi="Times New Roman" w:eastAsia="仿宋_GB2312"/>
          <w:b/>
          <w:bCs/>
          <w:sz w:val="32"/>
          <w:szCs w:val="32"/>
        </w:rPr>
      </w:pPr>
      <w:r>
        <w:rPr>
          <w:rFonts w:hint="eastAsia" w:ascii="Times New Roman" w:hAnsi="Times New Roman" w:eastAsia="楷体"/>
          <w:b/>
          <w:bCs/>
          <w:kern w:val="0"/>
          <w:sz w:val="32"/>
          <w:szCs w:val="32"/>
        </w:rPr>
        <w:t>——</w:t>
      </w:r>
      <w:r>
        <w:rPr>
          <w:rFonts w:hint="eastAsia" w:ascii="Times New Roman" w:hAnsi="Times New Roman" w:eastAsia="楷体"/>
          <w:b/>
          <w:bCs/>
          <w:sz w:val="32"/>
          <w:szCs w:val="32"/>
        </w:rPr>
        <w:t>文明云安建设跃上新高度</w:t>
      </w:r>
      <w:r>
        <w:rPr>
          <w:rFonts w:hint="eastAsia" w:ascii="Times New Roman" w:hAnsi="Times New Roman" w:eastAsia="楷体"/>
          <w:sz w:val="32"/>
          <w:szCs w:val="32"/>
        </w:rPr>
        <w:t>。</w:t>
      </w:r>
      <w:r>
        <w:rPr>
          <w:rFonts w:hint="eastAsia" w:ascii="Times New Roman" w:hAnsi="Times New Roman" w:eastAsia="仿宋_GB2312"/>
          <w:sz w:val="32"/>
          <w:szCs w:val="32"/>
        </w:rPr>
        <w:t>社会主义核心价值观深入人心，人民群众思想道德素质、科学文化素质和身心健康素质明显提升，图书馆、文化公园、革命纪念设施等硬件建设明显加强，公共文化服务体系和文化产业体系更加健全，人民群众精神文化生活日益丰富、文化自信更加坚定，陈</w:t>
      </w:r>
      <w:r>
        <w:rPr>
          <w:rFonts w:hint="eastAsia" w:ascii="微软雅黑" w:hAnsi="微软雅黑" w:eastAsia="微软雅黑" w:cs="微软雅黑"/>
          <w:sz w:val="32"/>
          <w:szCs w:val="32"/>
        </w:rPr>
        <w:t>璘</w:t>
      </w:r>
      <w:r>
        <w:rPr>
          <w:rFonts w:hint="eastAsia" w:ascii="仿宋_GB2312" w:hAnsi="仿宋_GB2312" w:eastAsia="仿宋_GB2312" w:cs="仿宋_GB2312"/>
          <w:sz w:val="32"/>
          <w:szCs w:val="32"/>
        </w:rPr>
        <w:t>、西江、云雾山、荣昌堂、“三罗武装斗争第一</w:t>
      </w:r>
      <w:r>
        <w:rPr>
          <w:rFonts w:hint="eastAsia" w:ascii="Times New Roman" w:hAnsi="Times New Roman" w:eastAsia="仿宋_GB2312"/>
          <w:sz w:val="32"/>
          <w:szCs w:val="32"/>
        </w:rPr>
        <w:t>枪”等成为云安文化标识，自力更生、艰苦奋斗建设“西江明珠、美丽云安”成为云安时代强音。</w:t>
      </w:r>
    </w:p>
    <w:p>
      <w:pPr>
        <w:spacing w:line="600" w:lineRule="exact"/>
        <w:ind w:firstLine="642" w:firstLineChars="200"/>
        <w:rPr>
          <w:rFonts w:ascii="Times New Roman" w:hAnsi="Times New Roman" w:eastAsia="仿宋_GB2312"/>
          <w:sz w:val="32"/>
          <w:szCs w:val="32"/>
        </w:rPr>
      </w:pPr>
      <w:r>
        <w:rPr>
          <w:rFonts w:hint="eastAsia" w:ascii="Times New Roman" w:hAnsi="Times New Roman" w:eastAsia="楷体"/>
          <w:b/>
          <w:bCs/>
          <w:kern w:val="0"/>
          <w:sz w:val="32"/>
          <w:szCs w:val="32"/>
        </w:rPr>
        <w:t>——</w:t>
      </w:r>
      <w:r>
        <w:rPr>
          <w:rFonts w:hint="eastAsia" w:ascii="Times New Roman" w:hAnsi="Times New Roman" w:eastAsia="楷体"/>
          <w:b/>
          <w:bCs/>
          <w:sz w:val="32"/>
          <w:szCs w:val="32"/>
        </w:rPr>
        <w:t>美丽云安建设取得新成效</w:t>
      </w:r>
      <w:r>
        <w:rPr>
          <w:rFonts w:hint="eastAsia" w:ascii="Times New Roman" w:hAnsi="Times New Roman" w:eastAsia="楷体"/>
          <w:sz w:val="32"/>
          <w:szCs w:val="32"/>
        </w:rPr>
        <w:t>。</w:t>
      </w:r>
      <w:r>
        <w:rPr>
          <w:rFonts w:hint="eastAsia" w:ascii="Times New Roman" w:hAnsi="Times New Roman" w:eastAsia="仿宋_GB2312"/>
          <w:sz w:val="32"/>
          <w:szCs w:val="32"/>
        </w:rPr>
        <w:t>国土空间开发保护格局清晰合理、优势互补，</w:t>
      </w:r>
      <w:r>
        <w:rPr>
          <w:rFonts w:hint="eastAsia" w:ascii="Times New Roman" w:hAnsi="Times New Roman" w:eastAsia="仿宋_GB2312" w:cs="仿宋_GB2312"/>
          <w:sz w:val="32"/>
          <w:szCs w:val="32"/>
        </w:rPr>
        <w:t>绿色低碳环保的生产生活方式深入人心，</w:t>
      </w:r>
      <w:r>
        <w:rPr>
          <w:rFonts w:hint="eastAsia" w:ascii="Times New Roman" w:hAnsi="Times New Roman" w:eastAsia="仿宋_GB2312"/>
          <w:sz w:val="32"/>
          <w:szCs w:val="32"/>
        </w:rPr>
        <w:t>污染防治出现“拐点”，空气环境质量明显改善，</w:t>
      </w:r>
      <w:r>
        <w:rPr>
          <w:rFonts w:hint="eastAsia" w:ascii="Times New Roman" w:hAnsi="Times New Roman" w:eastAsia="仿宋_GB2312" w:cs="仿宋_GB2312"/>
          <w:bCs/>
          <w:sz w:val="32"/>
          <w:szCs w:val="32"/>
        </w:rPr>
        <w:t>主要污染物排放总量持续下降，资源能源利用集约高效，生态产品供给稳步提高，美丽圩镇、精美乡村由点到面、连线成片，城乡人居环境明显改善，大湾区生态屏障更加牢固，青山绿水、蓝天白云成为云安生态常态，巍巍云雾山、滔滔西江水成为云安“生态名片”</w:t>
      </w:r>
      <w:r>
        <w:rPr>
          <w:rFonts w:hint="eastAsia" w:ascii="Times New Roman" w:hAnsi="Times New Roman" w:eastAsia="仿宋_GB2312"/>
          <w:sz w:val="32"/>
          <w:szCs w:val="32"/>
        </w:rPr>
        <w:t>。</w:t>
      </w:r>
    </w:p>
    <w:p>
      <w:pPr>
        <w:spacing w:line="600" w:lineRule="exact"/>
        <w:ind w:firstLine="642" w:firstLineChars="200"/>
        <w:rPr>
          <w:rFonts w:ascii="Times New Roman" w:hAnsi="Times New Roman" w:eastAsia="仿宋_GB2312"/>
          <w:b/>
          <w:bCs/>
          <w:sz w:val="32"/>
          <w:szCs w:val="32"/>
        </w:rPr>
      </w:pPr>
      <w:r>
        <w:rPr>
          <w:rFonts w:hint="eastAsia" w:ascii="Times New Roman" w:hAnsi="Times New Roman" w:eastAsia="仿宋_GB2312"/>
          <w:b/>
          <w:bCs/>
          <w:sz w:val="32"/>
          <w:szCs w:val="32"/>
        </w:rPr>
        <w:t>——幸福云安建设拥有新品质</w:t>
      </w:r>
      <w:r>
        <w:rPr>
          <w:rFonts w:hint="eastAsia" w:ascii="Times New Roman" w:hAnsi="Times New Roman" w:eastAsia="仿宋_GB2312"/>
          <w:sz w:val="32"/>
          <w:szCs w:val="32"/>
        </w:rPr>
        <w:t>。居民收入增长和经济增长基本同步，基本公共服务水平和均等化程度明显提高，工农、城乡差别特别是收入差距持续缩小，多层次社会保障体系更加健全，教育、医疗、卫生健康水平明显提高，成为云浮教育高质量发展新标杆，脱贫攻坚成果巩固拓展，乡村振兴战略全面推进，人民群众的获得感成色更足、幸福感更可持续、安全感更有保障。</w:t>
      </w:r>
    </w:p>
    <w:p>
      <w:pPr>
        <w:pStyle w:val="2"/>
        <w:ind w:left="0" w:leftChars="0" w:firstLine="643"/>
        <w:rPr>
          <w:rFonts w:eastAsia="仿宋_GB2312"/>
          <w:sz w:val="32"/>
          <w:szCs w:val="32"/>
        </w:rPr>
      </w:pPr>
      <w:r>
        <w:rPr>
          <w:rFonts w:hint="eastAsia" w:eastAsia="楷体"/>
          <w:b/>
          <w:bCs/>
          <w:sz w:val="32"/>
          <w:szCs w:val="32"/>
        </w:rPr>
        <w:t>——平安云安建设达到新水平</w:t>
      </w:r>
      <w:r>
        <w:rPr>
          <w:rFonts w:hint="eastAsia" w:eastAsia="楷体"/>
          <w:sz w:val="32"/>
          <w:szCs w:val="32"/>
        </w:rPr>
        <w:t>。</w:t>
      </w:r>
      <w:r>
        <w:rPr>
          <w:rFonts w:hint="eastAsia" w:eastAsia="仿宋_GB2312"/>
          <w:sz w:val="32"/>
          <w:szCs w:val="32"/>
        </w:rPr>
        <w:t>党的全面领导和党的建设全面加强，“一统揽两作用三联系四超前”工作机制更加健全，法治云安、平安云安、清廉云安建设达到更高水平，政府行政效率和公信力显著提高，统筹“四防三安全”更加有力，决策共谋、发展共建、建设共管、效果共评、成果共享的社会治理格局深化完善，防范化解重大风险体制机制不断健全，突发公共事件应急能力、自然灾害防御水平明显提升，发展安全保障更加有力，高效能治理和高质量发展相互促进，成为全省基层治理新样板。</w:t>
      </w:r>
    </w:p>
    <w:p>
      <w:pPr>
        <w:pStyle w:val="11"/>
        <w:ind w:firstLine="56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表2</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云安区“十四五”规划经济社会发展主要指标表</w:t>
      </w:r>
    </w:p>
    <w:tbl>
      <w:tblPr>
        <w:tblStyle w:val="19"/>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90"/>
        <w:gridCol w:w="1177"/>
        <w:gridCol w:w="1178"/>
        <w:gridCol w:w="133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704" w:type="dxa"/>
            <w:vAlign w:val="center"/>
          </w:tcPr>
          <w:p>
            <w:pPr>
              <w:pStyle w:val="11"/>
              <w:spacing w:line="6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序号</w:t>
            </w:r>
          </w:p>
        </w:tc>
        <w:tc>
          <w:tcPr>
            <w:tcW w:w="2890" w:type="dxa"/>
            <w:vAlign w:val="center"/>
          </w:tcPr>
          <w:p>
            <w:pPr>
              <w:pStyle w:val="11"/>
              <w:spacing w:line="6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指标名称</w:t>
            </w:r>
          </w:p>
        </w:tc>
        <w:tc>
          <w:tcPr>
            <w:tcW w:w="1177" w:type="dxa"/>
            <w:vAlign w:val="center"/>
          </w:tcPr>
          <w:p>
            <w:pPr>
              <w:pStyle w:val="11"/>
              <w:spacing w:line="6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2020年</w:t>
            </w:r>
          </w:p>
        </w:tc>
        <w:tc>
          <w:tcPr>
            <w:tcW w:w="1178" w:type="dxa"/>
            <w:vAlign w:val="center"/>
          </w:tcPr>
          <w:p>
            <w:pPr>
              <w:pStyle w:val="11"/>
              <w:spacing w:line="6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2025年</w:t>
            </w:r>
          </w:p>
        </w:tc>
        <w:tc>
          <w:tcPr>
            <w:tcW w:w="1337" w:type="dxa"/>
            <w:vAlign w:val="center"/>
          </w:tcPr>
          <w:p>
            <w:pPr>
              <w:pStyle w:val="11"/>
              <w:spacing w:line="3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“十四五”年均增速[累计]</w:t>
            </w:r>
          </w:p>
        </w:tc>
        <w:tc>
          <w:tcPr>
            <w:tcW w:w="997" w:type="dxa"/>
            <w:vAlign w:val="center"/>
          </w:tcPr>
          <w:p>
            <w:pPr>
              <w:pStyle w:val="11"/>
              <w:spacing w:line="3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指标</w:t>
            </w:r>
          </w:p>
          <w:p>
            <w:pPr>
              <w:pStyle w:val="11"/>
              <w:spacing w:line="300" w:lineRule="exact"/>
              <w:ind w:firstLine="0" w:firstLineChars="0"/>
              <w:jc w:val="center"/>
              <w:rPr>
                <w:rFonts w:ascii="Times New Roman" w:hAnsi="Times New Roman"/>
                <w:b/>
                <w:bCs/>
                <w:sz w:val="21"/>
                <w:szCs w:val="21"/>
                <w:shd w:val="clear" w:color="auto" w:fill="FFFFFF"/>
              </w:rPr>
            </w:pPr>
            <w:r>
              <w:rPr>
                <w:rFonts w:hint="eastAsia" w:ascii="Times New Roman" w:hAnsi="Times New Roman"/>
                <w:b/>
                <w:bCs/>
                <w:sz w:val="21"/>
                <w:szCs w:val="21"/>
                <w:shd w:val="clear" w:color="auto" w:fill="FFFFFF"/>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3" w:type="dxa"/>
            <w:gridSpan w:val="6"/>
            <w:vAlign w:val="center"/>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一、经济发展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地区生产总值（亿元）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109.71</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7.5%</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全员劳动生产率（万元/人）</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6.7%</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3</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规模以上工业增加值（亿元）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34.85</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9%左右</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4</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地方一般公共预算收入（亿元）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5.04</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8.12</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10%</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5</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全社会固定资产投资增长率（%）</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6.0</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rPr>
              <w:t>10</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6</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社会消费品零售总额（亿元）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18.6</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rPr>
              <w:t>2</w:t>
            </w:r>
            <w:r>
              <w:rPr>
                <w:rFonts w:hint="eastAsia" w:ascii="Times New Roman" w:hAnsi="Times New Roman" w:eastAsia="仿宋_GB2312"/>
                <w:szCs w:val="21"/>
              </w:rPr>
              <w:t>6.09</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7%</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7</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外贸进出口总额（亿元）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12.72</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2.2%</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8</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实际利用外资（美元）</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218</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Pr>
          <w:p>
            <w:pPr>
              <w:adjustRightInd w:val="0"/>
              <w:snapToGrid w:val="0"/>
              <w:spacing w:line="600" w:lineRule="exact"/>
              <w:jc w:val="center"/>
              <w:rPr>
                <w:rFonts w:ascii="Times New Roman" w:hAnsi="Times New Roman" w:eastAsia="仿宋_GB2312"/>
                <w:szCs w:val="21"/>
              </w:rPr>
            </w:pPr>
            <w:r>
              <w:rPr>
                <w:rFonts w:hint="eastAsia" w:ascii="Times New Roman" w:hAnsi="Times New Roman" w:eastAsia="仿宋_GB2312"/>
                <w:szCs w:val="21"/>
              </w:rPr>
              <w:t>10%</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9</w:t>
            </w:r>
          </w:p>
        </w:tc>
        <w:tc>
          <w:tcPr>
            <w:tcW w:w="28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常住人口城镇化率（%）</w:t>
            </w:r>
          </w:p>
        </w:tc>
        <w:tc>
          <w:tcPr>
            <w:tcW w:w="11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 w:val="18"/>
                <w:szCs w:val="18"/>
              </w:rPr>
              <w:t>待七人普数下核后定</w:t>
            </w:r>
          </w:p>
        </w:tc>
        <w:tc>
          <w:tcPr>
            <w:tcW w:w="1178"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Borders>
              <w:top w:val="single" w:color="auto" w:sz="4" w:space="0"/>
              <w:left w:val="single" w:color="auto" w:sz="4" w:space="0"/>
              <w:bottom w:val="single" w:color="auto" w:sz="4" w:space="0"/>
              <w:right w:val="single" w:color="auto" w:sz="4" w:space="0"/>
            </w:tcBorders>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[5]</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3" w:type="dxa"/>
            <w:gridSpan w:val="6"/>
            <w:vAlign w:val="center"/>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二、创新驱动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10</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研究与发展经费支出占地区生产总值比重（%）</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0.5</w:t>
            </w:r>
          </w:p>
        </w:tc>
        <w:tc>
          <w:tcPr>
            <w:tcW w:w="1178"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[0.5]</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1</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数字经济核心产业增加值占GDP比例（%）</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178"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[1.1]</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2</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每万人发明专利拥有量（件）</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1.29</w:t>
            </w:r>
          </w:p>
        </w:tc>
        <w:tc>
          <w:tcPr>
            <w:tcW w:w="1178"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1.5</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[0.2]</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8283" w:type="dxa"/>
            <w:gridSpan w:val="6"/>
            <w:vAlign w:val="center"/>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三、社会民生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3</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居民人均可支配收入（元）</w:t>
            </w:r>
          </w:p>
        </w:tc>
        <w:tc>
          <w:tcPr>
            <w:tcW w:w="1177" w:type="dxa"/>
          </w:tcPr>
          <w:p>
            <w:pPr>
              <w:adjustRightInd w:val="0"/>
              <w:snapToGrid w:val="0"/>
              <w:spacing w:line="600" w:lineRule="exact"/>
              <w:jc w:val="center"/>
              <w:rPr>
                <w:rFonts w:ascii="Times New Roman" w:hAnsi="Times New Roman" w:eastAsia="仿宋_GB2312"/>
                <w:szCs w:val="21"/>
              </w:rPr>
            </w:pPr>
            <w:r>
              <w:rPr>
                <w:rFonts w:ascii="Times New Roman" w:hAnsi="Times New Roman" w:eastAsia="仿宋_GB2312"/>
                <w:szCs w:val="21"/>
              </w:rPr>
              <w:t>20475</w:t>
            </w:r>
          </w:p>
        </w:tc>
        <w:tc>
          <w:tcPr>
            <w:tcW w:w="1178" w:type="dxa"/>
          </w:tcPr>
          <w:p>
            <w:pPr>
              <w:adjustRightInd w:val="0"/>
              <w:snapToGrid w:val="0"/>
              <w:spacing w:line="600" w:lineRule="exact"/>
              <w:jc w:val="center"/>
              <w:rPr>
                <w:rFonts w:ascii="Times New Roman" w:hAnsi="Times New Roman" w:eastAsia="仿宋_GB2312"/>
                <w:szCs w:val="21"/>
              </w:rPr>
            </w:pPr>
            <w:r>
              <w:rPr>
                <w:rFonts w:hint="eastAsia" w:ascii="Times New Roman" w:hAnsi="Times New Roman" w:eastAsia="仿宋_GB2312"/>
                <w:szCs w:val="21"/>
              </w:rPr>
              <w:t>-</w:t>
            </w:r>
          </w:p>
        </w:tc>
        <w:tc>
          <w:tcPr>
            <w:tcW w:w="1337" w:type="dxa"/>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rPr>
              <w:t>与经济增长同步</w:t>
            </w:r>
          </w:p>
        </w:tc>
        <w:tc>
          <w:tcPr>
            <w:tcW w:w="997"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4</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城镇登记失业率（%）</w:t>
            </w:r>
          </w:p>
        </w:tc>
        <w:tc>
          <w:tcPr>
            <w:tcW w:w="1177" w:type="dxa"/>
          </w:tcPr>
          <w:p>
            <w:pPr>
              <w:adjustRightInd w:val="0"/>
              <w:snapToGrid w:val="0"/>
              <w:jc w:val="center"/>
              <w:rPr>
                <w:rFonts w:ascii="Times New Roman" w:hAnsi="Times New Roman" w:eastAsia="仿宋_GB2312"/>
                <w:szCs w:val="21"/>
              </w:rPr>
            </w:pPr>
            <w:r>
              <w:rPr>
                <w:rFonts w:hint="eastAsia" w:ascii="Times New Roman" w:hAnsi="Times New Roman" w:eastAsia="仿宋_GB2312"/>
                <w:szCs w:val="21"/>
              </w:rPr>
              <w:t>控制在4%以内</w:t>
            </w:r>
          </w:p>
        </w:tc>
        <w:tc>
          <w:tcPr>
            <w:tcW w:w="1178" w:type="dxa"/>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rPr>
              <w:t>控制在4%以内</w:t>
            </w:r>
          </w:p>
        </w:tc>
        <w:tc>
          <w:tcPr>
            <w:tcW w:w="1337" w:type="dxa"/>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rPr>
              <w:t>控制在4%以内</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5</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 xml:space="preserve">人均预期寿命（岁） </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rPr>
              <w:t>81.76</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82</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[0.24]</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6</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劳动年龄人口平均受教育年限（年）</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[1.03]</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7</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每千人口执业（助理）医师数（人）</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1.26</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1.8</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[0.54]</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8</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基本养老保险参保人数（万人）</w:t>
            </w:r>
          </w:p>
        </w:tc>
        <w:tc>
          <w:tcPr>
            <w:tcW w:w="117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17.59</w:t>
            </w:r>
          </w:p>
        </w:tc>
        <w:tc>
          <w:tcPr>
            <w:tcW w:w="1178" w:type="dxa"/>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18.59</w:t>
            </w:r>
          </w:p>
        </w:tc>
        <w:tc>
          <w:tcPr>
            <w:tcW w:w="133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rPr>
              <w:t>[1]</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8283" w:type="dxa"/>
            <w:gridSpan w:val="6"/>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四、绿色发展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1</w:t>
            </w:r>
            <w:r>
              <w:rPr>
                <w:rFonts w:ascii="Times New Roman" w:hAnsi="Times New Roman" w:eastAsia="仿宋_GB2312"/>
                <w:szCs w:val="21"/>
                <w:shd w:val="clear" w:color="auto" w:fill="FFFFFF"/>
              </w:rPr>
              <w:t>9</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单位GDP能耗降幅（%）</w:t>
            </w:r>
          </w:p>
        </w:tc>
        <w:tc>
          <w:tcPr>
            <w:tcW w:w="1177"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2515" w:type="dxa"/>
            <w:gridSpan w:val="2"/>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20</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单位GDP二氧化碳排放降低（%）</w:t>
            </w:r>
          </w:p>
        </w:tc>
        <w:tc>
          <w:tcPr>
            <w:tcW w:w="1177"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ascii="Times New Roman" w:hAnsi="Times New Roman" w:eastAsia="仿宋_GB2312"/>
                <w:szCs w:val="21"/>
                <w:shd w:val="clear" w:color="auto" w:fill="FFFFFF"/>
              </w:rPr>
              <w:t>21</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空气质量优良天数比例（</w:t>
            </w:r>
            <w:r>
              <w:rPr>
                <w:rFonts w:ascii="Times New Roman" w:hAnsi="Times New Roman" w:eastAsia="仿宋_GB2312"/>
                <w:szCs w:val="21"/>
                <w:shd w:val="clear" w:color="auto" w:fill="FFFFFF"/>
              </w:rPr>
              <w:t>%）</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98.36</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2</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达到或好于Ⅲ类水体占地表水比例（%）</w:t>
            </w:r>
          </w:p>
        </w:tc>
        <w:tc>
          <w:tcPr>
            <w:tcW w:w="1177"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33.33</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3</w:t>
            </w:r>
          </w:p>
        </w:tc>
        <w:tc>
          <w:tcPr>
            <w:tcW w:w="2890" w:type="dxa"/>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城市人均公园绿地面积（平方米）</w:t>
            </w:r>
          </w:p>
        </w:tc>
        <w:tc>
          <w:tcPr>
            <w:tcW w:w="1177" w:type="dxa"/>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 w:val="24"/>
                <w:szCs w:val="32"/>
              </w:rPr>
              <w:t>14.6</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 w:val="24"/>
                <w:szCs w:val="3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4</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森林覆盖率（%）</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65.96</w:t>
            </w:r>
          </w:p>
        </w:tc>
        <w:tc>
          <w:tcPr>
            <w:tcW w:w="2515" w:type="dxa"/>
            <w:gridSpan w:val="2"/>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283" w:type="dxa"/>
            <w:gridSpan w:val="6"/>
            <w:vAlign w:val="center"/>
          </w:tcPr>
          <w:p>
            <w:pPr>
              <w:adjustRightInd w:val="0"/>
              <w:snapToGrid w:val="0"/>
              <w:spacing w:line="600" w:lineRule="exact"/>
              <w:jc w:val="left"/>
              <w:rPr>
                <w:rFonts w:ascii="Times New Roman" w:hAnsi="Times New Roman" w:eastAsia="仿宋_GB2312"/>
                <w:b/>
                <w:bCs/>
                <w:szCs w:val="21"/>
                <w:shd w:val="clear" w:color="auto" w:fill="FFFFFF"/>
              </w:rPr>
            </w:pPr>
            <w:r>
              <w:rPr>
                <w:rFonts w:hint="eastAsia" w:ascii="Times New Roman" w:hAnsi="Times New Roman" w:eastAsia="仿宋_GB2312"/>
                <w:b/>
                <w:bCs/>
                <w:szCs w:val="21"/>
                <w:shd w:val="clear" w:color="auto" w:fill="FFFFFF"/>
              </w:rPr>
              <w:t>五、安全保障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5</w:t>
            </w:r>
          </w:p>
        </w:tc>
        <w:tc>
          <w:tcPr>
            <w:tcW w:w="2890" w:type="dxa"/>
            <w:vAlign w:val="center"/>
          </w:tcPr>
          <w:p>
            <w:pPr>
              <w:adjustRightInd w:val="0"/>
              <w:snapToGrid w:val="0"/>
              <w:spacing w:line="600" w:lineRule="exact"/>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粮食总产量（万吨）</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6.89</w:t>
            </w:r>
          </w:p>
        </w:tc>
        <w:tc>
          <w:tcPr>
            <w:tcW w:w="1178"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704"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2</w:t>
            </w:r>
            <w:r>
              <w:rPr>
                <w:rFonts w:ascii="Times New Roman" w:hAnsi="Times New Roman" w:eastAsia="仿宋_GB2312"/>
                <w:szCs w:val="21"/>
                <w:shd w:val="clear" w:color="auto" w:fill="FFFFFF"/>
              </w:rPr>
              <w:t>6</w:t>
            </w:r>
          </w:p>
        </w:tc>
        <w:tc>
          <w:tcPr>
            <w:tcW w:w="2890" w:type="dxa"/>
            <w:vAlign w:val="center"/>
          </w:tcPr>
          <w:p>
            <w:pPr>
              <w:adjustRightInd w:val="0"/>
              <w:snapToGrid w:val="0"/>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能源综合生产能力（万吨标准煤）</w:t>
            </w:r>
          </w:p>
        </w:tc>
        <w:tc>
          <w:tcPr>
            <w:tcW w:w="117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0.2936</w:t>
            </w:r>
          </w:p>
        </w:tc>
        <w:tc>
          <w:tcPr>
            <w:tcW w:w="1178" w:type="dxa"/>
            <w:vAlign w:val="center"/>
          </w:tcPr>
          <w:p>
            <w:pPr>
              <w:adjustRightInd w:val="0"/>
              <w:snapToGrid w:val="0"/>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以市下达目标为准</w:t>
            </w:r>
          </w:p>
        </w:tc>
        <w:tc>
          <w:tcPr>
            <w:tcW w:w="133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w:t>
            </w:r>
          </w:p>
        </w:tc>
        <w:tc>
          <w:tcPr>
            <w:tcW w:w="997" w:type="dxa"/>
            <w:vAlign w:val="center"/>
          </w:tcPr>
          <w:p>
            <w:pPr>
              <w:adjustRightInd w:val="0"/>
              <w:snapToGrid w:val="0"/>
              <w:spacing w:line="600" w:lineRule="exact"/>
              <w:jc w:val="center"/>
              <w:rPr>
                <w:rFonts w:ascii="Times New Roman" w:hAnsi="Times New Roman" w:eastAsia="仿宋_GB2312"/>
                <w:szCs w:val="21"/>
                <w:shd w:val="clear" w:color="auto" w:fill="FFFFFF"/>
              </w:rPr>
            </w:pPr>
            <w:r>
              <w:rPr>
                <w:rFonts w:hint="eastAsia" w:ascii="Times New Roman" w:hAnsi="Times New Roman" w:eastAsia="仿宋_GB2312"/>
                <w:szCs w:val="21"/>
                <w:shd w:val="clear" w:color="auto" w:fill="FFFFFF"/>
              </w:rPr>
              <w:t>预期性</w:t>
            </w:r>
          </w:p>
        </w:tc>
      </w:tr>
    </w:tbl>
    <w:p>
      <w:pPr>
        <w:spacing w:line="340" w:lineRule="exact"/>
        <w:ind w:firstLine="400" w:firstLineChars="200"/>
        <w:rPr>
          <w:rFonts w:ascii="Times New Roman" w:hAnsi="Times New Roman" w:eastAsia="仿宋_GB2312"/>
          <w:sz w:val="20"/>
          <w:szCs w:val="20"/>
          <w:shd w:val="clear" w:color="auto" w:fill="FFFFFF"/>
        </w:rPr>
      </w:pPr>
      <w:bookmarkStart w:id="39" w:name="_Toc56537388"/>
      <w:r>
        <w:rPr>
          <w:rFonts w:hint="eastAsia" w:ascii="Times New Roman" w:hAnsi="Times New Roman" w:eastAsia="仿宋_GB2312"/>
          <w:sz w:val="20"/>
          <w:szCs w:val="20"/>
          <w:shd w:val="clear" w:color="auto" w:fill="FFFFFF"/>
        </w:rPr>
        <w:t>注：1.地区生产总值、全员劳动生产率、居民人均可支配收入增长速度为实际增速。</w:t>
      </w:r>
    </w:p>
    <w:p>
      <w:pPr>
        <w:spacing w:line="340" w:lineRule="exact"/>
        <w:ind w:firstLine="800" w:firstLineChars="400"/>
        <w:rPr>
          <w:rFonts w:ascii="Times New Roman" w:hAnsi="Times New Roman" w:eastAsia="仿宋_GB2312"/>
          <w:sz w:val="20"/>
          <w:szCs w:val="20"/>
          <w:shd w:val="clear" w:color="auto" w:fill="FFFFFF"/>
        </w:rPr>
      </w:pPr>
      <w:r>
        <w:rPr>
          <w:rFonts w:hint="eastAsia" w:ascii="Times New Roman" w:hAnsi="Times New Roman" w:eastAsia="仿宋_GB2312"/>
          <w:sz w:val="20"/>
          <w:szCs w:val="20"/>
          <w:shd w:val="clear" w:color="auto" w:fill="FFFFFF"/>
        </w:rPr>
        <w:t>2.“[]”内的为累计数。</w:t>
      </w:r>
    </w:p>
    <w:p>
      <w:pPr>
        <w:spacing w:line="340" w:lineRule="exact"/>
        <w:ind w:firstLine="800" w:firstLineChars="400"/>
        <w:rPr>
          <w:rFonts w:ascii="Times New Roman" w:hAnsi="Times New Roman" w:eastAsia="仿宋_GB2312"/>
          <w:sz w:val="20"/>
          <w:szCs w:val="20"/>
          <w:shd w:val="clear" w:color="auto" w:fill="FFFFFF"/>
        </w:rPr>
      </w:pPr>
      <w:r>
        <w:rPr>
          <w:rFonts w:hint="eastAsia" w:ascii="Times New Roman" w:hAnsi="Times New Roman" w:eastAsia="仿宋_GB2312"/>
          <w:sz w:val="20"/>
          <w:szCs w:val="20"/>
          <w:shd w:val="clear" w:color="auto" w:fill="FFFFFF"/>
        </w:rPr>
        <w:t>3.“-”代表暂无相关数据或数据不公开。</w:t>
      </w:r>
    </w:p>
    <w:p>
      <w:pPr>
        <w:pStyle w:val="2"/>
      </w:pP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40" w:name="_Toc72403395"/>
      <w:bookmarkStart w:id="41" w:name="_Toc70518087"/>
      <w:r>
        <w:rPr>
          <w:rFonts w:hint="eastAsia" w:ascii="Times New Roman" w:hAnsi="Times New Roman" w:eastAsia="黑体" w:cs="Times New Roman"/>
          <w:b w:val="0"/>
          <w:bCs w:val="0"/>
          <w:spacing w:val="1"/>
          <w:w w:val="98"/>
          <w:kern w:val="0"/>
          <w:sz w:val="32"/>
          <w:szCs w:val="32"/>
          <w:fitText w:val="8704" w:id="1"/>
        </w:rPr>
        <w:t>第三章</w:t>
      </w:r>
      <w:r>
        <w:rPr>
          <w:rFonts w:ascii="Times New Roman" w:hAnsi="Times New Roman" w:eastAsia="黑体" w:cs="Times New Roman"/>
          <w:b w:val="0"/>
          <w:bCs w:val="0"/>
          <w:spacing w:val="1"/>
          <w:w w:val="98"/>
          <w:kern w:val="0"/>
          <w:sz w:val="32"/>
          <w:szCs w:val="32"/>
          <w:fitText w:val="8704" w:id="1"/>
        </w:rPr>
        <w:t xml:space="preserve"> </w:t>
      </w:r>
      <w:r>
        <w:rPr>
          <w:rFonts w:hint="eastAsia" w:ascii="Times New Roman" w:hAnsi="Times New Roman" w:eastAsia="黑体" w:cs="Times New Roman"/>
          <w:b w:val="0"/>
          <w:bCs w:val="0"/>
          <w:spacing w:val="1"/>
          <w:w w:val="98"/>
          <w:kern w:val="0"/>
          <w:sz w:val="32"/>
          <w:szCs w:val="32"/>
          <w:fitText w:val="8704" w:id="1"/>
        </w:rPr>
        <w:t>加快推进新旧动能转换，</w:t>
      </w:r>
      <w:bookmarkEnd w:id="39"/>
      <w:r>
        <w:rPr>
          <w:rFonts w:hint="eastAsia" w:ascii="Times New Roman" w:hAnsi="Times New Roman" w:eastAsia="黑体" w:cs="Times New Roman"/>
          <w:b w:val="0"/>
          <w:bCs w:val="0"/>
          <w:spacing w:val="1"/>
          <w:w w:val="98"/>
          <w:kern w:val="0"/>
          <w:sz w:val="32"/>
          <w:szCs w:val="32"/>
          <w:fitText w:val="8704" w:id="1"/>
        </w:rPr>
        <w:t>建设粤北生态发展区产业强</w:t>
      </w:r>
      <w:r>
        <w:rPr>
          <w:rFonts w:hint="eastAsia" w:ascii="Times New Roman" w:hAnsi="Times New Roman" w:eastAsia="黑体" w:cs="Times New Roman"/>
          <w:b w:val="0"/>
          <w:bCs w:val="0"/>
          <w:spacing w:val="27"/>
          <w:w w:val="98"/>
          <w:kern w:val="0"/>
          <w:sz w:val="32"/>
          <w:szCs w:val="32"/>
          <w:fitText w:val="8704" w:id="1"/>
        </w:rPr>
        <w:t>区</w:t>
      </w:r>
      <w:bookmarkEnd w:id="40"/>
      <w:bookmarkEnd w:id="41"/>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坚持工业立区、产业强区不动摇，坚定不移推进工业化，把发展经济着力点放在实体经济上，改造提升传统优势产业，加快集聚发展战略性新兴产业，建设更具生态发展区特质的现代化经济体系。</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42" w:name="_Toc72403396"/>
      <w:bookmarkStart w:id="43" w:name="_Toc70518088"/>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打造高质量产业发展平台</w:t>
      </w:r>
      <w:bookmarkEnd w:id="42"/>
      <w:bookmarkEnd w:id="43"/>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优化产业空间布局。</w:t>
      </w:r>
      <w:r>
        <w:rPr>
          <w:rFonts w:hint="eastAsia" w:ascii="Times New Roman" w:hAnsi="Times New Roman" w:eastAsia="仿宋_GB2312" w:cs="仿宋_GB2312"/>
          <w:sz w:val="32"/>
          <w:szCs w:val="32"/>
        </w:rPr>
        <w:t>坚持“面上保护、点上开发”，全力申报省级产业工业园，全面提升产业园区承载力竞争力。打造六都循环经济工业园区与都杨工业园区、镇安工业园区“三足鼎立”的产业发展新格局。抓住全域土地综合整治试点机遇，突出产城人融合，加快开辟工业“第二战场”，引领带动镇安建设南部中心镇。在西部快线沿线规划建设新的产业园区。新区全力全速推进省市共建信创园、智能制造产业园开发建设，依托华润电厂、广州云浮国际物流港、都杨绿色矿山等重大项目及资源，规划华润工业园、绿色矿山园、临港物流园建设，构建“五园争辉”新格局。围绕绿色建材、绿色日化、信息技术应用创新等特色产业，积极创建一批特色产业园区。</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推动园区扩容增质。</w:t>
      </w:r>
      <w:r>
        <w:rPr>
          <w:rFonts w:hint="eastAsia" w:ascii="Times New Roman" w:hAnsi="Times New Roman" w:eastAsia="仿宋_GB2312" w:cs="仿宋_GB2312"/>
          <w:sz w:val="32"/>
          <w:szCs w:val="32"/>
        </w:rPr>
        <w:t>加大循环经济工业园土地收储力度，全面盘活闲置低效土地，完善园区基础设施配套，加强园区精细化管理、循环化改造、花园化提升。强化与云硫集团产业合作共建，加快日化产品工业城（二期）项目建设，争创省级产业工业园。推进园区高质量发展，建立园区高质量发展综合评价体系，严格规范入园项目指标考核，推进旧园区内涵式发展，积极激活土地等要素，提升效益。提前规划布局园区生产生活性服务配套建设，推动园区产城融合。促进云安和新区园区联动发展，在园区招商、项目飞地、运营服务及人才等方面探索紧密合作。依托信创园和数据中心，推进云联小镇等智慧园区建设，探索创新中小微企业云端入驻方式，培育园区发展新业态。</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ascii="Times New Roman" w:hAnsi="Times New Roman" w:eastAsia="黑体"/>
                <w:sz w:val="24"/>
              </w:rPr>
              <w:t xml:space="preserve">1  </w:t>
            </w:r>
            <w:r>
              <w:rPr>
                <w:rFonts w:hint="eastAsia" w:ascii="Times New Roman" w:hAnsi="Times New Roman" w:eastAsia="黑体"/>
                <w:sz w:val="24"/>
              </w:rPr>
              <w:t>“十四五”时期我区产业园建设重点项目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1.珠江钢管集团有限公司高端装备制造产业园项目：</w:t>
            </w:r>
            <w:r>
              <w:rPr>
                <w:rFonts w:hint="eastAsia" w:ascii="Times New Roman" w:hAnsi="Times New Roman" w:eastAsia="仿宋_GB2312" w:cs="仿宋_GB2312"/>
                <w:sz w:val="24"/>
              </w:rPr>
              <w:t>建设大型钢管生产基地、螺纹钢生产基地、钢材构件、水泥构件生产基地，配有内外防腐生产线、水泥配重生产线及复合管线等焊管生产线，预计钢管年产量约300万吨。投产后年产值150亿，每年可为地方增加税收约10亿元。</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2.华润热电冷联产产业园：</w:t>
            </w:r>
            <w:r>
              <w:rPr>
                <w:rFonts w:hint="eastAsia" w:ascii="Times New Roman" w:hAnsi="Times New Roman" w:eastAsia="仿宋_GB2312" w:cs="仿宋_GB2312"/>
                <w:sz w:val="24"/>
              </w:rPr>
              <w:t>依托华润西江发电厂2台66万千瓦热电冷循环利用发电项目，规划建设面积5000亩。园区分两阶段实施，第一阶段（一期）为2023-2025年，先行建成制造加工、食药、饮料、包装、新型材料等，第二阶段（二期）为2026-2028年，建成商品交易区和仓储物流（含冷链物流）区，同步建设集中供热管网二期工程项目。</w:t>
            </w:r>
          </w:p>
          <w:p>
            <w:pPr>
              <w:adjustRightInd w:val="0"/>
              <w:snapToGrid w:val="0"/>
              <w:spacing w:line="400" w:lineRule="exact"/>
              <w:rPr>
                <w:rFonts w:ascii="Times New Roman" w:hAnsi="Times New Roman" w:eastAsia="仿宋_GB2312"/>
                <w:sz w:val="24"/>
                <w:szCs w:val="28"/>
              </w:rPr>
            </w:pPr>
            <w:r>
              <w:rPr>
                <w:rFonts w:hint="eastAsia" w:ascii="Times New Roman" w:hAnsi="Times New Roman" w:eastAsia="仿宋_GB2312"/>
                <w:b/>
                <w:bCs/>
                <w:sz w:val="24"/>
                <w:szCs w:val="28"/>
              </w:rPr>
              <w:t>3.云安（启迪）卓誉环保新材料产业园项目：</w:t>
            </w:r>
            <w:r>
              <w:rPr>
                <w:rFonts w:hint="eastAsia" w:ascii="Times New Roman" w:hAnsi="Times New Roman" w:eastAsia="仿宋_GB2312"/>
                <w:sz w:val="24"/>
                <w:szCs w:val="28"/>
              </w:rPr>
              <w:t>主要建设中小型智能化工区、高层智慧厂房区、水泥产品加工区、智能物流中心、商业街、生活区设施等。致力于发展高端建筑材料、精细化工材料，以及相关产业链之新材料，新技术应用。</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4</w:t>
            </w:r>
            <w:r>
              <w:rPr>
                <w:rFonts w:hint="eastAsia" w:ascii="Times New Roman" w:hAnsi="Times New Roman" w:eastAsia="仿宋_GB2312" w:cs="楷体_GB2312"/>
                <w:b/>
                <w:bCs/>
                <w:sz w:val="24"/>
              </w:rPr>
              <w:t>.云浮西江新城智能制造园基础设施项目：</w:t>
            </w:r>
            <w:r>
              <w:rPr>
                <w:rFonts w:hint="eastAsia" w:ascii="Times New Roman" w:hAnsi="Times New Roman" w:eastAsia="仿宋_GB2312" w:cs="仿宋_GB2312"/>
                <w:sz w:val="24"/>
              </w:rPr>
              <w:t>包括场地平整工程、道路工程、给排水工程、交通工程、照明工程、综合管线工程、排水渠改造及厂房建设等。</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5</w:t>
            </w:r>
            <w:r>
              <w:rPr>
                <w:rFonts w:hint="eastAsia" w:ascii="Times New Roman" w:hAnsi="Times New Roman" w:eastAsia="仿宋_GB2312" w:cs="楷体_GB2312"/>
                <w:b/>
                <w:bCs/>
                <w:sz w:val="24"/>
              </w:rPr>
              <w:t>.佛山（云浮）产业转移工业园防洪治涝工程：</w:t>
            </w:r>
            <w:r>
              <w:rPr>
                <w:rFonts w:hint="eastAsia" w:ascii="Times New Roman" w:hAnsi="Times New Roman" w:eastAsia="仿宋_GB2312" w:cs="仿宋_GB2312"/>
                <w:sz w:val="24"/>
              </w:rPr>
              <w:t>主干排渠整治（大涌河及其支流</w:t>
            </w:r>
            <w:r>
              <w:rPr>
                <w:rFonts w:hint="eastAsia" w:ascii="Times New Roman" w:hAnsi="Times New Roman" w:eastAsia="微软雅黑" w:cs="微软雅黑"/>
                <w:sz w:val="24"/>
              </w:rPr>
              <w:t>榃</w:t>
            </w:r>
            <w:r>
              <w:rPr>
                <w:rFonts w:hint="eastAsia" w:ascii="Times New Roman" w:hAnsi="Times New Roman" w:eastAsia="仿宋_GB2312" w:cs="仿宋_GB2312"/>
                <w:sz w:val="24"/>
              </w:rPr>
              <w:t>容水河道整治、两岸堤防工程和蓄洪区等）、扩建大涌河泵站、重建大涌河水闸、加固西江干堤（大涌河口段）等。</w:t>
            </w:r>
          </w:p>
          <w:p>
            <w:pPr>
              <w:adjustRightInd w:val="0"/>
              <w:snapToGrid w:val="0"/>
              <w:spacing w:line="400" w:lineRule="exact"/>
              <w:rPr>
                <w:rFonts w:ascii="Times New Roman" w:hAnsi="Times New Roman" w:eastAsia="仿宋_GB2312" w:cs="仿宋_GB2312"/>
                <w:sz w:val="24"/>
              </w:rPr>
            </w:pPr>
            <w:r>
              <w:rPr>
                <w:rFonts w:ascii="Times New Roman" w:hAnsi="Times New Roman" w:eastAsia="仿宋_GB2312" w:cs="楷体_GB2312"/>
                <w:b/>
                <w:bCs/>
                <w:sz w:val="24"/>
              </w:rPr>
              <w:t>6</w:t>
            </w:r>
            <w:r>
              <w:rPr>
                <w:rFonts w:hint="eastAsia" w:ascii="Times New Roman" w:hAnsi="Times New Roman" w:eastAsia="仿宋_GB2312" w:cs="楷体_GB2312"/>
                <w:b/>
                <w:bCs/>
                <w:sz w:val="24"/>
              </w:rPr>
              <w:t>.云安新城综合园区基础设施建设项目：</w:t>
            </w:r>
            <w:r>
              <w:rPr>
                <w:rFonts w:hint="eastAsia" w:ascii="Times New Roman" w:hAnsi="Times New Roman" w:eastAsia="仿宋_GB2312" w:cs="仿宋_GB2312"/>
                <w:sz w:val="24"/>
              </w:rPr>
              <w:t>建设云安新城综合园区基础设施，完善园区污水处理、供水、供电、管网等基础设施。</w:t>
            </w:r>
          </w:p>
          <w:p>
            <w:pPr>
              <w:adjustRightInd w:val="0"/>
              <w:snapToGrid w:val="0"/>
              <w:spacing w:line="400" w:lineRule="exact"/>
              <w:rPr>
                <w:rFonts w:ascii="Times New Roman" w:hAnsi="Times New Roman" w:eastAsia="仿宋_GB2312" w:cs="仿宋_GB2312"/>
                <w:sz w:val="24"/>
              </w:rPr>
            </w:pPr>
            <w:r>
              <w:rPr>
                <w:rFonts w:ascii="Times New Roman" w:hAnsi="Times New Roman" w:eastAsia="仿宋_GB2312" w:cs="楷体_GB2312"/>
                <w:b/>
                <w:bCs/>
                <w:sz w:val="24"/>
              </w:rPr>
              <w:t>7</w:t>
            </w:r>
            <w:r>
              <w:rPr>
                <w:rFonts w:hint="eastAsia" w:ascii="Times New Roman" w:hAnsi="Times New Roman" w:eastAsia="仿宋_GB2312" w:cs="楷体_GB2312"/>
                <w:b/>
                <w:bCs/>
                <w:sz w:val="24"/>
              </w:rPr>
              <w:t>.云安区产业园（南园）基础设施项目：</w:t>
            </w:r>
            <w:r>
              <w:rPr>
                <w:rFonts w:hint="eastAsia" w:ascii="Times New Roman" w:hAnsi="Times New Roman" w:eastAsia="仿宋_GB2312" w:cs="仿宋_GB2312"/>
                <w:sz w:val="24"/>
              </w:rPr>
              <w:t>开展云安区产业园（南园）基础设施建设，开发工产业园土地约5000亩，建设园区内的道路、供水、供电、供气、污水处理厂等设施。</w:t>
            </w:r>
          </w:p>
        </w:tc>
      </w:tr>
    </w:tbl>
    <w:p>
      <w:pPr>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44" w:name="_Toc72403397"/>
      <w:bookmarkStart w:id="45" w:name="_Toc70518089"/>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推动传统产业转型升级</w:t>
      </w:r>
      <w:bookmarkEnd w:id="44"/>
      <w:bookmarkEnd w:id="45"/>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全面推动水泥、硫化工、石材和矿山企业实施技术改造及绿色生产，提升产业链竞争力，加强大中小企业融通，培育产业集群优势。</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水泥产业。</w:t>
      </w:r>
      <w:r>
        <w:rPr>
          <w:rFonts w:hint="eastAsia" w:ascii="Times New Roman" w:hAnsi="Times New Roman" w:cs="仿宋_GB2312"/>
          <w:szCs w:val="32"/>
        </w:rPr>
        <w:t>重点推进企业清洁生产及技术改造，支持龙头企业中材水泥建立省绿色智能工厂，树立行业标杆。鼓励延伸产业链产品，发展水泥构件、管桩等水泥制品和特种水泥等新兴材料，促进贝融新型环保砖、智胜新型无机石等“水泥</w:t>
      </w:r>
      <w:r>
        <w:rPr>
          <w:rFonts w:ascii="Times New Roman" w:hAnsi="Times New Roman" w:cs="仿宋_GB2312"/>
          <w:szCs w:val="32"/>
        </w:rPr>
        <w:t>+</w:t>
      </w:r>
      <w:r>
        <w:rPr>
          <w:rFonts w:hint="eastAsia" w:ascii="Times New Roman" w:hAnsi="Times New Roman" w:cs="仿宋_GB2312"/>
          <w:szCs w:val="32"/>
        </w:rPr>
        <w:t>”特色企业发展。支持水泥企业与区域企业协同合作发展循环经济，开展水泥窑协同处理固体废物。</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硫化工产业。</w:t>
      </w:r>
      <w:r>
        <w:rPr>
          <w:rFonts w:hint="eastAsia" w:ascii="Times New Roman" w:hAnsi="Times New Roman" w:cs="仿宋_GB2312"/>
          <w:szCs w:val="32"/>
        </w:rPr>
        <w:t>重点强化惠云钛业和云硫集团的龙头带动，进一步提升企业集聚度，补强产业链。围绕硫酸冶炼工艺及原料匹配，畅通硫化工产业链上下游，加强与绿色日化产业的联动发展，深度开发“硫化工</w:t>
      </w:r>
      <w:r>
        <w:rPr>
          <w:rFonts w:ascii="Times New Roman" w:hAnsi="Times New Roman" w:cs="仿宋_GB2312"/>
          <w:szCs w:val="32"/>
        </w:rPr>
        <w:t>+</w:t>
      </w:r>
      <w:r>
        <w:rPr>
          <w:rFonts w:hint="eastAsia" w:ascii="Times New Roman" w:hAnsi="Times New Roman" w:cs="仿宋_GB2312"/>
          <w:szCs w:val="32"/>
        </w:rPr>
        <w:t>”相关先进化工材料，提高产业价值链。支持惠云钛业加大高端功能新材料研发、云硫集团实现湿法冶金领域的创新，打造高端化工新材料集聚地。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石材行业。</w:t>
      </w:r>
      <w:r>
        <w:rPr>
          <w:rFonts w:hint="eastAsia" w:ascii="Times New Roman" w:hAnsi="Times New Roman" w:cs="仿宋_GB2312"/>
          <w:szCs w:val="32"/>
        </w:rPr>
        <w:t>重点引导企业规范化、绿色化、集群化发展，培育上规模的新型石材企业，引进建筑装修企业，培育石材工艺龙头企业，以中云石海项目全面推动石材行业集聚发展，谋划打造省级绿色石材产业园。推动产业链向文化创意、家装设计等方向发展，引导石材企业以加工转型、营销升级对接国内大市场、参与国内大循环，打造云安石材品牌。</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绿色矿业。</w:t>
      </w:r>
      <w:r>
        <w:rPr>
          <w:rFonts w:hint="eastAsia" w:ascii="Times New Roman" w:hAnsi="Times New Roman" w:cs="仿宋_GB2312"/>
          <w:szCs w:val="32"/>
        </w:rPr>
        <w:t>重点规范矿产资源项目开发管理，健全矿产资源规划、勘查、开发利用与保护的制度体系，完善绿色矿业发展激励政策体系，营造良好的投资发展环境，积极推进南部绿色矿山建设，打造布局合理、集约高效、环境优良、矿地和谐、区域经济良性发展的绿色矿业发展样板区。引入大型央企探索“净矿出让”“兼并重整”等方式，加快推进都杨观音山、牛栏坑矿区采矿权出让，积极推进国家级绿色矿山示范基地与绿色建筑产业园项目建设</w:t>
      </w:r>
      <w:r>
        <w:rPr>
          <w:rFonts w:ascii="Times New Roman" w:hAnsi="Times New Roman" w:cs="仿宋_GB2312"/>
          <w:szCs w:val="32"/>
        </w:rPr>
        <w:t>，</w:t>
      </w:r>
      <w:r>
        <w:rPr>
          <w:rFonts w:hint="eastAsia" w:ascii="Times New Roman" w:hAnsi="Times New Roman" w:cs="仿宋_GB2312"/>
          <w:szCs w:val="32"/>
        </w:rPr>
        <w:t>谋划打造省级绿色矿业发展示范区。</w:t>
      </w:r>
      <w:r>
        <w:rPr>
          <w:rFonts w:hint="eastAsia" w:ascii="Times New Roman" w:hAnsi="Times New Roman" w:cs="仿宋_GB2312"/>
          <w:szCs w:val="32"/>
          <w:lang w:val="zh-CN"/>
        </w:rPr>
        <w:t>推进现有石场整合重组，探索“先矿后地、矿地统筹、绿色矿山与乡村振兴融洽推进”，</w:t>
      </w:r>
      <w:r>
        <w:rPr>
          <w:rFonts w:hint="eastAsia" w:ascii="Times New Roman" w:hAnsi="Times New Roman" w:cs="仿宋_GB2312"/>
          <w:szCs w:val="32"/>
        </w:rPr>
        <w:t>实现矿地共建和谐共享。</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2</w:t>
            </w:r>
            <w:r>
              <w:rPr>
                <w:rFonts w:ascii="Times New Roman" w:hAnsi="Times New Roman" w:eastAsia="黑体"/>
                <w:sz w:val="24"/>
              </w:rPr>
              <w:t xml:space="preserve">  </w:t>
            </w:r>
            <w:r>
              <w:rPr>
                <w:rFonts w:hint="eastAsia" w:ascii="Times New Roman" w:hAnsi="Times New Roman" w:eastAsia="黑体"/>
                <w:sz w:val="24"/>
              </w:rPr>
              <w:t>“十四五”时期我区传统产业领域重点项目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1.华润水泥投资有限公司云浮国家级绿色矿山示范基地与绿色建筑产业园项目：</w:t>
            </w:r>
            <w:r>
              <w:rPr>
                <w:rFonts w:hint="eastAsia" w:ascii="Times New Roman" w:hAnsi="Times New Roman" w:eastAsia="仿宋_GB2312" w:cs="仿宋_GB2312"/>
                <w:sz w:val="24"/>
              </w:rPr>
              <w:t>建设石场环保整合项目暨非金属砂石矿国家绿色矿山示范基地、智能化装配式混凝土预构件生产基地、环保商业混凝土生产基地、大型集散综合货运码头、智能化高端环保无机人造石生产基地。</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2.中电建路桥集团有限公司云浮市云安区绿色矿山工业产业园：</w:t>
            </w:r>
            <w:r>
              <w:rPr>
                <w:rFonts w:hint="eastAsia" w:ascii="Times New Roman" w:hAnsi="Times New Roman" w:eastAsia="仿宋_GB2312" w:cs="仿宋_GB2312"/>
                <w:sz w:val="24"/>
              </w:rPr>
              <w:t>建设特大型建筑石料生产基地、科研研发基地、装配式建筑基地。</w:t>
            </w:r>
          </w:p>
          <w:p>
            <w:pPr>
              <w:spacing w:line="400" w:lineRule="exact"/>
              <w:rPr>
                <w:rFonts w:ascii="Times New Roman" w:hAnsi="Times New Roman" w:eastAsia="仿宋_GB2312"/>
              </w:rPr>
            </w:pPr>
            <w:r>
              <w:rPr>
                <w:rFonts w:hint="eastAsia" w:ascii="Times New Roman" w:hAnsi="Times New Roman" w:eastAsia="仿宋_GB2312"/>
                <w:b/>
                <w:bCs/>
                <w:sz w:val="24"/>
                <w:szCs w:val="28"/>
              </w:rPr>
              <w:t>3.</w:t>
            </w:r>
            <w:r>
              <w:rPr>
                <w:rFonts w:hint="eastAsia" w:ascii="Times New Roman" w:hAnsi="Times New Roman" w:eastAsia="仿宋_GB2312" w:cs="仿宋_GB2312"/>
                <w:b/>
                <w:bCs/>
                <w:sz w:val="24"/>
              </w:rPr>
              <w:t>广东科云诚新材料有限公司年产3万吨精细化工材料项目：</w:t>
            </w:r>
            <w:r>
              <w:rPr>
                <w:rFonts w:hint="eastAsia" w:ascii="Times New Roman" w:hAnsi="Times New Roman" w:eastAsia="仿宋_GB2312" w:cs="仿宋_GB2312"/>
                <w:sz w:val="24"/>
              </w:rPr>
              <w:t>建设改性助剂、特种润滑剂、新型功能材料等精细化工产品生产线，年产量3万吨。</w:t>
            </w:r>
          </w:p>
        </w:tc>
      </w:tr>
    </w:tbl>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46" w:name="_Toc72403398"/>
      <w:bookmarkStart w:id="47" w:name="_Toc70518090"/>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加快建设绿色工业集聚区</w:t>
      </w:r>
      <w:bookmarkEnd w:id="46"/>
      <w:bookmarkEnd w:id="47"/>
    </w:p>
    <w:p>
      <w:pPr>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加快做大</w:t>
      </w:r>
      <w:bookmarkStart w:id="48" w:name="_Hlk62720178"/>
      <w:r>
        <w:rPr>
          <w:rFonts w:hint="eastAsia" w:ascii="Times New Roman" w:hAnsi="Times New Roman" w:eastAsia="仿宋_GB2312" w:cs="仿宋_GB2312"/>
          <w:sz w:val="32"/>
          <w:szCs w:val="32"/>
        </w:rPr>
        <w:t>“新型”</w:t>
      </w:r>
      <w:bookmarkEnd w:id="48"/>
      <w:r>
        <w:rPr>
          <w:rFonts w:ascii="Times New Roman" w:hAnsi="Times New Roman" w:eastAsia="仿宋_GB2312" w:cs="仿宋_GB2312"/>
          <w:sz w:val="32"/>
          <w:szCs w:val="32"/>
        </w:rPr>
        <w:t>建筑材料、绿色日化</w:t>
      </w:r>
      <w:r>
        <w:rPr>
          <w:rFonts w:hint="eastAsia" w:ascii="Times New Roman" w:hAnsi="Times New Roman" w:eastAsia="仿宋_GB2312" w:cs="仿宋_GB2312"/>
          <w:sz w:val="32"/>
          <w:szCs w:val="32"/>
        </w:rPr>
        <w:t>两个超百亿战略支柱产业集群，培育</w:t>
      </w:r>
      <w:r>
        <w:rPr>
          <w:rFonts w:ascii="Times New Roman" w:hAnsi="Times New Roman" w:eastAsia="仿宋_GB2312" w:cs="仿宋_GB2312"/>
          <w:sz w:val="32"/>
          <w:szCs w:val="32"/>
        </w:rPr>
        <w:t>发展金属智造、</w:t>
      </w:r>
      <w:r>
        <w:rPr>
          <w:rFonts w:hint="eastAsia" w:ascii="Times New Roman" w:hAnsi="Times New Roman" w:eastAsia="仿宋_GB2312" w:cs="仿宋_GB2312"/>
          <w:sz w:val="32"/>
          <w:szCs w:val="32"/>
        </w:rPr>
        <w:t>电子信息</w:t>
      </w:r>
      <w:r>
        <w:rPr>
          <w:rFonts w:ascii="Times New Roman" w:hAnsi="Times New Roman" w:eastAsia="仿宋_GB2312" w:cs="仿宋_GB2312"/>
          <w:sz w:val="32"/>
          <w:szCs w:val="32"/>
        </w:rPr>
        <w:t>、先进材料、生物医药</w:t>
      </w:r>
      <w:r>
        <w:rPr>
          <w:rFonts w:hint="eastAsia" w:ascii="Times New Roman" w:hAnsi="Times New Roman" w:eastAsia="仿宋_GB2312" w:cs="仿宋_GB2312"/>
          <w:sz w:val="32"/>
          <w:szCs w:val="32"/>
        </w:rPr>
        <w:t>、低碳环保五个战略性新兴产业集群，着力打造“</w:t>
      </w:r>
      <w:r>
        <w:rPr>
          <w:rFonts w:ascii="Times New Roman" w:hAnsi="Times New Roman" w:eastAsia="仿宋_GB2312" w:cs="仿宋_GB2312"/>
          <w:sz w:val="32"/>
          <w:szCs w:val="32"/>
        </w:rPr>
        <w:t>2+5”产业集群</w:t>
      </w:r>
      <w:r>
        <w:rPr>
          <w:rFonts w:hint="eastAsia" w:ascii="Times New Roman" w:hAnsi="Times New Roman" w:eastAsia="仿宋_GB2312" w:cs="仿宋_GB2312"/>
          <w:sz w:val="32"/>
          <w:szCs w:val="32"/>
        </w:rPr>
        <w:t>。超前布局数字经济产业，打造新兴产业引领区。</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着力发展“新型”建筑材料产业。</w:t>
      </w:r>
      <w:r>
        <w:rPr>
          <w:rFonts w:hint="eastAsia" w:ascii="Times New Roman" w:hAnsi="Times New Roman" w:cs="仿宋_GB2312"/>
          <w:szCs w:val="32"/>
        </w:rPr>
        <w:t>加快中云石海石材产业城建设，推动装配式建筑示范项目尽快落地。依托水泥、骨料、石材资源优势，搭建绿色建材创新平台，完善标准规范及检测认证体系，开展绿色建材和被动式超低能耗建筑应用示范，促进绿色建材智能化发展，推动建材产业实现质量、效率、动力变革。积极对接湾区高端建材市场，推动装配式建筑示范项目建设，打造湾区绿色建材生产供应基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加快做大绿色日化产业。</w:t>
      </w:r>
      <w:r>
        <w:rPr>
          <w:rFonts w:hint="eastAsia" w:ascii="Times New Roman" w:hAnsi="Times New Roman" w:cs="仿宋_GB2312"/>
          <w:szCs w:val="32"/>
        </w:rPr>
        <w:t>加快日化产品工业城建设，打造全国知名的日化产业集聚地。大力完善上下游产业链，加大对日化基础原材料企业招商，形成产业集聚核心支撑点，着力吸引活性剂制造、日用化学品复配、洗涤用品、个人皮肤护理用品、化妆品、现代轻工纺织等产品附加值高的项目。借力南药产业引入生物科技化妆品企业，打造湾区绿色日化产业承载基地、全国知名的日化产业集聚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聚力做强金属智造产业。</w:t>
      </w:r>
      <w:r>
        <w:rPr>
          <w:rFonts w:hint="eastAsia" w:ascii="Times New Roman" w:hAnsi="Times New Roman" w:cs="仿宋_GB2312"/>
          <w:szCs w:val="32"/>
        </w:rPr>
        <w:t>抢抓云浮打造大湾区西岸金属智造科技产业园机遇，重点依托珠江钢管高端装备制造产业园培育做大智能装备制造业。加快引入贴合未来消费趋势、“专精特新”的税源型项目，重点引入新能源汽车、服务类机器人、智能通信终端和消费智能装备（智能家电、个人装戴等）、医疗机械设备等装备及零部件制造。</w:t>
      </w:r>
    </w:p>
    <w:p>
      <w:pPr>
        <w:pStyle w:val="11"/>
        <w:spacing w:line="600" w:lineRule="exact"/>
        <w:ind w:firstLine="643"/>
        <w:rPr>
          <w:rFonts w:ascii="Times New Roman" w:hAnsi="Times New Roman" w:cs="仿宋_GB2312"/>
          <w:szCs w:val="32"/>
        </w:rPr>
      </w:pPr>
      <w:r>
        <w:rPr>
          <w:rFonts w:hint="eastAsia" w:ascii="Times New Roman" w:hAnsi="Times New Roman"/>
          <w:b/>
          <w:bCs/>
        </w:rPr>
        <w:t>积极培育电子信息</w:t>
      </w:r>
      <w:r>
        <w:rPr>
          <w:rFonts w:ascii="Times New Roman" w:hAnsi="Times New Roman"/>
          <w:b/>
          <w:bCs/>
        </w:rPr>
        <w:t>产业</w:t>
      </w:r>
      <w:r>
        <w:rPr>
          <w:rFonts w:hint="eastAsia" w:ascii="Times New Roman" w:hAnsi="Times New Roman"/>
          <w:b/>
          <w:bCs/>
        </w:rPr>
        <w:t>。</w:t>
      </w:r>
      <w:r>
        <w:rPr>
          <w:rFonts w:hint="eastAsia" w:ascii="Times New Roman" w:hAnsi="Times New Roman" w:cs="仿宋_GB2312"/>
          <w:szCs w:val="32"/>
        </w:rPr>
        <w:t>全力培育信息技术应用创新产业，锻造信创长板，扩大先发优势，打造全省乃至全国信创先行地。坚持“应用</w:t>
      </w:r>
      <w:r>
        <w:rPr>
          <w:rFonts w:ascii="Times New Roman" w:hAnsi="Times New Roman" w:cs="仿宋_GB2312"/>
          <w:szCs w:val="32"/>
        </w:rPr>
        <w:t>+</w:t>
      </w:r>
      <w:r>
        <w:rPr>
          <w:rFonts w:hint="eastAsia" w:ascii="Times New Roman" w:hAnsi="Times New Roman" w:cs="仿宋_GB2312"/>
          <w:szCs w:val="32"/>
        </w:rPr>
        <w:t>制造</w:t>
      </w:r>
      <w:r>
        <w:rPr>
          <w:rFonts w:ascii="Times New Roman" w:hAnsi="Times New Roman" w:cs="仿宋_GB2312"/>
          <w:szCs w:val="32"/>
        </w:rPr>
        <w:t>+</w:t>
      </w:r>
      <w:r>
        <w:rPr>
          <w:rFonts w:hint="eastAsia" w:ascii="Times New Roman" w:hAnsi="Times New Roman" w:cs="仿宋_GB2312"/>
          <w:szCs w:val="32"/>
        </w:rPr>
        <w:t>服务”的发展思路，优先聚焦研发制造，强化与电子信息、智能装备制造等跨产业融合，加快引入一批制造企业，厚植产业发展根基，做实做强同方计算机、中科健安“小豚家校”智能云守护等龙头项目。扩大产业在软硬件产品及政商个人的应用场景，提升企业贡献率。发挥万洋众创城产业招商力量，加快浪潮、云宏等产业“链主”企业项目建设，依托溢康通、高丘六和、爱德克斯等骨干企业，促进产业集聚发展，打造环珠三角汽配高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优化拓展先进材料产业。</w:t>
      </w:r>
      <w:r>
        <w:rPr>
          <w:rFonts w:hint="eastAsia" w:ascii="Times New Roman" w:hAnsi="Times New Roman" w:cs="仿宋_GB2312"/>
          <w:szCs w:val="32"/>
        </w:rPr>
        <w:t>围绕建筑材料、硫化工、金属制造产业联动发展，积极培育新材料产业。依托传统产业基础，着力引进表面活性剂、化工涂料、硫化工、薄膜、轻纺、绿色包装等新材料项目。培育发展特种水泥、无机人造石、新型环保砖、新型铝型材、先进钢铁材料等先进基础材料。围绕重点领域的需求，发展航空航天材料、高端装备材料、新一代电子信息材料、生物医用材料、新能源材料等先进材料，紧密对接</w:t>
      </w:r>
      <w:r>
        <w:rPr>
          <w:rFonts w:ascii="Times New Roman" w:hAnsi="Times New Roman" w:cs="仿宋_GB2312"/>
          <w:szCs w:val="32"/>
        </w:rPr>
        <w:t>5G、柔性显示等新兴方向的材料需求，促进开发与应用联系更紧密。</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创新发展生物医药产业。</w:t>
      </w:r>
      <w:r>
        <w:rPr>
          <w:rFonts w:hint="eastAsia" w:ascii="Times New Roman" w:hAnsi="Times New Roman" w:cs="仿宋_GB2312"/>
          <w:szCs w:val="32"/>
        </w:rPr>
        <w:t>依托国家南药基地及广东药科大学，聚焦产业发展共性需求与薄弱环节，布局建设公共服务平台、产业应用平台、临床研究应用中心和转化应用平台等功能型平台，全方位协调推进我区生物医药产业高质量发展。规划建设高端绿色生物制品和高端原料药制造基地，重点对药材、生药、饮片、临床用药、食品、保健、化妆品等加工企业招商，强化与化工园区合作，积极引入绿色环保的化学原料药、生物原料等项目，增强产业基础。</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发展壮大低碳环保产业。</w:t>
      </w:r>
      <w:r>
        <w:rPr>
          <w:rFonts w:hint="eastAsia" w:ascii="Times New Roman" w:hAnsi="Times New Roman" w:cs="仿宋_GB2312"/>
          <w:szCs w:val="32"/>
        </w:rPr>
        <w:t>围绕市场应用广、节能减排潜力大、需求拉动效应明显的重点领域，加快相关技术装备的研发、推广和产业化，带动节能环保产业发展水平全面提升。扩大环保服务产业。在城镇污水处理、生活垃圾处理、工业污染治理等重点领域，鼓励发展包括系统设计、设备成套、工程施工、调试运行、维护管理的环保服务总承包和环境治理特许经营模式。加快发展生态环境修复、环境风险与损害评价、排污权交易、绿色认证、环境污染责任保险等新兴环保服务业。</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超前布局数字经济。</w:t>
      </w:r>
      <w:r>
        <w:rPr>
          <w:rFonts w:hint="eastAsia" w:ascii="Times New Roman" w:hAnsi="Times New Roman" w:cs="仿宋_GB2312"/>
          <w:szCs w:val="32"/>
        </w:rPr>
        <w:t>依托省大数据中心基础设施，引入产业龙头企业，尝试探索与深圳对接，围绕数据要素市场培育，超前布局服务于粤西区域的数字经济产业。加强与信息技术应用创新产业融合联动发展，加快面向政府、电子商务、直播、工业互联网等政商应用，推动新区打造全市数字经济发展示范区。</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3</w:t>
            </w:r>
            <w:r>
              <w:rPr>
                <w:rFonts w:ascii="Times New Roman" w:hAnsi="Times New Roman" w:eastAsia="黑体"/>
                <w:sz w:val="24"/>
              </w:rPr>
              <w:t xml:space="preserve">  </w:t>
            </w:r>
            <w:r>
              <w:rPr>
                <w:rFonts w:hint="eastAsia" w:ascii="Times New Roman" w:hAnsi="Times New Roman" w:eastAsia="黑体"/>
                <w:sz w:val="24"/>
              </w:rPr>
              <w:t>“十四五”时期我区绿色工业发展重点项目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1.省市共建信息技术应用创新产业园：</w:t>
            </w:r>
            <w:r>
              <w:rPr>
                <w:rFonts w:hint="eastAsia" w:ascii="Times New Roman" w:hAnsi="Times New Roman" w:eastAsia="仿宋_GB2312" w:cs="仿宋_GB2312"/>
                <w:sz w:val="24"/>
              </w:rPr>
              <w:t>建设通用厂房、产业配套服务大楼及文华路、管网、供水、电力、场地平整、绿化、河道整治工程等产业配套基础设施。</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2.中科健安“小豚家校”智能云守护项目：</w:t>
            </w:r>
            <w:r>
              <w:rPr>
                <w:rFonts w:hint="eastAsia" w:ascii="Times New Roman" w:hAnsi="Times New Roman" w:eastAsia="仿宋_GB2312" w:cs="仿宋_GB2312"/>
                <w:sz w:val="24"/>
              </w:rPr>
              <w:t>项目计划投资10亿元，是首个将总部基地落户新区的信创产业项目。项目包括全国总部基地、结算中心、客户服务中心、网络营销中心、研发与运营中心。</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3</w:t>
            </w:r>
            <w:r>
              <w:rPr>
                <w:rFonts w:ascii="Times New Roman" w:hAnsi="Times New Roman" w:eastAsia="仿宋_GB2312" w:cs="楷体_GB2312"/>
                <w:b/>
                <w:bCs/>
                <w:sz w:val="24"/>
              </w:rPr>
              <w:t>.云浮市云安区日化产品工业城二期：</w:t>
            </w:r>
            <w:r>
              <w:rPr>
                <w:rFonts w:ascii="Times New Roman" w:hAnsi="Times New Roman" w:eastAsia="仿宋_GB2312" w:cs="楷体_GB2312"/>
                <w:sz w:val="24"/>
              </w:rPr>
              <w:t>本项目总用地面积66899.84平方米，建设14栋标准化厂房，建筑面积114851.15平方米；1栋宿舍（首层食堂），建筑面积17300.00平方米，项目总建筑面积为132151.15平方米。</w:t>
            </w:r>
          </w:p>
          <w:p>
            <w:pPr>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4.云宏信创研发中心：</w:t>
            </w:r>
            <w:r>
              <w:rPr>
                <w:rFonts w:hint="eastAsia" w:ascii="Times New Roman" w:hAnsi="Times New Roman" w:eastAsia="仿宋_GB2312" w:cs="仿宋_GB2312"/>
                <w:sz w:val="24"/>
              </w:rPr>
              <w:t>云宏信创研发中心项目计划总投资约1亿元，建设面向电子政务领域，围绕政务信息技术应用创新需求，借助云计算、云存储、微服务、容器、浏览器混合编程应用、国产芯片、国产操作系统、国产密码算法等方面的前沿技术，突破一批基于信创环境的系统开发、集成适配、应用迭代、应用迁移的关键技术，拓宽政务用户应用场景，丰富信创应用生态，建成基于信创环境的电子政务研发平台和应用公共服务平台。</w:t>
            </w:r>
          </w:p>
          <w:p>
            <w:pPr>
              <w:spacing w:line="400" w:lineRule="exact"/>
              <w:rPr>
                <w:rFonts w:ascii="Times New Roman" w:hAnsi="Times New Roman" w:eastAsia="仿宋_GB2312"/>
              </w:rPr>
            </w:pPr>
            <w:r>
              <w:rPr>
                <w:rFonts w:hint="eastAsia" w:ascii="Times New Roman" w:hAnsi="Times New Roman" w:eastAsia="仿宋_GB2312" w:cs="楷体_GB2312"/>
                <w:b/>
                <w:bCs/>
                <w:sz w:val="24"/>
              </w:rPr>
              <w:t>5.广东省信创适配研发基地：</w:t>
            </w:r>
            <w:r>
              <w:rPr>
                <w:rFonts w:hint="eastAsia" w:ascii="Times New Roman" w:hAnsi="Times New Roman" w:eastAsia="仿宋_GB2312" w:cs="仿宋_GB2312"/>
                <w:sz w:val="24"/>
              </w:rPr>
              <w:t>计划总投资约1亿元，充分发挥华宇公司在法律科技领域和信创自主可控领域的带头作用，重点围绕信创及法律科技各个行业和全生命周期的自主可控业务场景，开展信创产品研发、适配实验室建设运营、信创产业课题研究以及打造法律服务平台等业务，依托自身技术实力基于云浮辐射广东，推动信创市场产业化，以产业发展带动整个云浮信创产业数字经济增长。</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6.广东风华高新科技股份有限公司超级电容项目：</w:t>
            </w:r>
            <w:r>
              <w:rPr>
                <w:rFonts w:hint="eastAsia" w:ascii="Times New Roman" w:hAnsi="Times New Roman" w:eastAsia="仿宋_GB2312" w:cs="仿宋_GB2312"/>
                <w:sz w:val="24"/>
              </w:rPr>
              <w:t>计划研发信创计算机周边电容产品，配套信创产业链。</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7.广崎线束生产项目：</w:t>
            </w:r>
            <w:r>
              <w:rPr>
                <w:rFonts w:hint="eastAsia" w:ascii="Times New Roman" w:hAnsi="Times New Roman" w:eastAsia="仿宋_GB2312" w:cs="仿宋_GB2312"/>
                <w:sz w:val="24"/>
              </w:rPr>
              <w:t>计划投资1.5亿元，主要建设汽车线束生产线，作为丰田全球汽车制造供应链工厂，产品直供广汽丰田、日本丰田、台湾丰田及欧美丰田。</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8.新灏元水性体育新材料项目：</w:t>
            </w:r>
            <w:r>
              <w:rPr>
                <w:rFonts w:hint="eastAsia" w:ascii="Times New Roman" w:hAnsi="Times New Roman" w:eastAsia="仿宋_GB2312" w:cs="仿宋_GB2312"/>
                <w:sz w:val="24"/>
              </w:rPr>
              <w:t>项目计划投资1.5亿元，建设成聚氨酯材料、预制型跑道面层、EPDM颗粒、人造草以及拼装地板生产线。</w:t>
            </w:r>
          </w:p>
        </w:tc>
      </w:tr>
    </w:tbl>
    <w:p>
      <w:pPr>
        <w:pStyle w:val="11"/>
        <w:spacing w:line="600" w:lineRule="exact"/>
        <w:ind w:firstLine="0" w:firstLineChars="0"/>
        <w:rPr>
          <w:rFonts w:ascii="Times New Roman" w:hAnsi="Times New Roman" w:cs="仿宋_GB2312"/>
          <w:szCs w:val="32"/>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49" w:name="_Toc72403399"/>
      <w:bookmarkStart w:id="50" w:name="_Toc70518091"/>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加快提升现代服务业</w:t>
      </w:r>
      <w:bookmarkEnd w:id="49"/>
      <w:bookmarkEnd w:id="50"/>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积极发展信息服务业。</w:t>
      </w:r>
      <w:r>
        <w:rPr>
          <w:rFonts w:hint="eastAsia" w:ascii="Times New Roman" w:hAnsi="Times New Roman" w:cs="仿宋_GB2312"/>
          <w:szCs w:val="32"/>
        </w:rPr>
        <w:t>大力推广应用云计算、大数据、物联网、移动互联网等新一代信息技术，鼓励发展系统集成、行业应用软件、信息技术咨询及运营服务，推动信创产品进入服务业领域。支持行业应用软件的研发和应用，促进软件产业在物流、金融等领域形成系统集成和行业解决方案的综合优势。加快发展移动电子商务、移动多媒体、移动搜索、移动支付等新业务。</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加快发展临港物流。</w:t>
      </w:r>
      <w:r>
        <w:rPr>
          <w:rFonts w:hint="eastAsia" w:ascii="Times New Roman" w:hAnsi="Times New Roman" w:cs="仿宋_GB2312"/>
          <w:szCs w:val="32"/>
        </w:rPr>
        <w:t>加快构建水路、铁路干线、高快速路等多式联运交通运输网络，统筹规划区内各大工业园及市特色产业园区物流资源，通过建设以石材、钢铁专业装卸为主，多种散货为辅的临港物流园，谋划推动现代物流产业园建设。加快建设肉牛、花卉等现代产业园及特色农产品供应链体系，打通区镇村三级物流、冷链渠道，共建粤港澳大湾区“菜篮子”农产品云浮配送中心。增强运输业的管控力度，推动本地物流资源整合。强化物流企业招商，探索与大型龙头物流企业合作，带动产业规模化发展，降低我区企业物流成本。</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促进全域旅游发展。</w:t>
      </w:r>
      <w:r>
        <w:rPr>
          <w:rFonts w:hint="eastAsia" w:ascii="Times New Roman" w:hAnsi="Times New Roman" w:cs="仿宋_GB2312"/>
          <w:szCs w:val="32"/>
        </w:rPr>
        <w:t>以创建省级全域旅游示范区为抓手，突出文旅结合，加快构建“</w:t>
      </w:r>
      <w:bookmarkStart w:id="51" w:name="_Hlk62634431"/>
      <w:r>
        <w:rPr>
          <w:rFonts w:ascii="Times New Roman" w:hAnsi="Times New Roman" w:cs="仿宋_GB2312"/>
          <w:szCs w:val="32"/>
        </w:rPr>
        <w:t>两山一水一田园一人一文化</w:t>
      </w:r>
      <w:bookmarkEnd w:id="51"/>
      <w:r>
        <w:rPr>
          <w:rFonts w:hint="eastAsia" w:ascii="Times New Roman" w:hAnsi="Times New Roman" w:cs="仿宋_GB2312"/>
          <w:szCs w:val="32"/>
        </w:rPr>
        <w:t>”的文旅发展格局</w:t>
      </w:r>
      <w:r>
        <w:rPr>
          <w:rFonts w:ascii="Times New Roman" w:hAnsi="Times New Roman" w:cs="仿宋_GB2312"/>
          <w:szCs w:val="32"/>
        </w:rPr>
        <w:t>。</w:t>
      </w:r>
      <w:r>
        <w:rPr>
          <w:rFonts w:hint="eastAsia" w:ascii="Times New Roman" w:hAnsi="Times New Roman" w:cs="仿宋_GB2312"/>
          <w:szCs w:val="32"/>
        </w:rPr>
        <w:t>继续深入挖掘中共三罗革命活动旧址（荣昌堂）、云浮县人民政府旧址</w:t>
      </w:r>
      <w:r>
        <w:rPr>
          <w:rFonts w:ascii="Times New Roman" w:hAnsi="Times New Roman" w:cs="仿宋_GB2312"/>
          <w:szCs w:val="32"/>
        </w:rPr>
        <w:t>、白石干渠等红色文化</w:t>
      </w:r>
      <w:r>
        <w:rPr>
          <w:rFonts w:hint="eastAsia" w:ascii="Times New Roman" w:hAnsi="Times New Roman" w:cs="仿宋_GB2312"/>
          <w:szCs w:val="32"/>
        </w:rPr>
        <w:t>和古驿道、古建筑、民俗文化</w:t>
      </w:r>
      <w:r>
        <w:rPr>
          <w:rFonts w:ascii="Times New Roman" w:hAnsi="Times New Roman" w:cs="仿宋_GB2312"/>
          <w:szCs w:val="32"/>
        </w:rPr>
        <w:t>资源，带动康养、休闲农业、乡村旅游和红色旅游</w:t>
      </w:r>
      <w:r>
        <w:rPr>
          <w:rFonts w:hint="eastAsia" w:ascii="Times New Roman" w:hAnsi="Times New Roman" w:cs="仿宋_GB2312"/>
          <w:szCs w:val="32"/>
        </w:rPr>
        <w:t>。重点推进云雾山旅游度假区、大金山城郊康体旅游、西江绿色生态旅游产业走廊、云浮新区樱花主题农业公园等项目建设，打造大湾区康养休闲目的地。加快提升核心景区基础设施建设水平，构建较为完善的旅游集散中心和旅游交通网络，实现“产城人文旅”融合发展。依托新区优越的文体设施及自然环境，聚集发力引进旅游项目，把新区打造成为集文化、旅游、体育、康养于一体的全域旅游发展投资热土。</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培育生产、生活性服务业。</w:t>
      </w:r>
      <w:r>
        <w:rPr>
          <w:rFonts w:hint="eastAsia" w:ascii="Times New Roman" w:hAnsi="Times New Roman" w:cs="仿宋_GB2312"/>
          <w:szCs w:val="32"/>
        </w:rPr>
        <w:t>推动新区营造适宜总部机构发展的软硬环境，增强对先进制造业、高新技术产业和现代服务业总部企业的吸引力，大力发展总部经济。利用区位交通优势，聚焦石材、南药、信创、氢能等特色产业的活动交流及产品展览，培育发展会展经济。抓住新兴产业培育薄弱环节，加快引入研发设计、科技服务、金融服务、法律服务、会计服务等一批生产性服务业。推动生活性服务业向高品质和多样化升级。做强新区教育培训，支持广东药科大、华立职业学院开展社会培训业务，做强培训品牌，形成集团优势，推动云浮新区打造全市教育高地。推进新扩建园区的餐饮、生活超市等配套，建立商业联盟，促进各服务行业融合发展。加强公益性、基础性服务供给，均衡发展养老、育幼、家政等社会服务业。</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4</w:t>
            </w:r>
            <w:r>
              <w:rPr>
                <w:rFonts w:ascii="Times New Roman" w:hAnsi="Times New Roman" w:eastAsia="黑体"/>
                <w:sz w:val="24"/>
              </w:rPr>
              <w:t xml:space="preserve">  </w:t>
            </w:r>
            <w:r>
              <w:rPr>
                <w:rFonts w:hint="eastAsia" w:ascii="Times New Roman" w:hAnsi="Times New Roman" w:eastAsia="黑体"/>
                <w:sz w:val="24"/>
              </w:rPr>
              <w:t>“十四五”时期我区现代服务业发展重点项目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0" w:type="dxa"/>
          </w:tcPr>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1.云安区镇安镇农贸综合市场新建项目：</w:t>
            </w:r>
            <w:r>
              <w:rPr>
                <w:rFonts w:hint="eastAsia" w:ascii="Times New Roman" w:hAnsi="Times New Roman" w:eastAsia="仿宋_GB2312" w:cs="仿宋_GB2312"/>
                <w:sz w:val="24"/>
              </w:rPr>
              <w:t>建设三层式总使用约3000平方整体综合性农贸市场及相关配套设施，主要功能包括周边农户农产品产销、服装、</w:t>
            </w:r>
            <w:r>
              <w:rPr>
                <w:rFonts w:hint="eastAsia" w:ascii="Times New Roman" w:hAnsi="Times New Roman" w:eastAsia="仿宋_GB2312" w:cs="仿宋_GB2312"/>
                <w:sz w:val="24"/>
                <w:lang w:eastAsia="zh-CN"/>
              </w:rPr>
              <w:t>家</w:t>
            </w:r>
            <w:r>
              <w:rPr>
                <w:rFonts w:hint="eastAsia" w:ascii="Times New Roman" w:hAnsi="Times New Roman" w:eastAsia="仿宋_GB2312" w:cs="仿宋_GB2312"/>
                <w:sz w:val="24"/>
              </w:rPr>
              <w:t>具等零售批发。</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2.云安区石城镇茶洞综合体建设：</w:t>
            </w:r>
            <w:r>
              <w:rPr>
                <w:rFonts w:hint="eastAsia" w:ascii="Times New Roman" w:hAnsi="Times New Roman" w:eastAsia="仿宋_GB2312" w:cs="仿宋_GB2312"/>
                <w:sz w:val="24"/>
              </w:rPr>
              <w:t>将茶洞信社用地以及茶洞办事处用地共</w:t>
            </w:r>
            <w:r>
              <w:rPr>
                <w:rFonts w:ascii="Times New Roman" w:hAnsi="Times New Roman" w:eastAsia="仿宋_GB2312" w:cs="仿宋_GB2312"/>
                <w:sz w:val="24"/>
              </w:rPr>
              <w:t>9.65亩，全面开发为一个集商业、教育、住宅等一体的综合体</w:t>
            </w:r>
            <w:r>
              <w:rPr>
                <w:rFonts w:hint="eastAsia" w:ascii="Times New Roman" w:hAnsi="Times New Roman" w:eastAsia="仿宋_GB2312" w:cs="仿宋_GB2312"/>
                <w:sz w:val="24"/>
              </w:rPr>
              <w:t>。</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3.云高新天地：</w:t>
            </w:r>
            <w:r>
              <w:rPr>
                <w:rFonts w:hint="eastAsia" w:ascii="Times New Roman" w:hAnsi="Times New Roman" w:eastAsia="仿宋_GB2312" w:cs="仿宋_GB2312"/>
                <w:sz w:val="24"/>
              </w:rPr>
              <w:t>一类高层公共建筑，其中建设1幢19层公寓，1幢20层酒店公寓综合楼，底部裙房共两层；总建筑面积8.44万平方米。</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4.云浮新区广州国际物流港临港经济物流园：</w:t>
            </w:r>
            <w:r>
              <w:rPr>
                <w:rFonts w:hint="eastAsia" w:ascii="Times New Roman" w:hAnsi="Times New Roman" w:eastAsia="仿宋_GB2312" w:cs="仿宋_GB2312"/>
                <w:sz w:val="24"/>
              </w:rPr>
              <w:t>项目主要建设内容包含水系综合治理、生态景观工程、交通市政基础设施、园区公共服务配套设施、产业园区综合办公楼及标准厂房开发建设等5个子项目。</w:t>
            </w:r>
            <w:r>
              <w:rPr>
                <w:rFonts w:hint="eastAsia" w:ascii="Times New Roman" w:hAnsi="Times New Roman" w:eastAsia="仿宋_GB2312" w:cs="仿宋_GB2312"/>
                <w:sz w:val="24"/>
              </w:rPr>
              <w:br w:type="textWrapping"/>
            </w:r>
            <w:r>
              <w:rPr>
                <w:rFonts w:hint="eastAsia" w:ascii="Times New Roman" w:hAnsi="Times New Roman" w:eastAsia="仿宋_GB2312" w:cs="楷体_GB2312"/>
                <w:b/>
                <w:bCs/>
                <w:sz w:val="24"/>
              </w:rPr>
              <w:t>5.云浮新区万洋众创城：</w:t>
            </w:r>
            <w:r>
              <w:rPr>
                <w:rFonts w:hint="eastAsia" w:ascii="Times New Roman" w:hAnsi="Times New Roman" w:eastAsia="仿宋_GB2312" w:cs="仿宋_GB2312"/>
                <w:sz w:val="24"/>
              </w:rPr>
              <w:t>总建筑面积约55万平方米，以引入信息技术创新应用产业为主，建设产业集聚平台，打造成为集制造研发、电子商务、科技孵化、生产生活配套、金融服务和智慧园区管理于一体的信息技术创新应用产业基地。</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6.云安区农副产品冷链物流加工中心（含电子商务冷链物流服务中心）：</w:t>
            </w:r>
            <w:r>
              <w:rPr>
                <w:rFonts w:hint="eastAsia" w:ascii="Times New Roman" w:hAnsi="Times New Roman" w:eastAsia="仿宋_GB2312" w:cs="仿宋_GB2312"/>
                <w:sz w:val="24"/>
              </w:rPr>
              <w:t>项目分三期实施，一期建设农产品冷链物流加工车间2400平方米，建设冷库土建工程10656立方米。二期建设农产品综合楼2000平方米，建设农产品冷链物流加工车间6000平方米，建设冷库土建工程31968立方米。三期建设农产品冷链物流加工车间1400平方米，建设冷库土建工程10656立方米。形成冷链服务覆盖广、冷链运输效率高，有效保障农产品市场稳定的冷链物流加工体系。</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7.全域旅游发展格局及重点项目：</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两山一水一田园一人一文化：</w:t>
            </w:r>
            <w:r>
              <w:rPr>
                <w:rFonts w:hint="eastAsia" w:ascii="Times New Roman" w:hAnsi="Times New Roman" w:eastAsia="仿宋_GB2312" w:cs="仿宋_GB2312"/>
                <w:sz w:val="24"/>
              </w:rPr>
              <w:t>“两山”：云雾山、大金山；“一水”：西江，“一田园”：整合南部片区的生态、农业、文化资源，打造具有云安特色的“醉美乡村”田园综合体；“一人”：陈</w:t>
            </w:r>
            <w:r>
              <w:rPr>
                <w:rFonts w:hint="eastAsia" w:ascii="Times New Roman" w:hAnsi="Times New Roman" w:eastAsia="微软雅黑" w:cs="微软雅黑"/>
                <w:sz w:val="24"/>
              </w:rPr>
              <w:t>璘</w:t>
            </w:r>
            <w:r>
              <w:rPr>
                <w:rFonts w:hint="eastAsia" w:ascii="Times New Roman" w:hAnsi="Times New Roman" w:eastAsia="仿宋_GB2312" w:cs="仿宋_GB2312"/>
                <w:sz w:val="24"/>
              </w:rPr>
              <w:t>；“一文化”：红色文化。</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云安区西江绿色生态旅游产业走廊：</w:t>
            </w:r>
            <w:r>
              <w:rPr>
                <w:rFonts w:hint="eastAsia" w:ascii="Times New Roman" w:hAnsi="Times New Roman" w:eastAsia="仿宋_GB2312" w:cs="楷体_GB2312"/>
                <w:sz w:val="24"/>
              </w:rPr>
              <w:t>项目位于云安区六都镇、都杨镇等西江沿岸云浮市云安区段，</w:t>
            </w:r>
            <w:r>
              <w:rPr>
                <w:rFonts w:hint="eastAsia" w:ascii="Times New Roman" w:hAnsi="Times New Roman" w:eastAsia="仿宋_GB2312" w:cs="仿宋_GB2312"/>
                <w:sz w:val="24"/>
              </w:rPr>
              <w:t>项目建设年限15年，“十四五”期间主要打造湾边金鱼沙渔家风情区、降水龙母故地、六都渔港小镇等子项目；主要建设沿江绿化带、休闲设施及景观小品等配套；建设万里碧道湾边村段、打造猫山抗日纪念馆、猫山观江台、建设特色渔家民宿、六都西江风情美食街等项目。</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云雾山周边旅游综合开发及基础设施项目：</w:t>
            </w:r>
            <w:r>
              <w:rPr>
                <w:rFonts w:hint="eastAsia" w:ascii="Times New Roman" w:hAnsi="Times New Roman" w:eastAsia="仿宋_GB2312" w:cs="仿宋_GB2312"/>
                <w:sz w:val="24"/>
              </w:rPr>
              <w:t>建设云雾山景区周边的道路、停车场等配套基础设施建设；整合云雾山周边的历史文化和自然风光等旅游项目；建设花海基地等。</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云安区高村镇大金山康体产业项目：</w:t>
            </w:r>
            <w:r>
              <w:rPr>
                <w:rFonts w:hint="eastAsia" w:ascii="Times New Roman" w:hAnsi="Times New Roman" w:eastAsia="仿宋_GB2312" w:cs="仿宋_GB2312"/>
                <w:sz w:val="24"/>
              </w:rPr>
              <w:t>建设停车场约4个，建设森林环山公路约20公里，建设森林氧吧观景台约2000平方，建设森林度假村民宿、烧烤区约3000平方，建设森林氧吧人行栈道5公里，梨花园，自行车绿道和速降道20公里，游客服务中心，旅游公厕6座，</w:t>
            </w:r>
            <w:r>
              <w:rPr>
                <w:rFonts w:hint="eastAsia" w:ascii="Times New Roman" w:hAnsi="Times New Roman" w:eastAsia="微软雅黑" w:cs="微软雅黑"/>
                <w:sz w:val="24"/>
              </w:rPr>
              <w:t>瞭</w:t>
            </w:r>
            <w:r>
              <w:rPr>
                <w:rFonts w:hint="eastAsia" w:ascii="Times New Roman" w:hAnsi="Times New Roman" w:eastAsia="仿宋_GB2312" w:cs="仿宋_GB2312"/>
                <w:sz w:val="24"/>
              </w:rPr>
              <w:t>望台5座。</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广东盛世樱桃现代生态观光农业项目：</w:t>
            </w:r>
            <w:r>
              <w:rPr>
                <w:rFonts w:hint="eastAsia" w:ascii="Times New Roman" w:hAnsi="Times New Roman" w:eastAsia="仿宋_GB2312" w:cs="仿宋_GB2312"/>
                <w:sz w:val="24"/>
              </w:rPr>
              <w:t>建设现代生态观光农业园和及养生养老产业项目等，主要设施有道路、交通桥、民宿、游泳池等康体项目，以及餐饮、停车场、园区围蔽安防、绿化、照明。</w:t>
            </w:r>
          </w:p>
          <w:p>
            <w:pPr>
              <w:adjustRightInd w:val="0"/>
              <w:snapToGrid w:val="0"/>
              <w:spacing w:line="400" w:lineRule="exact"/>
              <w:rPr>
                <w:rFonts w:ascii="Times New Roman" w:hAnsi="Times New Roman"/>
              </w:rPr>
            </w:pPr>
            <w:r>
              <w:rPr>
                <w:rFonts w:hint="eastAsia" w:ascii="Times New Roman" w:hAnsi="Times New Roman" w:eastAsia="仿宋_GB2312" w:cs="楷体_GB2312"/>
                <w:b/>
                <w:bCs/>
                <w:sz w:val="24"/>
              </w:rPr>
              <w:t>云浮新区樱花主题农业公园项目：</w:t>
            </w:r>
            <w:r>
              <w:rPr>
                <w:rFonts w:hint="eastAsia" w:ascii="Times New Roman" w:hAnsi="Times New Roman" w:eastAsia="仿宋_GB2312" w:cs="楷体_GB2312"/>
                <w:sz w:val="24"/>
              </w:rPr>
              <w:t>建设花世界、休闲度假、主题游乐、科普教育、主题酒店等板块，主要设施有道路、交通桥、民宿、游泳池等康体项目，以及餐饮、停车场、园区围蔽安防、绿化、照明。</w:t>
            </w:r>
          </w:p>
        </w:tc>
      </w:tr>
    </w:tbl>
    <w:p>
      <w:pPr>
        <w:pStyle w:val="11"/>
        <w:spacing w:line="600" w:lineRule="exact"/>
        <w:ind w:firstLine="640"/>
        <w:rPr>
          <w:rFonts w:ascii="Times New Roman" w:hAnsi="Times New Roman" w:cs="仿宋_GB2312"/>
          <w:szCs w:val="32"/>
        </w:rPr>
      </w:pP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52" w:name="_Toc56537389"/>
      <w:bookmarkStart w:id="53" w:name="_Toc70518092"/>
      <w:bookmarkStart w:id="54" w:name="_Toc72403400"/>
      <w:r>
        <w:rPr>
          <w:rFonts w:hint="eastAsia" w:ascii="Times New Roman" w:hAnsi="Times New Roman" w:eastAsia="黑体" w:cs="Times New Roman"/>
          <w:b w:val="0"/>
          <w:bCs w:val="0"/>
          <w:sz w:val="32"/>
          <w:szCs w:val="32"/>
        </w:rPr>
        <w:t>第四章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坚持创新驱动发展，增强产业创新引领力支撑力</w:t>
      </w:r>
      <w:bookmarkEnd w:id="52"/>
      <w:bookmarkEnd w:id="53"/>
      <w:bookmarkEnd w:id="54"/>
    </w:p>
    <w:p>
      <w:pPr>
        <w:spacing w:line="600" w:lineRule="exact"/>
        <w:ind w:firstLine="640"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创新是引领发展的第一动力，牢固树立创新发展理念，</w:t>
      </w:r>
      <w:r>
        <w:rPr>
          <w:rFonts w:ascii="Times New Roman" w:hAnsi="Times New Roman" w:eastAsia="仿宋_GB2312" w:cs="仿宋_GB2312"/>
          <w:sz w:val="32"/>
          <w:szCs w:val="32"/>
        </w:rPr>
        <w:t>建立健全创新体制机制</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壮大科技人才队伍</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提升产学研创新水平</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提高</w:t>
      </w:r>
      <w:r>
        <w:rPr>
          <w:rFonts w:hint="eastAsia" w:ascii="Times New Roman" w:hAnsi="Times New Roman" w:eastAsia="仿宋_GB2312" w:cs="仿宋_GB2312"/>
          <w:sz w:val="32"/>
          <w:szCs w:val="32"/>
        </w:rPr>
        <w:t>自主创新能力，</w:t>
      </w:r>
      <w:r>
        <w:rPr>
          <w:rFonts w:ascii="Times New Roman" w:hAnsi="Times New Roman" w:eastAsia="仿宋_GB2312" w:cs="仿宋_GB2312"/>
          <w:sz w:val="32"/>
          <w:szCs w:val="32"/>
        </w:rPr>
        <w:t>实现发展动力从依靠规模扩</w:t>
      </w:r>
      <w:r>
        <w:rPr>
          <w:rFonts w:hint="eastAsia" w:ascii="Times New Roman" w:hAnsi="Times New Roman" w:eastAsia="仿宋_GB2312" w:cs="仿宋_GB2312"/>
          <w:sz w:val="32"/>
          <w:szCs w:val="32"/>
        </w:rPr>
        <w:t>张、要素驱动向提质增效为主要特征的创新驱动转换。</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55" w:name="_Toc70518093"/>
      <w:bookmarkStart w:id="56" w:name="_Toc72403401"/>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构建高新区科技生态体系</w:t>
      </w:r>
      <w:bookmarkEnd w:id="55"/>
      <w:bookmarkEnd w:id="56"/>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积极搭建创新平台。</w:t>
      </w:r>
      <w:r>
        <w:rPr>
          <w:rFonts w:hint="eastAsia" w:ascii="Times New Roman" w:hAnsi="Times New Roman" w:cs="仿宋_GB2312"/>
          <w:szCs w:val="32"/>
        </w:rPr>
        <w:t>以升促建，扎实推进国家级高新区申报工作，争取科技部、火炬中心以及省科技厅等部门的大力支持，争取早日创建成为国家高新区。充分发挥“一区多园”联动效应，构建主导产业创新创业生态圈，推动高新区科技企业孵化器建成省级孵化器，省级众创空间试点单位建成国家级众创空间。深化华云创新设计中心与广东工业大学合作，重点搭建智能设计、成果转化、创新创业中心以及人才培养基地。积极与广东药科大学、广药集团、中科院深圳先进院合作，推进广东药科大学云浮研究院建设。加快云浮国际创新院建设。大力发展众创空间。</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培育壮大创新主体。</w:t>
      </w:r>
      <w:r>
        <w:rPr>
          <w:rFonts w:hint="eastAsia" w:ascii="Times New Roman" w:hAnsi="Times New Roman" w:cs="仿宋_GB2312"/>
          <w:szCs w:val="32"/>
        </w:rPr>
        <w:t>强化以企业为主体、市场为导向、产学研深度融合的技术创新体系，促进创新要素向企业集聚。争取各类资金及政策扶持，帮助企业申报重点实验室、工程技术研究中心等国家、省、市各类科技创新基地和创新平台，支持企业增强自主研发能力，推动主导产业链上中游、大中小微企业融通创新，培育一批效益技术俱佳的高新技术企业。持续加大科技创新型企业培育力度，深入实施高新技术企业认定（培育）计划，促进科技型中小企业增量提质。</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57" w:name="_Toc72403402"/>
      <w:bookmarkStart w:id="58" w:name="_Toc70518094"/>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强化科技成果转化</w:t>
      </w:r>
      <w:bookmarkEnd w:id="57"/>
      <w:bookmarkEnd w:id="58"/>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深入推进产学研合作。</w:t>
      </w:r>
      <w:r>
        <w:rPr>
          <w:rFonts w:hint="eastAsia" w:ascii="Times New Roman" w:hAnsi="Times New Roman" w:cs="仿宋_GB2312"/>
          <w:szCs w:val="32"/>
        </w:rPr>
        <w:t>主动融入粤港澳大湾区国际科创中心，以创新型企业、高新技术企业、科技型中小企业为重点，支持企业与内陆、湾区高校及科研机构，开展产学研合作，组建省市级工程技术研究中心或省市级实验室。围绕“互联网</w:t>
      </w:r>
      <w:r>
        <w:rPr>
          <w:rFonts w:ascii="Times New Roman" w:hAnsi="Times New Roman" w:cs="仿宋_GB2312"/>
          <w:szCs w:val="32"/>
        </w:rPr>
        <w:t>+”战略开展企业技术难题竞标等“研发众包”模式探索，引导科技人员、高校、科研院所承接企业的项目委托和难题招标，聚众智推进开放式创新。</w:t>
      </w:r>
      <w:r>
        <w:rPr>
          <w:rFonts w:hint="eastAsia" w:ascii="Times New Roman" w:hAnsi="Times New Roman" w:cs="仿宋_GB2312"/>
          <w:szCs w:val="32"/>
        </w:rPr>
        <w:t>推动建立产业技术创新战略联盟，加强行业共性关键技术研发和推广应用，为联盟成员企业提供订单式研发服务。</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建设科技成果中试与产业化载体。</w:t>
      </w:r>
      <w:r>
        <w:rPr>
          <w:rFonts w:hint="eastAsia" w:ascii="Times New Roman" w:hAnsi="Times New Roman" w:cs="仿宋_GB2312"/>
          <w:szCs w:val="32"/>
        </w:rPr>
        <w:t>推动建筑科学研发基地建设。重点支持云浮循环经济工业园协同创新研究院搭建科学技术研究中心、分析测试中心、云浮市云安区建筑科学研究院检测中心等各类创新平台，加快科技成果孵化器（中试车间）建设。推进建设金属智造产业园配套产业科技研发基地。推动肉牛、花卉苗木等现代农业产业搭建科技创新平台，加快云安区优质肉牛胚胎工程实验室建设，搭建养殖业行业应用基础平台。推动新区广东药科大学创新中心实体化运作，发展生物医药成果检验检测认证、科技咨询、技术标准、知识产权、投融资等服务。深入湾区与广州、深圳等先进地区布局建设产业科技孵化前沿基地，打造“人在湾区，干为云安”的“科技飞地”。</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搭建科技成果转化服务平台。</w:t>
      </w:r>
      <w:r>
        <w:rPr>
          <w:rFonts w:hint="eastAsia" w:ascii="Times New Roman" w:hAnsi="Times New Roman" w:cs="仿宋_GB2312"/>
          <w:szCs w:val="32"/>
        </w:rPr>
        <w:t>谋划建设好服务云安、新区的科技创新公共平台。推进工信部电子五所综合保障平台广东区域分中心投入使用。加快搭建技术交易网络平台，支持各类服务机构提供信息发布、融资并购、公开挂牌、竞价拍卖、咨询辅导等专业化服务，引导高校、科研院所、国有企业的科技成果挂牌交易与公示。完善技术产权交易、知识产权交易等各类平台功能，促进科技成果与资本的有效对接。支持有条件的技术转移机构与天使投资、创业投资等机构合作建立投资基金，加大对科技成果转化项目的投资力度。</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59" w:name="_Toc72403403"/>
      <w:bookmarkStart w:id="60" w:name="_Toc70518095"/>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打造人才强区</w:t>
      </w:r>
      <w:bookmarkEnd w:id="59"/>
      <w:bookmarkEnd w:id="60"/>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集聚创新创业高层次人才和团队。</w:t>
      </w:r>
      <w:r>
        <w:rPr>
          <w:rFonts w:hint="eastAsia" w:ascii="Times New Roman" w:hAnsi="Times New Roman" w:eastAsia="仿宋_GB2312" w:cs="仿宋_GB2312"/>
          <w:sz w:val="32"/>
          <w:szCs w:val="32"/>
        </w:rPr>
        <w:t>深入实施人才强区工程，坚持“柔性引才、借脑发展”方针，完善引才政策。聚焦绿色工业集聚区、新兴产业引领区，创新“人才</w:t>
      </w:r>
      <w:r>
        <w:rPr>
          <w:rFonts w:ascii="Times New Roman" w:hAnsi="Times New Roman" w:eastAsia="仿宋_GB2312" w:cs="仿宋_GB2312"/>
          <w:sz w:val="32"/>
          <w:szCs w:val="32"/>
        </w:rPr>
        <w:t>+项目”，探索谋划“人才飞地”，通过“科技飞地”“人随项目走”，促进湾区人才产业双优落地。重点围绕我区产业发展战略，通过“引进智力、引进成果、引进技术”扩大引进渠道、引才范围，发挥人才驿站、云浮国际创新院等平台作用，引入一批金融、产业、科技等高层次人才和团队入驻。</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构建创新创业人才培育体系。</w:t>
      </w:r>
      <w:r>
        <w:rPr>
          <w:rFonts w:hint="eastAsia" w:ascii="Times New Roman" w:hAnsi="Times New Roman" w:eastAsia="仿宋_GB2312" w:cs="仿宋_GB2312"/>
          <w:sz w:val="32"/>
          <w:szCs w:val="32"/>
        </w:rPr>
        <w:t>聚焦脱贫攻坚、乡村振兴战略，加快三农、教育、医疗卫生人才等落后领域人才培育。推进人才资源与现代产业体系协同发展，深入实施“粤菜师傅”“广东技工”“南粤家政”等重大人才工程，畅通各类专业技术人才职称申报渠道，鼓励支持民营企业、社会组织参与职称评价，进一步加大职称评审“放管服”力度，着力建设与战略</w:t>
      </w:r>
      <w:r>
        <w:rPr>
          <w:rFonts w:hint="eastAsia" w:ascii="Times New Roman" w:hAnsi="Times New Roman" w:eastAsia="仿宋_GB2312" w:cs="仿宋_GB2312"/>
          <w:sz w:val="32"/>
          <w:szCs w:val="32"/>
          <w:lang w:eastAsia="zh-CN"/>
        </w:rPr>
        <w:t>性</w:t>
      </w:r>
      <w:r>
        <w:rPr>
          <w:rFonts w:hint="eastAsia" w:ascii="Times New Roman" w:hAnsi="Times New Roman" w:eastAsia="仿宋_GB2312" w:cs="仿宋_GB2312"/>
          <w:sz w:val="32"/>
          <w:szCs w:val="32"/>
        </w:rPr>
        <w:t>新兴产业、先进制造业等发展需求相适应的高素质技术技能人才队伍。</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仿宋_GB2312"/>
          <w:b/>
          <w:bCs/>
          <w:sz w:val="32"/>
          <w:szCs w:val="32"/>
        </w:rPr>
        <w:t>完善栖才环境。</w:t>
      </w:r>
      <w:r>
        <w:rPr>
          <w:rFonts w:hint="eastAsia" w:ascii="Times New Roman" w:hAnsi="Times New Roman" w:eastAsia="仿宋_GB2312" w:cs="仿宋_GB2312"/>
          <w:sz w:val="32"/>
          <w:szCs w:val="32"/>
        </w:rPr>
        <w:t>确保“人才优先投入”的财政预算政策，加大创新人才发展的财政投入，设立创新团队与科技人才发展专项资金。加快人才商住房和保障性住房建设，建设科技人才公寓，完善休闲娱乐、文化教育、医疗等生活配套设施，打造人才综合服务基地。培育创造广东药科大学、华立学院等毕业人才就地就业的条件。探索开展院士专家工作站、人才创业创新基地建设，建立专家工作站制度。</w:t>
      </w:r>
    </w:p>
    <w:p>
      <w:pPr>
        <w:pStyle w:val="5"/>
        <w:adjustRightInd w:val="0"/>
        <w:snapToGrid w:val="0"/>
        <w:spacing w:before="120" w:after="120" w:line="600" w:lineRule="exact"/>
        <w:jc w:val="center"/>
        <w:rPr>
          <w:rFonts w:ascii="Times New Roman" w:hAnsi="Times New Roman" w:eastAsia="黑体"/>
          <w:b w:val="0"/>
          <w:bCs w:val="0"/>
          <w:sz w:val="32"/>
          <w:szCs w:val="32"/>
        </w:rPr>
      </w:pPr>
      <w:bookmarkStart w:id="61" w:name="_Toc56537390"/>
      <w:bookmarkStart w:id="62" w:name="_Toc72403404"/>
      <w:bookmarkStart w:id="63" w:name="_Toc70518096"/>
      <w:r>
        <w:rPr>
          <w:rFonts w:hint="eastAsia" w:ascii="Times New Roman" w:hAnsi="Times New Roman" w:eastAsia="黑体" w:cs="Times New Roman"/>
          <w:b w:val="0"/>
          <w:bCs w:val="0"/>
          <w:sz w:val="32"/>
          <w:szCs w:val="32"/>
        </w:rPr>
        <w:t>第五章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主动融入新发展格局，塑造高质量发展新优势</w:t>
      </w:r>
      <w:bookmarkEnd w:id="61"/>
      <w:bookmarkEnd w:id="62"/>
      <w:bookmarkEnd w:id="63"/>
    </w:p>
    <w:p>
      <w:pPr>
        <w:spacing w:line="56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抢抓扩大内需战略机遇，全力畅通产业循环、市场循环和经济社会循环，在主动服务广东打造新发展格局战略支点中赢得高质量发展的战略主动。</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64" w:name="_Toc72403405"/>
      <w:bookmarkStart w:id="65" w:name="_Toc70518097"/>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积极扩大有效投资</w:t>
      </w:r>
      <w:bookmarkEnd w:id="64"/>
      <w:bookmarkEnd w:id="65"/>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加快完善</w:t>
      </w:r>
      <w:r>
        <w:rPr>
          <w:rFonts w:ascii="Times New Roman" w:hAnsi="Times New Roman" w:cs="仿宋_GB2312"/>
          <w:b/>
          <w:bCs/>
          <w:szCs w:val="32"/>
        </w:rPr>
        <w:t>交通</w:t>
      </w:r>
      <w:r>
        <w:rPr>
          <w:rFonts w:hint="eastAsia" w:ascii="Times New Roman" w:hAnsi="Times New Roman" w:cs="仿宋_GB2312"/>
          <w:b/>
          <w:bCs/>
          <w:szCs w:val="32"/>
        </w:rPr>
        <w:t>基础设施建设。</w:t>
      </w:r>
      <w:bookmarkStart w:id="66" w:name="_Hlk60838624"/>
      <w:r>
        <w:rPr>
          <w:rFonts w:hint="eastAsia" w:ascii="Times New Roman" w:hAnsi="Times New Roman" w:cs="仿宋_GB2312"/>
          <w:szCs w:val="32"/>
        </w:rPr>
        <w:t>充分利用云浮新港、广州云浮国际物流港口内陆腹地的开拓和腹地经济的发展，加强综合疏港交通的规划发展。</w:t>
      </w:r>
      <w:r>
        <w:rPr>
          <w:rFonts w:ascii="Times New Roman" w:hAnsi="Times New Roman" w:cs="仿宋_GB2312"/>
          <w:szCs w:val="32"/>
        </w:rPr>
        <w:t>进一步完善</w:t>
      </w:r>
      <w:r>
        <w:rPr>
          <w:rFonts w:hint="eastAsia" w:ascii="Times New Roman" w:hAnsi="Times New Roman" w:cs="仿宋_GB2312"/>
          <w:szCs w:val="32"/>
        </w:rPr>
        <w:t>枢纽站场建设，强化云浮高铁东站的交通枢纽作用。</w:t>
      </w:r>
      <w:bookmarkEnd w:id="66"/>
      <w:r>
        <w:rPr>
          <w:rFonts w:hint="eastAsia" w:ascii="Times New Roman" w:hAnsi="Times New Roman" w:cs="仿宋_GB2312"/>
          <w:szCs w:val="32"/>
        </w:rPr>
        <w:t>推进高快速路建设，加快推进东部快线、西部快线及其连接线、新城快线二期、国道</w:t>
      </w:r>
      <w:r>
        <w:rPr>
          <w:rFonts w:ascii="Times New Roman" w:hAnsi="Times New Roman" w:cs="仿宋_GB2312"/>
          <w:szCs w:val="32"/>
        </w:rPr>
        <w:t>324线迳口至镇安路面大修、G80扩宽改造、省道S539线云安区云雾山隧道（含连接线）新建工程、省道</w:t>
      </w:r>
      <w:r>
        <w:rPr>
          <w:rFonts w:hint="eastAsia" w:ascii="Times New Roman" w:hAnsi="Times New Roman" w:cs="仿宋_GB2312"/>
          <w:szCs w:val="32"/>
        </w:rPr>
        <w:t>S</w:t>
      </w:r>
      <w:r>
        <w:rPr>
          <w:rFonts w:ascii="Times New Roman" w:hAnsi="Times New Roman" w:cs="仿宋_GB2312"/>
          <w:szCs w:val="32"/>
        </w:rPr>
        <w:t>539线留洞至上社段路面改造等交通基础设施工程。加强高速公路与普通公路的衔接，推进云浮市腰古经南盛、铁场至石城新建公路工程（原国道324线腰古至茶洞段改线工程）、疏港公路（省道S537线（云安段）凤凰坳至细友石场段改建）</w:t>
      </w:r>
      <w:r>
        <w:rPr>
          <w:rFonts w:hint="eastAsia" w:ascii="Times New Roman" w:hAnsi="Times New Roman" w:cs="仿宋_GB2312"/>
          <w:szCs w:val="32"/>
        </w:rPr>
        <w:t>、</w:t>
      </w:r>
      <w:r>
        <w:rPr>
          <w:rFonts w:ascii="Times New Roman" w:hAnsi="Times New Roman" w:cs="仿宋_GB2312"/>
          <w:szCs w:val="32"/>
        </w:rPr>
        <w:t>S368线六都段加宽改造、新升省道S537线、S538线、S539线、S274线路面改造、X873冲麦线、X468河都线</w:t>
      </w:r>
      <w:r>
        <w:rPr>
          <w:rFonts w:hint="eastAsia" w:ascii="Times New Roman" w:hAnsi="Times New Roman" w:cs="仿宋_GB2312"/>
          <w:szCs w:val="32"/>
        </w:rPr>
        <w:t>、省道</w:t>
      </w:r>
      <w:r>
        <w:rPr>
          <w:rFonts w:ascii="Times New Roman" w:hAnsi="Times New Roman" w:cs="仿宋_GB2312"/>
          <w:szCs w:val="32"/>
        </w:rPr>
        <w:t>S538线高村龙海桥至佛洞段升级改造、高村环镇公路、京基智农云浮市云安区生猪全产业链项目产业园区道路等公路建设。优化港口城区货车运输路线规划，谋划建设云安区过境公路、省道S538云安区大金山隧道（含连接线）</w:t>
      </w:r>
      <w:r>
        <w:rPr>
          <w:rFonts w:hint="eastAsia" w:ascii="Times New Roman" w:hAnsi="Times New Roman" w:cs="仿宋_GB2312"/>
          <w:szCs w:val="32"/>
        </w:rPr>
        <w:t>、疏港大道。</w:t>
      </w:r>
      <w:r>
        <w:rPr>
          <w:rFonts w:ascii="Times New Roman" w:hAnsi="Times New Roman" w:cs="仿宋_GB2312"/>
          <w:szCs w:val="32"/>
        </w:rPr>
        <w:t>完善公交场站建设</w:t>
      </w:r>
      <w:r>
        <w:rPr>
          <w:rFonts w:hint="eastAsia" w:ascii="Times New Roman" w:hAnsi="Times New Roman" w:cs="仿宋_GB2312"/>
          <w:szCs w:val="32"/>
        </w:rPr>
        <w:t>。</w:t>
      </w:r>
      <w:r>
        <w:rPr>
          <w:rFonts w:ascii="Times New Roman" w:hAnsi="Times New Roman" w:cs="仿宋_GB2312"/>
          <w:szCs w:val="32"/>
        </w:rPr>
        <w:t>到2025年，形成运转高效、服务优质、方便快捷的交通运输体系。</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加强重点水利工程建设。</w:t>
      </w:r>
      <w:r>
        <w:rPr>
          <w:rFonts w:hint="eastAsia" w:ascii="Times New Roman" w:hAnsi="Times New Roman" w:cs="仿宋_GB2312"/>
          <w:szCs w:val="32"/>
        </w:rPr>
        <w:t>推进区内水库安全鉴定工作，落实都杨镇洞坑水库、白石镇路下勒水库、旱坑水库、富林镇湖塘水库、高村镇狗仔坑水库的除险加固工作，积极开展小型水库标准化建设、信息化监测。加强河道整治，推进都杨江贤水、六都镇东冲河、二冲河、镇安镇下赤永永河、白石镇宋桂河流域横迳河、民安河治理工程和大涌河及其支流</w:t>
      </w:r>
      <w:r>
        <w:rPr>
          <w:rFonts w:hint="eastAsia" w:ascii="Times New Roman" w:hAnsi="Times New Roman" w:eastAsia="微软雅黑" w:cs="微软雅黑"/>
          <w:szCs w:val="32"/>
        </w:rPr>
        <w:t>榃</w:t>
      </w:r>
      <w:r>
        <w:rPr>
          <w:rFonts w:hint="eastAsia" w:ascii="Times New Roman" w:hAnsi="Times New Roman" w:cs="仿宋_GB2312"/>
          <w:szCs w:val="32"/>
        </w:rPr>
        <w:t>容水河道综合整治等中小河流重点河段整治项目。</w:t>
      </w:r>
      <w:r>
        <w:rPr>
          <w:rFonts w:hint="eastAsia" w:ascii="Times New Roman" w:hAnsi="Times New Roman" w:cs="宋体"/>
          <w:kern w:val="0"/>
          <w:szCs w:val="32"/>
        </w:rPr>
        <w:t>推进云安区白石镇石底大圳节水配套改造工程</w:t>
      </w:r>
      <w:r>
        <w:rPr>
          <w:rFonts w:ascii="Times New Roman" w:hAnsi="Times New Roman" w:cs="宋体"/>
          <w:kern w:val="0"/>
          <w:szCs w:val="32"/>
        </w:rPr>
        <w:t>(白石大圳灌区)</w:t>
      </w:r>
      <w:r>
        <w:rPr>
          <w:rFonts w:hint="eastAsia" w:ascii="Times New Roman" w:hAnsi="Times New Roman" w:cs="宋体"/>
          <w:kern w:val="0"/>
          <w:szCs w:val="32"/>
        </w:rPr>
        <w:t>、西江饮水工程、湾边村碧道等水利重点工程建设</w:t>
      </w:r>
      <w:r>
        <w:rPr>
          <w:rFonts w:hint="eastAsia" w:ascii="Times New Roman" w:hAnsi="Times New Roman" w:cs="仿宋_GB2312"/>
          <w:szCs w:val="32"/>
        </w:rPr>
        <w:t>。强化城乡居民用水安全，加快城区供水管网改造工程建设，推动全域自然村集中供水全覆盖，创建省级全域供水示范区。</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加强新型基础设施建设。</w:t>
      </w:r>
      <w:r>
        <w:rPr>
          <w:rFonts w:hint="eastAsia" w:ascii="Times New Roman" w:hAnsi="Times New Roman" w:cs="仿宋_GB2312"/>
          <w:szCs w:val="32"/>
        </w:rPr>
        <w:t>加快</w:t>
      </w:r>
      <w:r>
        <w:rPr>
          <w:rFonts w:ascii="Times New Roman" w:hAnsi="Times New Roman" w:cs="仿宋_GB2312"/>
          <w:szCs w:val="32"/>
        </w:rPr>
        <w:t>5G网络建设，到2025年</w:t>
      </w:r>
      <w:r>
        <w:rPr>
          <w:rFonts w:hint="eastAsia" w:ascii="Times New Roman" w:hAnsi="Times New Roman" w:cs="仿宋_GB2312"/>
          <w:szCs w:val="32"/>
        </w:rPr>
        <w:t>实现</w:t>
      </w:r>
      <w:r>
        <w:rPr>
          <w:rFonts w:ascii="Times New Roman" w:hAnsi="Times New Roman" w:cs="仿宋_GB2312"/>
          <w:szCs w:val="32"/>
        </w:rPr>
        <w:t>5G网络全覆盖。推动物联网深度覆盖，大力推进物联网泛在感知设施部署，推进城市数字化发展。加快打造跨行业、跨领域的工业互联网平台，带动工业企业“上云上平台”。引导云谷谋划构建先进算力集群，推进新区云联小镇、广东风华高新科技超级电容项目、云宏信创研发中心、广东省信创适配研发基地等计算存储设施建设。加快布局一批充电桩，大力推广电动公交车及新能源汽车</w:t>
      </w:r>
      <w:r>
        <w:rPr>
          <w:rFonts w:hint="eastAsia" w:ascii="Times New Roman" w:hAnsi="Times New Roman" w:cs="仿宋_GB2312"/>
          <w:szCs w:val="32"/>
        </w:rPr>
        <w:t>应用</w:t>
      </w:r>
      <w:r>
        <w:rPr>
          <w:rFonts w:ascii="Times New Roman" w:hAnsi="Times New Roman" w:cs="仿宋_GB2312"/>
          <w:szCs w:val="32"/>
        </w:rPr>
        <w:t>。</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完善能源保障设施建设。</w:t>
      </w:r>
      <w:r>
        <w:rPr>
          <w:rFonts w:hint="eastAsia" w:ascii="Times New Roman" w:hAnsi="Times New Roman" w:cs="仿宋_GB2312"/>
          <w:szCs w:val="32"/>
        </w:rPr>
        <w:t>完善加氢站、天然气等能源设施布局，加快华润西江发电厂建设。强化中心城区及工业园区的稳定供电，实施新一轮农村电网改造升级工程。推动华润天然气综合站建设，建设天然气门站及</w:t>
      </w:r>
      <w:r>
        <w:rPr>
          <w:rFonts w:ascii="Times New Roman" w:hAnsi="Times New Roman" w:cs="仿宋_GB2312"/>
          <w:szCs w:val="32"/>
        </w:rPr>
        <w:t>LNG应急调峰站，完善云安区燃气基础设施布局，推进天然气“县县通”。推进加氢站及农村光伏等新能源项目建设。</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5</w:t>
            </w:r>
            <w:r>
              <w:rPr>
                <w:rFonts w:ascii="Times New Roman" w:hAnsi="Times New Roman" w:eastAsia="黑体"/>
                <w:sz w:val="24"/>
              </w:rPr>
              <w:t xml:space="preserve">  </w:t>
            </w:r>
            <w:r>
              <w:rPr>
                <w:rFonts w:hint="eastAsia" w:ascii="Times New Roman" w:hAnsi="Times New Roman" w:eastAsia="黑体"/>
                <w:sz w:val="24"/>
              </w:rPr>
              <w:t>“十四五”时期我区基础设施建设重点项目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1.交通基础设施：</w:t>
            </w:r>
            <w:r>
              <w:rPr>
                <w:rFonts w:hint="eastAsia" w:ascii="Times New Roman" w:hAnsi="Times New Roman" w:eastAsia="仿宋_GB2312" w:cs="仿宋_GB2312"/>
                <w:sz w:val="24"/>
              </w:rPr>
              <w:t>推进云安区新干线公路建设项目（西江</w:t>
            </w:r>
            <w:r>
              <w:rPr>
                <w:rFonts w:ascii="Times New Roman" w:hAnsi="Times New Roman" w:eastAsia="仿宋_GB2312" w:cs="仿宋_GB2312"/>
                <w:sz w:val="24"/>
              </w:rPr>
              <w:t>-南海“一带一路”交通基础设施）、</w:t>
            </w:r>
            <w:r>
              <w:rPr>
                <w:rFonts w:hint="eastAsia" w:ascii="Times New Roman" w:hAnsi="Times New Roman" w:eastAsia="仿宋_GB2312" w:cs="仿宋_GB2312"/>
                <w:sz w:val="24"/>
              </w:rPr>
              <w:t>云安区新线公路建设项目、东部快线、西部快线及其连接线、新城快线二期、云浮市腰古经南盛、铁场至石城新建公路工程（原国道</w:t>
            </w:r>
            <w:r>
              <w:rPr>
                <w:rFonts w:ascii="Times New Roman" w:hAnsi="Times New Roman" w:eastAsia="仿宋_GB2312" w:cs="仿宋_GB2312"/>
                <w:sz w:val="24"/>
              </w:rPr>
              <w:t>324线腰古至茶洞段改线工程）、疏港公路（省道S537线（云安段）凤凰坳至细友石场段改建）及省道S539线云安区云雾山隧道（含连接线）新建工程。加强高速公路与普通公路的衔接，加快推进S368线六都段加宽改造、新升省道S537线、S538线、S539线、S274线路面改造、X873冲麦线、X468河都线等城乡公路建设，推进农村公路</w:t>
            </w:r>
            <w:r>
              <w:rPr>
                <w:rFonts w:hint="eastAsia" w:ascii="Times New Roman" w:hAnsi="Times New Roman" w:eastAsia="仿宋_GB2312" w:cs="仿宋_GB2312"/>
                <w:sz w:val="24"/>
              </w:rPr>
              <w:t>单改双提档升级改造建设</w:t>
            </w:r>
            <w:r>
              <w:rPr>
                <w:rFonts w:ascii="Times New Roman" w:hAnsi="Times New Roman" w:eastAsia="仿宋_GB2312" w:cs="仿宋_GB2312"/>
                <w:sz w:val="24"/>
              </w:rPr>
              <w:t>。</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2.水利工程：</w:t>
            </w:r>
            <w:r>
              <w:rPr>
                <w:rFonts w:hint="eastAsia" w:ascii="Times New Roman" w:hAnsi="Times New Roman" w:eastAsia="仿宋_GB2312" w:cs="仿宋_GB2312"/>
                <w:sz w:val="24"/>
              </w:rPr>
              <w:t>落实都杨镇洞坑水库、白石镇路下勒水库、旱坑水库、富林镇湖塘水库、高村镇狗仔坑水库的除险加固工作。加强河道整治，推进都杨江贤水、六都镇东冲河、二冲河、镇安镇下赤永永河和白石镇横迳河等中小河流重点河段整治项目。推进云浮市云安区城区排水防涝设施建设工程、云安区白石镇石底大圳节水配套改造工程(白石大圳灌区)、西江饮水工程、湾边村碧道等水利重点工程建设。</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3.新型基础设施</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新区云联小镇：</w:t>
            </w:r>
            <w:r>
              <w:rPr>
                <w:rFonts w:hint="eastAsia" w:ascii="Times New Roman" w:hAnsi="Times New Roman" w:eastAsia="仿宋_GB2312" w:cs="仿宋_GB2312"/>
                <w:sz w:val="24"/>
              </w:rPr>
              <w:t>主要建云浮云计算数据中心集聚区项目，位于云浮省市共建信息技术应用创新产业园（云谷）内，规划建设折合标准机架数约26000个。第一阶段2020-2022年，规划建设折合标准机架数累计约12000个；第二阶段2023-2025年，规划建设折合标准机架数累计约26000个。</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智慧路灯升级改造项目：</w:t>
            </w:r>
            <w:r>
              <w:rPr>
                <w:rFonts w:hint="eastAsia" w:ascii="Times New Roman" w:hAnsi="Times New Roman" w:eastAsia="仿宋_GB2312" w:cs="仿宋_GB2312"/>
                <w:sz w:val="24"/>
              </w:rPr>
              <w:t>项目建设在云安区。对大面积死灯、照度严重不够、过质保的4289盏路灯进行更换；增加多功能灯杆。更换成智慧路灯后不增加电费可达到全时段亮灯，保证我区的路灯正常照明。以“多功能杆”完成我区基础信息收集，为智慧城市提供基础数据的收集和分析，完成大数据的基础建设。</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4.能源保障设施：</w:t>
            </w:r>
            <w:r>
              <w:rPr>
                <w:rFonts w:hint="eastAsia" w:ascii="Times New Roman" w:hAnsi="Times New Roman" w:eastAsia="仿宋_GB2312" w:cs="仿宋_GB2312"/>
                <w:sz w:val="24"/>
              </w:rPr>
              <w:t>广州广钢气体能源股份有限公司云浮氢能、氦气及氦基混合智能充装充装及乙炔制气项目、华润天然气综合站、华润西江发电厂、云安区加油站、农村电网改造升级工程、天然气工程、“油气合一”LNG加注站、加氢站等。</w:t>
            </w:r>
          </w:p>
        </w:tc>
      </w:tr>
    </w:tbl>
    <w:p>
      <w:pPr>
        <w:pStyle w:val="11"/>
        <w:spacing w:line="600" w:lineRule="exact"/>
        <w:ind w:firstLine="640"/>
        <w:rPr>
          <w:rFonts w:ascii="Times New Roman" w:hAnsi="Times New Roman" w:cs="仿宋_GB2312"/>
          <w:szCs w:val="32"/>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67" w:name="_Toc70518098"/>
      <w:bookmarkStart w:id="68" w:name="_Toc72403406"/>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全面激活消费潜力</w:t>
      </w:r>
      <w:bookmarkEnd w:id="67"/>
      <w:bookmarkEnd w:id="68"/>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提升传统消费。</w:t>
      </w:r>
      <w:r>
        <w:rPr>
          <w:rFonts w:hint="eastAsia" w:ascii="Times New Roman" w:hAnsi="Times New Roman" w:cs="仿宋_GB2312"/>
          <w:szCs w:val="32"/>
        </w:rPr>
        <w:t>推动汽车、家电等大宗消费。促进住房消费健康发展。扩大节假日消费。全力推动高铁综合交通枢纽商业广场提档升级，建设“夜经济”商业圈和特色商业街区。促进社区生活服务业发展，大力发展社区农贸市场、微型生鲜超市等社区生活综合体，构建社区便民商圈。拓展服务消费，提振餐饮消费，促进家政服务提质扩容。</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培育新型消费。</w:t>
      </w:r>
      <w:r>
        <w:rPr>
          <w:rFonts w:hint="eastAsia" w:ascii="Times New Roman" w:hAnsi="Times New Roman" w:cs="仿宋_GB2312"/>
          <w:szCs w:val="32"/>
        </w:rPr>
        <w:t>进一步创新无接触消费模式，推广在线开放课程、互联网诊疗等服务，</w:t>
      </w:r>
      <w:r>
        <w:rPr>
          <w:rFonts w:ascii="Times New Roman" w:hAnsi="Times New Roman" w:cs="仿宋_GB2312"/>
          <w:szCs w:val="32"/>
        </w:rPr>
        <w:t>促进教育、医疗健康、养老、托育、家政、文化和旅游、体育等服务消费线上线下融合发展</w:t>
      </w:r>
      <w:r>
        <w:rPr>
          <w:rFonts w:hint="eastAsia" w:ascii="Times New Roman" w:hAnsi="Times New Roman" w:cs="仿宋_GB2312"/>
          <w:szCs w:val="32"/>
        </w:rPr>
        <w:t>。鼓励企业运用</w:t>
      </w:r>
      <w:r>
        <w:rPr>
          <w:rFonts w:ascii="Times New Roman" w:hAnsi="Times New Roman" w:cs="仿宋_GB2312"/>
          <w:szCs w:val="32"/>
        </w:rPr>
        <w:t>5G、物联网等信息技术，加快实体商业数字化、智能化改造，满足个性化、定制化消费需求。</w:t>
      </w:r>
      <w:r>
        <w:rPr>
          <w:rFonts w:hint="eastAsia" w:ascii="Times New Roman" w:hAnsi="Times New Roman" w:cs="仿宋_GB2312"/>
          <w:szCs w:val="32"/>
        </w:rPr>
        <w:t>推动互联网平台企业向线下拓展，鼓励企业发展直播带货、生鲜电商、在线拼团等新兴业态，带动实体消费。推进商文旅融合发展，扩大文旅消费。</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促进农村消费。</w:t>
      </w:r>
      <w:r>
        <w:rPr>
          <w:rFonts w:hint="eastAsia" w:ascii="Times New Roman" w:hAnsi="Times New Roman" w:cs="仿宋_GB2312"/>
          <w:szCs w:val="32"/>
        </w:rPr>
        <w:t>优化城乡商业网点布局，推动农村商贸流通和零售网点转型升级，支持建设立足乡村、贴近农民的生活消费服务综合体，扩大农村商品和服务供给。积极开展汽车、家电下乡，促进重点商品消费。加快完善农村电商物流体系，促进工业品下乡、农产品进城，推动本地优质农产品更好对接湾区“大市场”。加强市场监管，依法打击假冒伪劣，优化农村消费环境。</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69" w:name="_Toc70518099"/>
      <w:bookmarkStart w:id="70" w:name="_Toc72403407"/>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促进内外贸一体化</w:t>
      </w:r>
      <w:bookmarkEnd w:id="69"/>
      <w:bookmarkEnd w:id="70"/>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提升内外贸开放水平。</w:t>
      </w:r>
      <w:r>
        <w:rPr>
          <w:rFonts w:hint="eastAsia" w:ascii="Times New Roman" w:hAnsi="Times New Roman" w:eastAsia="仿宋_GB2312" w:cs="Times New Roman"/>
          <w:sz w:val="32"/>
          <w:szCs w:val="32"/>
          <w:shd w:val="clear" w:color="auto" w:fill="FFFFFF"/>
        </w:rPr>
        <w:t>抓实“外贸回补”“云货回流”等工作</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支持云浮新港扩容提质，打造西江内外贸集装箱中转港。推动保税仓加快发展，建设跨境电商（物流）基地、出口转内销基地。支持云浮六都装卸点搬迁至云浮港都骑通用码头开通口岸。谋划开通广州云浮国际物流港开放口岸，形成南沙港——广州云浮国际物流港的联动，引导云浮市产业集聚的客户产品更多的通过南沙港中转，助力云浮、云安外贸进出口业务和经济发展。积极拓展国际市场，加强企业与</w:t>
      </w:r>
      <w:bookmarkStart w:id="71" w:name="_Hlk62634726"/>
      <w:r>
        <w:rPr>
          <w:rFonts w:ascii="Times New Roman" w:hAnsi="Times New Roman" w:eastAsia="仿宋_GB2312" w:cs="Times New Roman"/>
          <w:sz w:val="32"/>
          <w:szCs w:val="32"/>
          <w:shd w:val="clear" w:color="auto" w:fill="FFFFFF"/>
        </w:rPr>
        <w:t>RCEP</w:t>
      </w:r>
      <w:bookmarkEnd w:id="71"/>
      <w:r>
        <w:rPr>
          <w:rFonts w:hint="eastAsia" w:ascii="Times New Roman" w:hAnsi="Times New Roman" w:eastAsia="仿宋_GB2312" w:cs="Times New Roman"/>
          <w:sz w:val="32"/>
          <w:szCs w:val="32"/>
          <w:shd w:val="clear" w:color="auto" w:fill="FFFFFF"/>
        </w:rPr>
        <w:t>自贸平台、欧洲、美洲、“一带一路”等国家之间经贸合作，鼓励企业参加国外大型博览会、进博会等国际经贸活动，培育一批石材、汽配、新材料外贸龙头企业。在“十四五”期间，外贸年均实现正增长态势。</w:t>
      </w:r>
    </w:p>
    <w:p>
      <w:pPr>
        <w:pStyle w:val="11"/>
        <w:spacing w:line="600" w:lineRule="exact"/>
        <w:ind w:firstLine="643"/>
        <w:rPr>
          <w:rFonts w:ascii="Times New Roman" w:hAnsi="Times New Roman"/>
        </w:rPr>
      </w:pPr>
      <w:r>
        <w:rPr>
          <w:rFonts w:hint="eastAsia" w:ascii="Times New Roman" w:hAnsi="Times New Roman"/>
          <w:b/>
          <w:bCs/>
        </w:rPr>
        <w:t>加强高质量产品供给。</w:t>
      </w:r>
      <w:r>
        <w:rPr>
          <w:rFonts w:hint="eastAsia" w:ascii="Times New Roman" w:hAnsi="Times New Roman" w:cs="Times New Roman"/>
          <w:szCs w:val="32"/>
          <w:shd w:val="clear" w:color="auto" w:fill="FFFFFF"/>
        </w:rPr>
        <w:t>积极对接大湾区经贸大市场，加大石材、骨料、新材料、汽配等原料、基础零部件及鲜活农产品供给。</w:t>
      </w:r>
      <w:r>
        <w:rPr>
          <w:rFonts w:hint="eastAsia" w:ascii="Times New Roman" w:hAnsi="Times New Roman"/>
        </w:rPr>
        <w:t>深入开展质量提升行动，提升企业整体质量水平和市场竞争力。高标准做好商标品牌和知识产权培育工作，大力实施</w:t>
      </w:r>
      <w:r>
        <w:rPr>
          <w:rFonts w:hint="eastAsia" w:ascii="Times New Roman" w:hAnsi="Times New Roman" w:eastAsia="方正仿宋_GBK"/>
        </w:rPr>
        <w:t>“</w:t>
      </w:r>
      <w:r>
        <w:rPr>
          <w:rFonts w:hint="eastAsia" w:ascii="Times New Roman" w:hAnsi="Times New Roman"/>
        </w:rPr>
        <w:t>品牌创强</w:t>
      </w:r>
      <w:r>
        <w:rPr>
          <w:rFonts w:hint="eastAsia" w:ascii="Times New Roman" w:hAnsi="Times New Roman" w:eastAsia="方正仿宋_GBK"/>
        </w:rPr>
        <w:t>”</w:t>
      </w:r>
      <w:r>
        <w:rPr>
          <w:rFonts w:hint="eastAsia" w:ascii="Times New Roman" w:hAnsi="Times New Roman"/>
        </w:rPr>
        <w:t>工程，推进农产品地理标志培育工作，加大对</w:t>
      </w:r>
      <w:r>
        <w:rPr>
          <w:rFonts w:hint="eastAsia" w:ascii="Times New Roman" w:hAnsi="Times New Roman" w:eastAsia="方正仿宋_GBK"/>
        </w:rPr>
        <w:t>“</w:t>
      </w:r>
      <w:r>
        <w:rPr>
          <w:rFonts w:hint="eastAsia" w:ascii="Times New Roman" w:hAnsi="Times New Roman"/>
        </w:rPr>
        <w:t>三品一标</w:t>
      </w:r>
      <w:r>
        <w:rPr>
          <w:rFonts w:hint="eastAsia" w:ascii="Times New Roman" w:hAnsi="Times New Roman" w:eastAsia="方正仿宋_GBK"/>
        </w:rPr>
        <w:t>”</w:t>
      </w:r>
      <w:r>
        <w:rPr>
          <w:rFonts w:hint="eastAsia" w:ascii="Times New Roman" w:hAnsi="Times New Roman"/>
        </w:rPr>
        <w:t>、地理标志保护产品认证力度，加强包装策划，擦亮</w:t>
      </w:r>
      <w:r>
        <w:rPr>
          <w:rFonts w:hint="eastAsia" w:ascii="Times New Roman" w:hAnsi="Times New Roman" w:eastAsia="方正仿宋_GBK"/>
        </w:rPr>
        <w:t>“</w:t>
      </w:r>
      <w:r>
        <w:rPr>
          <w:rFonts w:hint="eastAsia" w:ascii="Times New Roman" w:hAnsi="Times New Roman"/>
        </w:rPr>
        <w:t>托洞腐竹</w:t>
      </w:r>
      <w:r>
        <w:rPr>
          <w:rFonts w:hint="eastAsia" w:ascii="Times New Roman" w:hAnsi="Times New Roman" w:eastAsia="方正仿宋_GBK"/>
        </w:rPr>
        <w:t>”</w:t>
      </w:r>
      <w:r>
        <w:rPr>
          <w:rFonts w:hint="eastAsia" w:ascii="Times New Roman" w:hAnsi="Times New Roman"/>
        </w:rPr>
        <w:t>“云安蚕桑”</w:t>
      </w:r>
      <w:r>
        <w:rPr>
          <w:rFonts w:hint="eastAsia" w:ascii="Times New Roman" w:hAnsi="Times New Roman" w:eastAsia="方正仿宋_GBK"/>
        </w:rPr>
        <w:t>“</w:t>
      </w:r>
      <w:r>
        <w:rPr>
          <w:rFonts w:hint="eastAsia" w:ascii="Times New Roman" w:hAnsi="Times New Roman"/>
        </w:rPr>
        <w:t>云安肉牛”“云安花卉</w:t>
      </w:r>
      <w:r>
        <w:rPr>
          <w:rFonts w:hint="eastAsia" w:ascii="Times New Roman" w:hAnsi="Times New Roman" w:eastAsia="方正仿宋_GBK"/>
        </w:rPr>
        <w:t>”</w:t>
      </w:r>
      <w:r>
        <w:rPr>
          <w:rFonts w:hint="eastAsia" w:ascii="Times New Roman" w:hAnsi="Times New Roman"/>
        </w:rPr>
        <w:t>品牌。加大质量工作创新力度，持续推动产品质量全面提升，持续优化供给质量，推动产品供给向</w:t>
      </w:r>
      <w:r>
        <w:rPr>
          <w:rFonts w:ascii="Times New Roman" w:hAnsi="Times New Roman"/>
        </w:rPr>
        <w:t>“</w:t>
      </w:r>
      <w:r>
        <w:rPr>
          <w:rFonts w:hint="eastAsia" w:ascii="Times New Roman" w:hAnsi="Times New Roman"/>
        </w:rPr>
        <w:t>产品</w:t>
      </w:r>
      <w:r>
        <w:rPr>
          <w:rFonts w:ascii="Times New Roman" w:hAnsi="Times New Roman"/>
        </w:rPr>
        <w:t>+</w:t>
      </w:r>
      <w:r>
        <w:rPr>
          <w:rFonts w:hint="eastAsia" w:ascii="Times New Roman" w:hAnsi="Times New Roman"/>
        </w:rPr>
        <w:t>服务</w:t>
      </w:r>
      <w:r>
        <w:rPr>
          <w:rFonts w:ascii="Times New Roman" w:hAnsi="Times New Roman"/>
        </w:rPr>
        <w:t>”</w:t>
      </w:r>
      <w:r>
        <w:rPr>
          <w:rFonts w:hint="eastAsia" w:ascii="Times New Roman" w:hAnsi="Times New Roman"/>
        </w:rPr>
        <w:t>转变、向中高端迈进。</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72" w:name="_Toc70518100"/>
      <w:bookmarkStart w:id="73" w:name="_Toc72403408"/>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强化招商引资力度</w:t>
      </w:r>
      <w:bookmarkEnd w:id="72"/>
      <w:bookmarkEnd w:id="73"/>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拓宽招商模式。</w:t>
      </w:r>
      <w:r>
        <w:rPr>
          <w:rFonts w:hint="eastAsia" w:ascii="Times New Roman" w:hAnsi="Times New Roman" w:eastAsia="仿宋_GB2312" w:cs="Times New Roman"/>
          <w:sz w:val="32"/>
          <w:szCs w:val="32"/>
          <w:shd w:val="clear" w:color="auto" w:fill="FFFFFF"/>
        </w:rPr>
        <w:t>围绕云安区绿色循环产业园及南部工业园，密切关注高端装备制造、精细化工、氢能源等主导产业发展动态，根据行业发展需求梳理潜在招商对象名单，建立招商项目库和招商大数据，持续深入对接优质资源，集中突破承接落地，进一步强化产业链招商。依托广州对口合作平台和佛山南海帮扶平台，开展联合组织招商、联建招商网站、委托招商等，拓宽招商引资和投资促进新空间。力争每年引进一个以上投资超</w:t>
      </w:r>
      <w:r>
        <w:rPr>
          <w:rFonts w:ascii="Times New Roman" w:hAnsi="Times New Roman" w:eastAsia="仿宋_GB2312" w:cs="Times New Roman"/>
          <w:sz w:val="32"/>
          <w:szCs w:val="32"/>
          <w:shd w:val="clear" w:color="auto" w:fill="FFFFFF"/>
        </w:rPr>
        <w:t>10亿元项目、一批投资超亿元优质项目。</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健全招商机制。</w:t>
      </w:r>
      <w:r>
        <w:rPr>
          <w:rFonts w:hint="eastAsia" w:ascii="Times New Roman" w:hAnsi="Times New Roman" w:eastAsia="仿宋_GB2312" w:cs="Times New Roman"/>
          <w:sz w:val="32"/>
          <w:szCs w:val="32"/>
          <w:shd w:val="clear" w:color="auto" w:fill="FFFFFF"/>
        </w:rPr>
        <w:t>加强与协会、商会、企业的合作，完善以商招商、委托招商、专题招商工作机制。争取设立招商服务中心，落实项目跟踪服务督办机制，明确各级政府推进项目的主体责任，实施重大招商项目领导负责和专班落实制。按照规范化、程序化要求加快项目建设，对重大招商项目进展情况实施“周上报、月通报”制度。完善激励和容错机制，畅通招商项目审批绿色通道，努力营造零障碍、低成本、高效率的招商落地环境，打造投资落户首选地。</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74" w:name="_Toc70518101"/>
      <w:bookmarkStart w:id="75" w:name="_Toc72403409"/>
      <w:bookmarkStart w:id="76" w:name="_Toc56537391"/>
      <w:r>
        <w:rPr>
          <w:rFonts w:hint="eastAsia" w:ascii="Times New Roman" w:hAnsi="Times New Roman" w:eastAsia="黑体" w:cs="Times New Roman"/>
          <w:b w:val="0"/>
          <w:bCs w:val="0"/>
          <w:sz w:val="32"/>
          <w:szCs w:val="32"/>
        </w:rPr>
        <w:t>第六章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坚持“全域东融”发展路径，打造东进融湾桥头堡</w:t>
      </w:r>
      <w:bookmarkEnd w:id="74"/>
      <w:bookmarkEnd w:id="75"/>
      <w:bookmarkEnd w:id="76"/>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深度融入“双区”建设，</w:t>
      </w:r>
      <w:r>
        <w:rPr>
          <w:rFonts w:ascii="Times New Roman" w:hAnsi="Times New Roman" w:eastAsia="仿宋_GB2312" w:cs="仿宋_GB2312"/>
          <w:sz w:val="32"/>
          <w:szCs w:val="32"/>
        </w:rPr>
        <w:t>打破思维定势和条框限制，借鉴大湾区的好经验、好做法，率先在</w:t>
      </w:r>
      <w:r>
        <w:rPr>
          <w:rFonts w:hint="eastAsia" w:ascii="Times New Roman" w:hAnsi="Times New Roman" w:eastAsia="仿宋_GB2312" w:cs="仿宋_GB2312"/>
          <w:sz w:val="32"/>
          <w:szCs w:val="32"/>
        </w:rPr>
        <w:t>交通互联、体制互通、产业共建、服务共享等方</w:t>
      </w:r>
      <w:r>
        <w:rPr>
          <w:rFonts w:ascii="Times New Roman" w:hAnsi="Times New Roman" w:eastAsia="仿宋_GB2312" w:cs="仿宋_GB2312"/>
          <w:sz w:val="32"/>
          <w:szCs w:val="32"/>
        </w:rPr>
        <w:t>面与大湾区接轨</w:t>
      </w:r>
      <w:r>
        <w:rPr>
          <w:rFonts w:hint="eastAsia" w:ascii="Times New Roman" w:hAnsi="Times New Roman" w:eastAsia="仿宋_GB2312" w:cs="仿宋_GB2312"/>
          <w:sz w:val="32"/>
          <w:szCs w:val="32"/>
        </w:rPr>
        <w:t>，以点带面探索政策共享、社会共融，力争在东进融湾中赢得先机、拔得头筹。</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77" w:name="_Toc72403410"/>
      <w:bookmarkStart w:id="78" w:name="_Toc70518102"/>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着力打造区域“门户枢纽”</w:t>
      </w:r>
      <w:bookmarkEnd w:id="77"/>
      <w:bookmarkEnd w:id="78"/>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打造大湾区沟通大西南的重要航运枢纽。</w:t>
      </w:r>
      <w:r>
        <w:rPr>
          <w:rFonts w:hint="eastAsia" w:ascii="Times New Roman" w:hAnsi="Times New Roman" w:eastAsia="仿宋_GB2312" w:cs="Times New Roman"/>
          <w:sz w:val="32"/>
          <w:szCs w:val="32"/>
          <w:shd w:val="clear" w:color="auto" w:fill="FFFFFF"/>
        </w:rPr>
        <w:t>巩固广东内河第一大港优势，推进西江航道数字化、信息化管理，提升西江航道等级和通航能力，优化内贸集装箱航线，区域共建西江流域江海联运网络。整合沿江码头岸线资源，推动云浮新港扩能升级，加快建设广州云浮国际物流港，打造“珠江—西江经济带”重要航运枢纽。加强与大湾区港口群航运联系，加快开辟物流园区的集疏运新通道，鼓励发展铁水联运、公水联运、水水中转等先进运输组织形式。</w:t>
      </w:r>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cs="Times New Roman"/>
          <w:b/>
          <w:bCs/>
          <w:sz w:val="32"/>
          <w:szCs w:val="32"/>
          <w:shd w:val="clear" w:color="auto" w:fill="FFFFFF"/>
        </w:rPr>
        <w:t>打通陆路交通“大动脉”。</w:t>
      </w:r>
      <w:r>
        <w:rPr>
          <w:rFonts w:hint="eastAsia" w:ascii="Times New Roman" w:hAnsi="Times New Roman" w:eastAsia="仿宋_GB2312" w:cs="Times New Roman"/>
          <w:sz w:val="32"/>
          <w:szCs w:val="32"/>
          <w:shd w:val="clear" w:color="auto" w:fill="FFFFFF"/>
        </w:rPr>
        <w:t>加强与湾区城市交通设施互联</w:t>
      </w:r>
      <w:r>
        <w:rPr>
          <w:rFonts w:ascii="Times New Roman" w:hAnsi="Times New Roman" w:eastAsia="仿宋_GB2312" w:cs="Times New Roman"/>
          <w:sz w:val="32"/>
          <w:szCs w:val="32"/>
          <w:shd w:val="clear" w:color="auto" w:fill="FFFFFF"/>
        </w:rPr>
        <w:t>，加快融入“大湾区一小时交通圈”。</w:t>
      </w:r>
      <w:r>
        <w:rPr>
          <w:rFonts w:hint="eastAsia" w:ascii="Times New Roman" w:hAnsi="Times New Roman" w:eastAsia="仿宋_GB2312" w:cs="Times New Roman"/>
          <w:sz w:val="32"/>
          <w:szCs w:val="32"/>
          <w:shd w:val="clear" w:color="auto" w:fill="FFFFFF"/>
        </w:rPr>
        <w:t>重点推进云安区新干线公路建设项目（西江</w:t>
      </w:r>
      <w:r>
        <w:rPr>
          <w:rFonts w:ascii="Times New Roman" w:hAnsi="Times New Roman" w:eastAsia="仿宋_GB2312" w:cs="Times New Roman"/>
          <w:sz w:val="32"/>
          <w:szCs w:val="32"/>
          <w:shd w:val="clear" w:color="auto" w:fill="FFFFFF"/>
        </w:rPr>
        <w:t>-南海“一带一路”交通基础设施）</w:t>
      </w:r>
      <w:r>
        <w:rPr>
          <w:rFonts w:hint="eastAsia" w:ascii="Times New Roman" w:hAnsi="Times New Roman" w:eastAsia="仿宋_GB2312" w:cs="Times New Roman"/>
          <w:sz w:val="32"/>
          <w:szCs w:val="32"/>
          <w:shd w:val="clear" w:color="auto" w:fill="FFFFFF"/>
        </w:rPr>
        <w:t>，往南打通阳江港出海港，往北谋划建设云安</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德庆西江大桥，实现全区南北中心镇全域快速联通。加强与广昆、岑深高速衔接，加快</w:t>
      </w:r>
      <w:r>
        <w:rPr>
          <w:rFonts w:ascii="Times New Roman" w:hAnsi="Times New Roman" w:eastAsia="仿宋_GB2312" w:cs="Times New Roman"/>
          <w:sz w:val="32"/>
          <w:szCs w:val="32"/>
          <w:shd w:val="clear" w:color="auto" w:fill="FFFFFF"/>
        </w:rPr>
        <w:t>推进</w:t>
      </w:r>
      <w:r>
        <w:rPr>
          <w:rFonts w:hint="eastAsia" w:ascii="Times New Roman" w:hAnsi="Times New Roman" w:eastAsia="仿宋_GB2312" w:cs="Times New Roman"/>
          <w:sz w:val="32"/>
          <w:szCs w:val="32"/>
          <w:shd w:val="clear" w:color="auto" w:fill="FFFFFF"/>
        </w:rPr>
        <w:t>广佛肇云高速路建设，配合市统筹谋划推进南深高铁、广湛高铁等轨道交通建设。</w:t>
      </w:r>
      <w:bookmarkStart w:id="79" w:name="_Hlk57291555"/>
      <w:r>
        <w:rPr>
          <w:rFonts w:hint="eastAsia" w:ascii="Times New Roman" w:hAnsi="Times New Roman" w:eastAsia="仿宋_GB2312" w:cs="Times New Roman"/>
          <w:sz w:val="32"/>
          <w:szCs w:val="32"/>
          <w:shd w:val="clear" w:color="auto" w:fill="FFFFFF"/>
        </w:rPr>
        <w:t>加快推进港口、高铁站和高速公路出入口周边道路等一批区域路网建设</w:t>
      </w:r>
      <w:bookmarkEnd w:id="79"/>
      <w:r>
        <w:rPr>
          <w:rFonts w:hint="eastAsia" w:ascii="Times New Roman" w:hAnsi="Times New Roman" w:eastAsia="仿宋_GB2312" w:cs="Times New Roman"/>
          <w:sz w:val="32"/>
          <w:szCs w:val="32"/>
          <w:shd w:val="clear" w:color="auto" w:fill="FFFFFF"/>
        </w:rPr>
        <w:t>，打通全域连接湾区城市的“快速通道”。</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80" w:name="_Toc72403411"/>
      <w:bookmarkStart w:id="81" w:name="_Toc70518103"/>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探索规则融合新实践</w:t>
      </w:r>
      <w:bookmarkEnd w:id="80"/>
      <w:bookmarkEnd w:id="81"/>
    </w:p>
    <w:p>
      <w:pPr>
        <w:spacing w:line="600" w:lineRule="exact"/>
        <w:ind w:firstLine="642" w:firstLineChars="200"/>
        <w:rPr>
          <w:rFonts w:ascii="Times New Roman" w:hAnsi="Times New Roman" w:eastAsia="仿宋_GB2312" w:cs="Times New Roman"/>
          <w:sz w:val="32"/>
          <w:szCs w:val="32"/>
          <w:shd w:val="clear" w:color="auto" w:fill="FFFFFF"/>
        </w:rPr>
      </w:pPr>
      <w:bookmarkStart w:id="82" w:name="_Hlk57291696"/>
      <w:r>
        <w:rPr>
          <w:rFonts w:hint="eastAsia" w:ascii="Times New Roman" w:hAnsi="Times New Roman" w:eastAsia="仿宋_GB2312" w:cs="Times New Roman"/>
          <w:b/>
          <w:bCs/>
          <w:sz w:val="32"/>
          <w:szCs w:val="32"/>
          <w:shd w:val="clear" w:color="auto" w:fill="FFFFFF"/>
        </w:rPr>
        <w:t>创新区域合作机制。</w:t>
      </w:r>
      <w:bookmarkEnd w:id="82"/>
      <w:r>
        <w:rPr>
          <w:rFonts w:hint="eastAsia" w:ascii="Times New Roman" w:hAnsi="Times New Roman" w:eastAsia="仿宋_GB2312" w:cs="Times New Roman"/>
          <w:sz w:val="32"/>
          <w:szCs w:val="32"/>
          <w:shd w:val="clear" w:color="auto" w:fill="FFFFFF"/>
        </w:rPr>
        <w:t>探索湾区合作新模式</w:t>
      </w:r>
      <w:bookmarkStart w:id="83" w:name="_Hlk57291713"/>
      <w:r>
        <w:rPr>
          <w:rFonts w:hint="eastAsia" w:ascii="Times New Roman" w:hAnsi="Times New Roman" w:eastAsia="仿宋_GB2312" w:cs="Times New Roman"/>
          <w:sz w:val="32"/>
          <w:szCs w:val="32"/>
          <w:shd w:val="clear" w:color="auto" w:fill="FFFFFF"/>
        </w:rPr>
        <w:t>，采用“共同规划、合作开发、共同管理、共享利益”的合作方式，引进湾区规划建设、社会服务、经济管理等方面的技术和服务经验，为云安及新区的发展提供空间。</w:t>
      </w:r>
      <w:bookmarkEnd w:id="83"/>
      <w:r>
        <w:rPr>
          <w:rFonts w:hint="eastAsia" w:ascii="Times New Roman" w:hAnsi="Times New Roman" w:eastAsia="仿宋_GB2312" w:cs="Times New Roman"/>
          <w:sz w:val="32"/>
          <w:szCs w:val="32"/>
          <w:shd w:val="clear" w:color="auto" w:fill="FFFFFF"/>
        </w:rPr>
        <w:t>促进西江流域上下游合作发展，加强流域生态环境共建共治，建立健全与上下游毗邻省市规划对接机制，协调解决地区间合作发展重大问题。深化与南海区对口帮扶，抓住珠三角村级工业园改造契机，建立动态产业转移项目库，完善利益共享机制，精准导向产业转移。</w:t>
      </w:r>
    </w:p>
    <w:p>
      <w:pPr>
        <w:spacing w:line="600" w:lineRule="exact"/>
        <w:ind w:firstLine="642" w:firstLineChars="200"/>
        <w:rPr>
          <w:rFonts w:ascii="Times New Roman" w:hAnsi="Times New Roman" w:eastAsia="仿宋_GB2312" w:cs="Times New Roman"/>
          <w:b/>
          <w:bCs/>
          <w:sz w:val="32"/>
          <w:szCs w:val="32"/>
          <w:shd w:val="clear" w:color="auto" w:fill="FFFFFF"/>
        </w:rPr>
      </w:pPr>
      <w:bookmarkStart w:id="84" w:name="_Hlk57291742"/>
      <w:r>
        <w:rPr>
          <w:rFonts w:hint="eastAsia" w:ascii="Times New Roman" w:hAnsi="Times New Roman" w:eastAsia="仿宋_GB2312" w:cs="Times New Roman"/>
          <w:b/>
          <w:bCs/>
          <w:sz w:val="32"/>
          <w:szCs w:val="32"/>
          <w:shd w:val="clear" w:color="auto" w:fill="FFFFFF"/>
        </w:rPr>
        <w:t>探索政策创新。</w:t>
      </w:r>
      <w:bookmarkEnd w:id="84"/>
      <w:r>
        <w:rPr>
          <w:rFonts w:hint="eastAsia" w:ascii="Times New Roman" w:hAnsi="Times New Roman" w:eastAsia="仿宋_GB2312" w:cs="Times New Roman"/>
          <w:sz w:val="32"/>
          <w:szCs w:val="32"/>
          <w:shd w:val="clear" w:color="auto" w:fill="FFFFFF"/>
        </w:rPr>
        <w:t>对新区新增建设用地探索实行建设用地计划单列。对具有区域重大意义、有助于提升我区整体竞争力的项目，在土地利用指标等方面给予计划单列的重点支持。探索通过政府划拨或给予特许开发权的方式，直接或间接引进大湾区优质企业参与云安及新区开发。探索实施差别化土地政策，发挥市场杠杆作用提高经营性用地利用效率。创新投融资新模式，引导金融机构深度参与区内投资项目建设，鼓励融资担保机构为项目融资提供担保支持，支持符合条件的企业通过改制上市和发行企业债券、中期票据、产业基金等方式直接融资。放宽市场准入，</w:t>
      </w:r>
      <w:bookmarkStart w:id="85" w:name="_Hlk57291756"/>
      <w:r>
        <w:rPr>
          <w:rFonts w:hint="eastAsia" w:ascii="Times New Roman" w:hAnsi="Times New Roman" w:eastAsia="仿宋_GB2312" w:cs="Times New Roman"/>
          <w:sz w:val="32"/>
          <w:szCs w:val="32"/>
          <w:shd w:val="clear" w:color="auto" w:fill="FFFFFF"/>
        </w:rPr>
        <w:t>鼓励社会资本、境外资本以多种形式投资我区公共服务领域。</w:t>
      </w:r>
      <w:bookmarkEnd w:id="85"/>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86" w:name="_Toc70518104"/>
      <w:bookmarkStart w:id="87" w:name="_Toc72403412"/>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加快产业发展</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入珠融湾</w:t>
      </w:r>
      <w:r>
        <w:rPr>
          <w:rFonts w:ascii="Times New Roman" w:hAnsi="Times New Roman" w:eastAsia="楷体_GB2312" w:cs="Times New Roman"/>
          <w:kern w:val="0"/>
          <w:sz w:val="32"/>
          <w:szCs w:val="32"/>
        </w:rPr>
        <w:t>”</w:t>
      </w:r>
      <w:bookmarkEnd w:id="86"/>
      <w:bookmarkEnd w:id="87"/>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搭建合作平台载体。</w:t>
      </w:r>
      <w:bookmarkStart w:id="88" w:name="_Hlk57291800"/>
      <w:r>
        <w:rPr>
          <w:rFonts w:hint="eastAsia" w:ascii="Times New Roman" w:hAnsi="Times New Roman" w:eastAsia="仿宋_GB2312" w:cs="Times New Roman"/>
          <w:sz w:val="32"/>
          <w:szCs w:val="32"/>
          <w:shd w:val="clear" w:color="auto" w:fill="FFFFFF"/>
        </w:rPr>
        <w:t>探索建设对口合作重点园区，深化与南海区新一轮对口帮扶，引进先进经验、管理团队，创新管理体制和运行机制，吸引优势产业集聚。大力引进湾区核心城市重点园区在云安设立分园区，支持发展“飞地经济”。</w:t>
      </w:r>
      <w:bookmarkEnd w:id="88"/>
      <w:r>
        <w:rPr>
          <w:rFonts w:hint="eastAsia" w:ascii="Times New Roman" w:hAnsi="Times New Roman" w:eastAsia="仿宋_GB2312" w:cs="Times New Roman"/>
          <w:sz w:val="32"/>
          <w:szCs w:val="32"/>
          <w:shd w:val="clear" w:color="auto" w:fill="FFFFFF"/>
        </w:rPr>
        <w:t>探索与南海金融高新区合作，在新区建设“金融服务飞地”，打造全市金融港。研究建立对口合作产业联盟及产教联盟，引导大湾区与云安区行业协会商会等对接合作，促进理念互融、信息互通、资源互享。鼓励举办云安区与大湾区对口合作论坛。</w:t>
      </w:r>
    </w:p>
    <w:p>
      <w:pPr>
        <w:spacing w:line="600" w:lineRule="exact"/>
        <w:ind w:firstLine="642" w:firstLineChars="200"/>
        <w:rPr>
          <w:rFonts w:ascii="Times New Roman" w:hAnsi="Times New Roman" w:eastAsia="仿宋_GB2312" w:cs="Times New Roman"/>
          <w:sz w:val="32"/>
          <w:szCs w:val="32"/>
          <w:shd w:val="clear" w:color="auto" w:fill="FFFFFF"/>
        </w:rPr>
      </w:pPr>
      <w:bookmarkStart w:id="89" w:name="_Hlk57291816"/>
      <w:r>
        <w:rPr>
          <w:rFonts w:hint="eastAsia" w:ascii="Times New Roman" w:hAnsi="Times New Roman" w:eastAsia="仿宋_GB2312" w:cs="Times New Roman"/>
          <w:b/>
          <w:bCs/>
          <w:sz w:val="32"/>
          <w:szCs w:val="32"/>
          <w:shd w:val="clear" w:color="auto" w:fill="FFFFFF"/>
        </w:rPr>
        <w:t>强化产业共建。</w:t>
      </w:r>
      <w:r>
        <w:rPr>
          <w:rFonts w:hint="eastAsia" w:ascii="Times New Roman" w:hAnsi="Times New Roman" w:eastAsia="仿宋_GB2312" w:cs="Times New Roman"/>
          <w:sz w:val="32"/>
          <w:szCs w:val="32"/>
          <w:shd w:val="clear" w:color="auto" w:fill="FFFFFF"/>
        </w:rPr>
        <w:t>全面融入珠江西岸先进装备制造产业带建设，实现与珠三角地区联动发展。</w:t>
      </w:r>
      <w:bookmarkEnd w:id="89"/>
      <w:r>
        <w:rPr>
          <w:rFonts w:hint="eastAsia" w:ascii="Times New Roman" w:hAnsi="Times New Roman" w:eastAsia="仿宋_GB2312" w:cs="Times New Roman"/>
          <w:sz w:val="32"/>
          <w:szCs w:val="32"/>
          <w:shd w:val="clear" w:color="auto" w:fill="FFFFFF"/>
        </w:rPr>
        <w:t>积极探索构建“湾区总部</w:t>
      </w:r>
      <w:r>
        <w:rPr>
          <w:rFonts w:ascii="Times New Roman" w:hAnsi="Times New Roman" w:eastAsia="仿宋_GB2312" w:cs="Times New Roman"/>
          <w:sz w:val="32"/>
          <w:szCs w:val="32"/>
          <w:shd w:val="clear" w:color="auto" w:fill="FFFFFF"/>
        </w:rPr>
        <w:t>+云安基地”“湾区总装+云安配套”“湾区前端+云安后台”“湾区研发+云安制造”“湾区孵化+云安产业化”等合作共建模式，主动融入“双区”产业分工体系。大力引进大湾区优质企业和项目</w:t>
      </w:r>
      <w:r>
        <w:rPr>
          <w:rFonts w:hint="eastAsia" w:ascii="Times New Roman" w:hAnsi="Times New Roman" w:eastAsia="仿宋_GB2312" w:cs="Times New Roman"/>
          <w:sz w:val="32"/>
          <w:szCs w:val="32"/>
          <w:shd w:val="clear" w:color="auto" w:fill="FFFFFF"/>
        </w:rPr>
        <w:t>，打造大湾区西岸金属智造配套基地、绿色日化产业承载基地、绿色建材生产供应基地、优质鲜活农产品供应基地、大湾区康养旅游基地。</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90" w:name="_Toc72403413"/>
      <w:bookmarkStart w:id="91" w:name="_Toc70518105"/>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推动区域合作新发展</w:t>
      </w:r>
      <w:bookmarkEnd w:id="90"/>
      <w:bookmarkEnd w:id="91"/>
    </w:p>
    <w:p>
      <w:pPr>
        <w:spacing w:line="600" w:lineRule="exact"/>
        <w:ind w:firstLine="642" w:firstLineChars="200"/>
        <w:rPr>
          <w:rFonts w:ascii="Times New Roman" w:hAnsi="Times New Roman" w:eastAsia="仿宋_GB2312" w:cs="Times New Roman"/>
          <w:sz w:val="32"/>
          <w:szCs w:val="32"/>
          <w:shd w:val="clear" w:color="auto" w:fill="FFFFFF"/>
        </w:rPr>
      </w:pPr>
      <w:bookmarkStart w:id="92" w:name="_Hlk57291834"/>
      <w:r>
        <w:rPr>
          <w:rFonts w:hint="eastAsia" w:ascii="Times New Roman" w:hAnsi="Times New Roman" w:eastAsia="仿宋_GB2312" w:cs="Times New Roman"/>
          <w:b/>
          <w:bCs/>
          <w:sz w:val="32"/>
          <w:szCs w:val="32"/>
          <w:shd w:val="clear" w:color="auto" w:fill="FFFFFF"/>
        </w:rPr>
        <w:t>推进西江生态经济走廊建设。</w:t>
      </w:r>
      <w:bookmarkEnd w:id="92"/>
      <w:r>
        <w:rPr>
          <w:rFonts w:hint="eastAsia" w:ascii="Times New Roman" w:hAnsi="Times New Roman" w:eastAsia="仿宋_GB2312" w:cs="Times New Roman"/>
          <w:sz w:val="32"/>
          <w:szCs w:val="32"/>
          <w:shd w:val="clear" w:color="auto" w:fill="FFFFFF"/>
        </w:rPr>
        <w:t>以“六都港区</w:t>
      </w:r>
      <w:r>
        <w:rPr>
          <w:rFonts w:ascii="Times New Roman" w:hAnsi="Times New Roman" w:eastAsia="仿宋_GB2312" w:cs="Times New Roman"/>
          <w:sz w:val="32"/>
          <w:szCs w:val="32"/>
          <w:shd w:val="clear" w:color="auto" w:fill="FFFFFF"/>
        </w:rPr>
        <w:t>-都杨港区”为核心，依托西江江海联运的航运枢纽，以云安循环产业集聚区、云浮新区、都杨工业园等重大平台为引领，培育临港经济全产业链，促进临港产业快速健康发展，打造西江流域港产城高质量发展极核，把云安西江沿岸打造成特色产业创新发展带、绿色生态旅游带、乡村振兴示范带和湾区能源供给保障带。</w:t>
      </w:r>
      <w:r>
        <w:rPr>
          <w:rFonts w:hint="eastAsia" w:ascii="Times New Roman" w:hAnsi="Times New Roman" w:eastAsia="仿宋_GB2312" w:cs="Times New Roman"/>
          <w:sz w:val="32"/>
          <w:szCs w:val="32"/>
          <w:shd w:val="clear" w:color="auto" w:fill="FFFFFF"/>
        </w:rPr>
        <w:t>聚焦产业链核心环节和价值链高端地位，以重点“布局”带动“全局”，集聚发展人工智能、智能网联汽车、绿色再制造等前沿产业，促进产业基础高级化和产业链现代化，打造区域合作发展的“点火器”。推进西江绿色生态旅游产业走廊建设，</w:t>
      </w:r>
      <w:r>
        <w:rPr>
          <w:rFonts w:ascii="Times New Roman" w:hAnsi="Times New Roman" w:eastAsia="仿宋_GB2312" w:cs="Times New Roman"/>
          <w:sz w:val="32"/>
          <w:szCs w:val="32"/>
          <w:shd w:val="clear" w:color="auto" w:fill="FFFFFF"/>
        </w:rPr>
        <w:t>引领全区融入粤港澳大湾区发展。抓好西江岸线资源环境</w:t>
      </w:r>
      <w:r>
        <w:rPr>
          <w:rFonts w:hint="eastAsia" w:ascii="Times New Roman" w:hAnsi="Times New Roman" w:eastAsia="仿宋_GB2312" w:cs="Times New Roman"/>
          <w:sz w:val="32"/>
          <w:szCs w:val="32"/>
          <w:shd w:val="clear" w:color="auto" w:fill="FFFFFF"/>
        </w:rPr>
        <w:t>综合治理，建设西江风景线。依托金鱼沙生态资源，打造西江旅游第一滩。充分挖掘陈</w:t>
      </w:r>
      <w:r>
        <w:rPr>
          <w:rFonts w:hint="eastAsia" w:ascii="Times New Roman" w:hAnsi="Times New Roman" w:eastAsia="微软雅黑" w:cs="微软雅黑"/>
          <w:sz w:val="32"/>
          <w:szCs w:val="32"/>
          <w:shd w:val="clear" w:color="auto" w:fill="FFFFFF"/>
        </w:rPr>
        <w:t>璘</w:t>
      </w:r>
      <w:r>
        <w:rPr>
          <w:rFonts w:ascii="Times New Roman" w:hAnsi="Times New Roman" w:eastAsia="仿宋_GB2312" w:cs="Times New Roman"/>
          <w:sz w:val="32"/>
          <w:szCs w:val="32"/>
          <w:shd w:val="clear" w:color="auto" w:fill="FFFFFF"/>
        </w:rPr>
        <w:t>历史文化，精心打造陈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古驿道，建设陈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文化主题公园，整</w:t>
      </w:r>
      <w:r>
        <w:rPr>
          <w:rFonts w:hint="eastAsia" w:ascii="Times New Roman" w:hAnsi="Times New Roman" w:eastAsia="仿宋_GB2312" w:cs="Times New Roman"/>
          <w:sz w:val="32"/>
          <w:szCs w:val="32"/>
          <w:shd w:val="clear" w:color="auto" w:fill="FFFFFF"/>
        </w:rPr>
        <w:t>合建设六都古圩市、古驿道旅游线路，打造一批西江知名旅游景点。</w:t>
      </w:r>
    </w:p>
    <w:p>
      <w:pPr>
        <w:spacing w:line="600" w:lineRule="exact"/>
        <w:ind w:firstLine="642" w:firstLineChars="200"/>
        <w:rPr>
          <w:rFonts w:ascii="Times New Roman" w:hAnsi="Times New Roman" w:eastAsia="仿宋_GB2312" w:cs="Times New Roman"/>
          <w:sz w:val="32"/>
          <w:szCs w:val="32"/>
          <w:shd w:val="clear" w:color="auto" w:fill="FFFFFF"/>
        </w:rPr>
      </w:pPr>
      <w:bookmarkStart w:id="93" w:name="_Hlk57291858"/>
      <w:r>
        <w:rPr>
          <w:rFonts w:hint="eastAsia" w:ascii="Times New Roman" w:hAnsi="Times New Roman" w:eastAsia="仿宋_GB2312" w:cs="Times New Roman"/>
          <w:b/>
          <w:bCs/>
          <w:sz w:val="32"/>
          <w:szCs w:val="32"/>
          <w:shd w:val="clear" w:color="auto" w:fill="FFFFFF"/>
        </w:rPr>
        <w:t>加快发展南部片区。</w:t>
      </w:r>
      <w:bookmarkEnd w:id="93"/>
      <w:r>
        <w:rPr>
          <w:rFonts w:hint="eastAsia" w:ascii="Times New Roman" w:hAnsi="Times New Roman" w:eastAsia="仿宋_GB2312" w:cs="Times New Roman"/>
          <w:sz w:val="32"/>
          <w:szCs w:val="32"/>
          <w:shd w:val="clear" w:color="auto" w:fill="FFFFFF"/>
        </w:rPr>
        <w:t>充分发掘利用南部高村、白石、镇安、富林和石城五镇的自然资源、生态资源、土地资源、农业资源，加快开辟南部工业第二战场，推动生态旅游、特色农业发展，突出将镇安、富林打造成南部中心镇，开发建设南部片区。高村镇突出桑蚕养殖和加工、油茶、花卉苗木种植以及生猪养殖等农业主导产业，大力发展设施农业、高效农业、生态农业和休闲农业，打造现代农业特色小镇。白石镇发展农副产品、花卉苗木加工产业；完善休闲旅游配套服务，促进乡村旅游和生态休闲旅游产业化。镇安镇全力建设云安高端制造产业转移园，打造“广东省有色金属智造产业基地”；完善产业平台服务，打造“省级电子商务示范基地”。富林镇以观光体验、文化休闲旅游及配套服务产业为主导，配套发展特色农业种植。石城镇加快现有石材产业的转型升级，依托石材产业城和云雾山生态资源，培育新产业、新业态、新模式，打造农业产业强镇、综合建材大镇、康养休闲名镇、一二三产业融合特色镇。</w:t>
      </w:r>
    </w:p>
    <w:p>
      <w:pPr>
        <w:spacing w:line="600" w:lineRule="exact"/>
        <w:ind w:firstLine="642" w:firstLineChars="200"/>
        <w:rPr>
          <w:rFonts w:ascii="Times New Roman" w:hAnsi="Times New Roman" w:eastAsia="仿宋_GB2312" w:cs="Times New Roman"/>
          <w:sz w:val="32"/>
          <w:szCs w:val="32"/>
          <w:shd w:val="clear" w:color="auto" w:fill="FFFFFF"/>
        </w:rPr>
      </w:pPr>
      <w:bookmarkStart w:id="94" w:name="_Hlk57291870"/>
      <w:r>
        <w:rPr>
          <w:rFonts w:hint="eastAsia" w:ascii="Times New Roman" w:hAnsi="Times New Roman" w:eastAsia="仿宋_GB2312" w:cs="Times New Roman"/>
          <w:b/>
          <w:bCs/>
          <w:sz w:val="32"/>
          <w:szCs w:val="32"/>
          <w:shd w:val="clear" w:color="auto" w:fill="FFFFFF"/>
        </w:rPr>
        <w:t>加速融入广州都市圈。</w:t>
      </w:r>
      <w:r>
        <w:rPr>
          <w:rFonts w:hint="eastAsia" w:ascii="Times New Roman" w:hAnsi="Times New Roman" w:eastAsia="仿宋_GB2312" w:cs="Times New Roman"/>
          <w:sz w:val="32"/>
          <w:szCs w:val="32"/>
          <w:shd w:val="clear" w:color="auto" w:fill="FFFFFF"/>
        </w:rPr>
        <w:t>减少行政区域壁垒，以公共服务在都市圈内同城化为目标，协商建立教育卫生等服务设施共建共治共享机制，积极对接都市圈内的生态、交通走廊，以劳动力、资本、技术等要素自由流动促进都市圈建设。</w:t>
      </w:r>
      <w:bookmarkEnd w:id="94"/>
      <w:r>
        <w:rPr>
          <w:rFonts w:hint="eastAsia" w:ascii="Times New Roman" w:hAnsi="Times New Roman" w:eastAsia="仿宋_GB2312" w:cs="Times New Roman"/>
          <w:sz w:val="32"/>
          <w:szCs w:val="32"/>
          <w:shd w:val="clear" w:color="auto" w:fill="FFFFFF"/>
        </w:rPr>
        <w:t>依托云安地理区位优势、空间承载优势、资源禀赋优势，积极承接都市圈中心城市功能疏解，加速广州都市圈向多核多心的更高形态迈进，增强区域协同发展水平。</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95" w:name="_Toc72403414"/>
      <w:bookmarkStart w:id="96" w:name="_Toc70518106"/>
      <w:bookmarkStart w:id="97" w:name="_Toc56537392"/>
      <w:r>
        <w:rPr>
          <w:rFonts w:hint="eastAsia" w:ascii="Times New Roman" w:hAnsi="Times New Roman" w:eastAsia="黑体" w:cs="Times New Roman"/>
          <w:b w:val="0"/>
          <w:bCs w:val="0"/>
          <w:sz w:val="32"/>
          <w:szCs w:val="32"/>
        </w:rPr>
        <w:t>第七章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全面深化改革开放，激发经济发展活力</w:t>
      </w:r>
      <w:bookmarkEnd w:id="95"/>
      <w:bookmarkEnd w:id="96"/>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全面深化改革，以重点领域和关键环节改革为突破口，加快推进供给侧结构性改革，着力突破体制机制障碍，释放深层次的改革红利，增强转型发展功能，实现更有效率、更加公平和更可持续的发展，争当全市深化改革排头兵。</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98" w:name="_Toc72403415"/>
      <w:bookmarkStart w:id="99" w:name="_Toc70518107"/>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建设投资兴业首选地</w:t>
      </w:r>
      <w:bookmarkEnd w:id="98"/>
      <w:bookmarkEnd w:id="99"/>
    </w:p>
    <w:p>
      <w:pPr>
        <w:pStyle w:val="11"/>
        <w:ind w:firstLine="643"/>
        <w:rPr>
          <w:rFonts w:ascii="Times New Roman" w:hAnsi="Times New Roman" w:cs="仿宋_GB2312"/>
          <w:szCs w:val="32"/>
        </w:rPr>
      </w:pPr>
      <w:r>
        <w:rPr>
          <w:rFonts w:hint="eastAsia" w:ascii="Times New Roman" w:hAnsi="Times New Roman" w:cs="仿宋_GB2312"/>
          <w:b/>
          <w:bCs/>
          <w:szCs w:val="32"/>
        </w:rPr>
        <w:t>持续优化营商环境。</w:t>
      </w:r>
      <w:r>
        <w:rPr>
          <w:rFonts w:hint="eastAsia" w:ascii="Times New Roman" w:hAnsi="Times New Roman" w:cs="仿宋_GB2312"/>
          <w:szCs w:val="32"/>
        </w:rPr>
        <w:t>持续深入开展“转作风提效能优环境”活动，坚持对标对表湾区，精准查漏补缺，推进政府数据开放共享。建设云安区掌上数窗系统，汇聚各镇各部门共享数据，形成经济发展、财政收支、重点项目、城市建设等十三大主题数据库，辅助行政运行监测、决策支持、数据分析、联动指挥，实现“指尖理政”。持续推动“放管服”改革，深化商事制度改革，推进“证照分离”改革，营造宽松便捷的市场准入环境。积极探索区域化评估、标准地供地、“双容双承诺”审批。全面实施工程建设项目并联审批制度。构建“亲”“清”新型政商关系，建立健全规范化、机制化政企沟通渠道。</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充分激发市场主体活力。</w:t>
      </w:r>
      <w:r>
        <w:rPr>
          <w:rFonts w:hint="eastAsia" w:ascii="Times New Roman" w:hAnsi="Times New Roman" w:cs="仿宋_GB2312"/>
          <w:szCs w:val="32"/>
        </w:rPr>
        <w:t>推进国有企业改革，整合盘活国有资产资源，完善业务板块设置、完善法人治理，提高队伍专业化水平，推动国有企业向组织架构扁平化、市场主体精简化、运营管理平台化转变，搭建区属融资平台。优化民营经济发展环境，依法平等保护民营企业产权和企业家权益。加强政银企对接，发挥资本市场功能作用，鼓励支持有条件的企业股改上市，推动企业做强做优做大。支持个体私营经济和中小微企业发展。加快推进中小企业服务体系和信用担保体系建设。支持民营企业建立现代企业制度，开展规范化公司制改造，实现企业产权多元化、治理规范化、管理科学化。</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加快完善要素市场化配置。</w:t>
      </w:r>
      <w:r>
        <w:rPr>
          <w:rFonts w:hint="eastAsia" w:ascii="Times New Roman" w:hAnsi="Times New Roman" w:cs="仿宋_GB2312"/>
          <w:szCs w:val="32"/>
        </w:rPr>
        <w:t>坚持有效市场与有为政府相结合，提高资源配置效率。探索知识、技术、信息、数据等新生产要素配置机制，完善政府信息公开和企业信息披露制度，推动数据资源开放共享。深入实施全域土地综合整治试点工作，加快闲置低效用地清理，积极盘活存量用地。深化户籍制度改革，推动劳动力要素在城乡间的有序流动，建立健全职业技能评价制度。加强政银企对接，鼓励支持有条件的企业股改上市，优化云安资本市场。加快构建规则统一、公开透明、服务高效、监督规范的公共资源交易平台体系。强化数据安全保护，助推数字经济腾飞。</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00" w:name="_Toc72403416"/>
      <w:bookmarkStart w:id="101" w:name="_Toc70518108"/>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打造城乡融合发展改革样板</w:t>
      </w:r>
      <w:bookmarkEnd w:id="100"/>
      <w:bookmarkEnd w:id="101"/>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深化乡镇体制改革。</w:t>
      </w:r>
      <w:r>
        <w:rPr>
          <w:rFonts w:hint="eastAsia" w:ascii="Times New Roman" w:hAnsi="Times New Roman" w:cs="仿宋_GB2312"/>
          <w:szCs w:val="32"/>
        </w:rPr>
        <w:t>聚焦“强镇兴村”，加大对镇放权赋能力度，推动行政许可、行政处罚、行政强制、公共服务等区级经济社会管理权限下放镇，大力推进镇域经济和村集体经济发展。推进镇综合行政执法改革，加强镇综合行政执法机构建设，整合综合行政执法队伍，落实对镇综合行政执法“一统筹四统一”工作，提升执法效能。持续深化上下贯通、运行顺畅的工作机制，做好机构和职能之间的融合，持续完善优化区镇两级权责清单，理清职责边界。加快完善配套政策，加强对镇人财物等要素的支持，为基层履职提供保障。</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深化农村领域改革。</w:t>
      </w:r>
      <w:r>
        <w:rPr>
          <w:rFonts w:hint="eastAsia" w:ascii="Times New Roman" w:hAnsi="Times New Roman" w:eastAsia="仿宋_GB2312"/>
          <w:sz w:val="32"/>
          <w:szCs w:val="32"/>
          <w:shd w:val="clear" w:color="auto" w:fill="FFFFFF"/>
        </w:rPr>
        <w:t>推进农村土地制度改革。全面落实村庄规划，将宅基地和农房建设纳入规划管理范围，统筹安排农村各项土地利用活动，促进村集体土地规范、有序和可持续利用。落实农村土地承包关系稳定并长久不变政策，衔接落实好第二轮土地承包到期后再延长</w:t>
      </w:r>
      <w:r>
        <w:rPr>
          <w:rFonts w:ascii="Times New Roman" w:hAnsi="Times New Roman" w:eastAsia="仿宋_GB2312"/>
          <w:sz w:val="32"/>
          <w:szCs w:val="32"/>
          <w:shd w:val="clear" w:color="auto" w:fill="FFFFFF"/>
        </w:rPr>
        <w:t>30年的政策。</w:t>
      </w:r>
      <w:r>
        <w:rPr>
          <w:rFonts w:hint="eastAsia" w:ascii="Times New Roman" w:hAnsi="Times New Roman" w:eastAsia="仿宋_GB2312"/>
          <w:sz w:val="32"/>
          <w:szCs w:val="32"/>
          <w:shd w:val="clear" w:color="auto" w:fill="FFFFFF"/>
        </w:rPr>
        <w:t>平等保护土地经营权，鼓励留用地连片开发以出租、作价入股、联营等方式增加村集体的经济收入。深化农村集体产权制度改革。抓好农村集体产权制度改革试点工作，加强农村集体“三资”管理，做好农村集体资产清产核资“回头看”，保障农民主体权益。做好扶持村级集体经济发展试点工作，增强村级集体经济造血能力。</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推进区域融合创新改革示范。</w:t>
      </w:r>
      <w:r>
        <w:rPr>
          <w:rFonts w:hint="eastAsia" w:ascii="Times New Roman" w:hAnsi="Times New Roman" w:cs="仿宋_GB2312"/>
          <w:szCs w:val="32"/>
        </w:rPr>
        <w:t>推动两区融合发展。着力优化都杨镇功能布局，都杨镇突出强化城市功能，六都镇突出强化产业功能，推动行政和公共服务设施向新区布局集中，形成功能互补、产城互动的发展格局。以都杨镇打造省级城乡融合发展试点为契机，积极探索两区融合发展新机制。</w:t>
      </w:r>
      <w:r>
        <w:rPr>
          <w:rFonts w:hint="eastAsia" w:ascii="Times New Roman" w:hAnsi="Times New Roman"/>
          <w:szCs w:val="32"/>
          <w:shd w:val="clear" w:color="auto" w:fill="FFFFFF"/>
        </w:rPr>
        <w:t>推进“两区”在城乡空间、土地利用、产业发展、生态保护等各领域规划衔接；健全理顺重大事项协商机制、综合执法联动机制、项目利益分成机制</w:t>
      </w:r>
      <w:r>
        <w:rPr>
          <w:rFonts w:hint="eastAsia" w:ascii="Times New Roman" w:hAnsi="Times New Roman" w:cs="仿宋_GB2312"/>
          <w:szCs w:val="32"/>
        </w:rPr>
        <w:t>，激发协调发展新势能。借鉴深圳市</w:t>
      </w:r>
      <w:r>
        <w:rPr>
          <w:rFonts w:hint="eastAsia" w:ascii="Times New Roman" w:hAnsi="Times New Roman"/>
          <w:szCs w:val="32"/>
        </w:rPr>
        <w:t>综合改革试点建设</w:t>
      </w:r>
      <w:r>
        <w:rPr>
          <w:rFonts w:hint="eastAsia" w:ascii="Times New Roman" w:hAnsi="Times New Roman" w:cs="仿宋_GB2312"/>
          <w:szCs w:val="32"/>
        </w:rPr>
        <w:t>，推进新区在全市体制机制改革中创新示范，完善新区决策机制和议事规则，提高议事质量和办事效率。积极发挥新区一级财政的优势，优化投融资、税收、预算管理等方面机制，提升理财、聚财、管财、用财水平。</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02" w:name="_Toc70518109"/>
      <w:bookmarkStart w:id="103" w:name="_Toc72403417"/>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建设新型服务型政府</w:t>
      </w:r>
      <w:bookmarkEnd w:id="102"/>
      <w:bookmarkEnd w:id="103"/>
    </w:p>
    <w:p>
      <w:pPr>
        <w:pStyle w:val="11"/>
        <w:ind w:firstLine="643"/>
        <w:rPr>
          <w:rFonts w:ascii="Times New Roman" w:hAnsi="Times New Roman" w:cs="仿宋_GB2312"/>
          <w:szCs w:val="32"/>
        </w:rPr>
      </w:pPr>
      <w:r>
        <w:rPr>
          <w:rFonts w:hint="eastAsia" w:ascii="Times New Roman" w:hAnsi="Times New Roman" w:cs="仿宋_GB2312"/>
          <w:b/>
          <w:bCs/>
          <w:szCs w:val="32"/>
        </w:rPr>
        <w:t>深化政务服务改革。</w:t>
      </w:r>
      <w:r>
        <w:rPr>
          <w:rFonts w:hint="eastAsia" w:ascii="Times New Roman" w:hAnsi="Times New Roman" w:cs="仿宋_GB2312"/>
          <w:szCs w:val="32"/>
        </w:rPr>
        <w:t>全面深化“一门式、一网式、一窗式”服务改革，建设区政务办事大厅乡镇分厅，进一步推动权力下放、服务下沉，为农村山区群众提供更便捷服务。持续推进“数字政府”改革，深化“互联网</w:t>
      </w:r>
      <w:r>
        <w:rPr>
          <w:rFonts w:ascii="Times New Roman" w:hAnsi="Times New Roman" w:cs="仿宋_GB2312"/>
          <w:szCs w:val="32"/>
        </w:rPr>
        <w:t>+政务服务”</w:t>
      </w:r>
      <w:r>
        <w:rPr>
          <w:rFonts w:hint="eastAsia" w:ascii="Times New Roman" w:hAnsi="Times New Roman" w:cs="仿宋_GB2312"/>
          <w:szCs w:val="32"/>
        </w:rPr>
        <w:t>。建设完善全区一体化政务服务审批平台，依托“广东省政务服务网”“粤省事”“粤商通”“广东政务服务</w:t>
      </w:r>
      <w:r>
        <w:rPr>
          <w:rFonts w:ascii="Times New Roman" w:hAnsi="Times New Roman" w:cs="仿宋_GB2312"/>
          <w:szCs w:val="32"/>
        </w:rPr>
        <w:t>APP”以及我市开发上线的“政银通”智能审批和自主发照系统，全面提升一体化在线政务服务能力，创新服务方式和服务体验，</w:t>
      </w:r>
      <w:r>
        <w:rPr>
          <w:rFonts w:hint="eastAsia" w:ascii="Times New Roman" w:hAnsi="Times New Roman" w:cs="仿宋_GB2312"/>
          <w:szCs w:val="32"/>
        </w:rPr>
        <w:t>深入实施政务服务“四免”工作，</w:t>
      </w:r>
      <w:r>
        <w:rPr>
          <w:rFonts w:ascii="Times New Roman" w:hAnsi="Times New Roman" w:cs="仿宋_GB2312"/>
          <w:szCs w:val="32"/>
        </w:rPr>
        <w:t>提高“一件事主题服务”“零跑动”“不见面审批”“免证办”“跨域办”服务事项比例。推广“粤政易”平台应用，支撑政府内部跨部门的联合监管、协同指挥和</w:t>
      </w:r>
      <w:r>
        <w:rPr>
          <w:rFonts w:hint="eastAsia" w:ascii="Times New Roman" w:hAnsi="Times New Roman" w:cs="仿宋_GB2312"/>
          <w:szCs w:val="32"/>
        </w:rPr>
        <w:t>并联审批。建设行政审批信息归集平台，建立“一人一档”“一企一档”。</w:t>
      </w:r>
    </w:p>
    <w:p>
      <w:pPr>
        <w:pStyle w:val="11"/>
        <w:ind w:firstLine="643"/>
        <w:rPr>
          <w:rFonts w:ascii="Times New Roman" w:hAnsi="Times New Roman" w:cs="仿宋_GB2312"/>
          <w:szCs w:val="32"/>
        </w:rPr>
      </w:pPr>
      <w:r>
        <w:rPr>
          <w:rFonts w:hint="eastAsia" w:ascii="Times New Roman" w:hAnsi="Times New Roman" w:cs="仿宋_GB2312"/>
          <w:b/>
          <w:bCs/>
          <w:szCs w:val="32"/>
        </w:rPr>
        <w:t>构建事中事后监管体系。</w:t>
      </w:r>
      <w:r>
        <w:rPr>
          <w:rFonts w:hint="eastAsia" w:ascii="Times New Roman" w:hAnsi="Times New Roman" w:cs="仿宋_GB2312"/>
          <w:szCs w:val="32"/>
        </w:rPr>
        <w:t>按照事前指导、宽进严管、全程服务的要求，加强对取消、下放和调整行政审批事项的监管，加大公共安全、资源开发利用、能源消耗、安全生产、产品质量、环境保护等领域的监管力度。完善“双随机</w:t>
      </w:r>
      <w:r>
        <w:rPr>
          <w:rFonts w:hint="eastAsia" w:ascii="Times New Roman" w:hAnsi="Times New Roman" w:cs="仿宋_GB2312"/>
          <w:szCs w:val="32"/>
          <w:lang w:eastAsia="zh-CN"/>
        </w:rPr>
        <w:t>、</w:t>
      </w:r>
      <w:r>
        <w:rPr>
          <w:rFonts w:hint="eastAsia" w:ascii="Times New Roman" w:hAnsi="Times New Roman" w:cs="仿宋_GB2312"/>
          <w:szCs w:val="32"/>
        </w:rPr>
        <w:t>一公开”市场监管机制，建立市场主体事前信用承诺机制。健全部门间</w:t>
      </w:r>
      <w:r>
        <w:rPr>
          <w:rFonts w:ascii="Times New Roman" w:hAnsi="Times New Roman" w:cs="仿宋_GB2312"/>
          <w:szCs w:val="32"/>
        </w:rPr>
        <w:t>“</w:t>
      </w:r>
      <w:r>
        <w:rPr>
          <w:rFonts w:hint="eastAsia" w:ascii="Times New Roman" w:hAnsi="Times New Roman" w:cs="仿宋_GB2312"/>
          <w:szCs w:val="32"/>
        </w:rPr>
        <w:t>先照后证</w:t>
      </w:r>
      <w:r>
        <w:rPr>
          <w:rFonts w:ascii="Times New Roman" w:hAnsi="Times New Roman" w:cs="仿宋_GB2312"/>
          <w:szCs w:val="32"/>
        </w:rPr>
        <w:t>”</w:t>
      </w:r>
      <w:r>
        <w:rPr>
          <w:rFonts w:hint="eastAsia" w:ascii="Times New Roman" w:hAnsi="Times New Roman" w:cs="仿宋_GB2312"/>
          <w:szCs w:val="32"/>
        </w:rPr>
        <w:t>改革后协作机制，构建</w:t>
      </w:r>
      <w:r>
        <w:rPr>
          <w:rFonts w:ascii="Times New Roman" w:hAnsi="Times New Roman" w:cs="仿宋_GB2312"/>
          <w:szCs w:val="32"/>
        </w:rPr>
        <w:t>“</w:t>
      </w:r>
      <w:r>
        <w:rPr>
          <w:rFonts w:hint="eastAsia" w:ascii="Times New Roman" w:hAnsi="Times New Roman" w:cs="仿宋_GB2312"/>
          <w:szCs w:val="32"/>
        </w:rPr>
        <w:t>数据一个库、监管一张网、管理一条线</w:t>
      </w:r>
      <w:r>
        <w:rPr>
          <w:rFonts w:ascii="Times New Roman" w:hAnsi="Times New Roman" w:cs="仿宋_GB2312"/>
          <w:szCs w:val="32"/>
        </w:rPr>
        <w:t>”</w:t>
      </w:r>
      <w:r>
        <w:rPr>
          <w:rFonts w:hint="eastAsia" w:ascii="Times New Roman" w:hAnsi="Times New Roman" w:cs="仿宋_GB2312"/>
          <w:szCs w:val="32"/>
        </w:rPr>
        <w:t>的监管信息体系。</w:t>
      </w:r>
    </w:p>
    <w:p>
      <w:pPr>
        <w:pStyle w:val="11"/>
        <w:ind w:firstLine="643"/>
        <w:rPr>
          <w:rFonts w:ascii="Times New Roman" w:hAnsi="Times New Roman"/>
        </w:rPr>
      </w:pPr>
      <w:r>
        <w:rPr>
          <w:rFonts w:hint="eastAsia" w:ascii="Times New Roman" w:hAnsi="Times New Roman" w:cs="仿宋_GB2312"/>
          <w:b/>
          <w:bCs/>
          <w:szCs w:val="32"/>
        </w:rPr>
        <w:t>深化财政体制改革。</w:t>
      </w:r>
      <w:r>
        <w:rPr>
          <w:rFonts w:ascii="Times New Roman" w:hAnsi="Times New Roman" w:cs="仿宋_GB2312"/>
          <w:szCs w:val="32"/>
        </w:rPr>
        <w:t>完善政府预算体系，加大政府性基金预算、国有资本经营预算与一般公共预算统筹力度，建立跨年度的预算平衡机制</w:t>
      </w:r>
      <w:r>
        <w:rPr>
          <w:rFonts w:hint="eastAsia" w:ascii="Times New Roman" w:hAnsi="Times New Roman" w:cs="仿宋_GB2312"/>
          <w:szCs w:val="32"/>
        </w:rPr>
        <w:t>，</w:t>
      </w:r>
      <w:r>
        <w:rPr>
          <w:rFonts w:ascii="Times New Roman" w:hAnsi="Times New Roman" w:cs="仿宋_GB2312"/>
          <w:szCs w:val="32"/>
        </w:rPr>
        <w:t>推进预算全面规范、公开透明。健全事权与支出责任相适应的制度，逐步完善区（县）、乡镇（街道）政府间财政管理体制。</w:t>
      </w:r>
      <w:r>
        <w:rPr>
          <w:rFonts w:hint="eastAsia" w:ascii="Times New Roman" w:hAnsi="Times New Roman" w:cs="仿宋_GB2312"/>
          <w:szCs w:val="32"/>
        </w:rPr>
        <w:t>进一步深化国库集中支付改革，扩大实行改革的预算单位和财政资金范围。</w:t>
      </w:r>
      <w:r>
        <w:rPr>
          <w:rFonts w:ascii="Times New Roman" w:hAnsi="Times New Roman" w:cs="仿宋_GB2312"/>
          <w:szCs w:val="32"/>
        </w:rPr>
        <w:t>改变政府扶持企业方式，从直接扶持向间接扶持转变，规范专项资金准入和退出机制，优化分配机制和转移支付制度，建立专项资金全过程监管体系。完善全口径政府债务风险管控机制。</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04" w:name="_Toc70518110"/>
      <w:bookmarkStart w:id="105" w:name="_Toc72403418"/>
      <w:r>
        <w:rPr>
          <w:rFonts w:hint="eastAsia" w:ascii="Times New Roman" w:hAnsi="Times New Roman" w:eastAsia="黑体" w:cs="Times New Roman"/>
          <w:b w:val="0"/>
          <w:bCs w:val="0"/>
          <w:sz w:val="32"/>
          <w:szCs w:val="32"/>
        </w:rPr>
        <w:t>第八章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加强新型城镇化建设，构建城乡融合发展新局面</w:t>
      </w:r>
      <w:bookmarkEnd w:id="97"/>
      <w:bookmarkEnd w:id="104"/>
      <w:bookmarkEnd w:id="105"/>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加快推进以人为核心的新型城镇化，以综合承载能力为支撑，大力发展镇域经济，强化以工补农、以城带乡，推动形成工农互促、城乡互补、协调发展、共同繁荣的新型工农城乡关系，开拓城乡一体的区域协调新局面。</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06" w:name="_Toc72403419"/>
      <w:bookmarkStart w:id="107" w:name="_Toc70518111"/>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提高农业转移人口市民化质量</w:t>
      </w:r>
      <w:bookmarkEnd w:id="106"/>
      <w:bookmarkEnd w:id="107"/>
    </w:p>
    <w:p>
      <w:pPr>
        <w:spacing w:line="600" w:lineRule="exact"/>
        <w:ind w:firstLine="642" w:firstLineChars="200"/>
        <w:rPr>
          <w:rFonts w:ascii="Times New Roman" w:hAnsi="Times New Roman" w:eastAsia="仿宋_GB2312"/>
          <w:sz w:val="32"/>
          <w:szCs w:val="32"/>
          <w:shd w:val="clear" w:color="auto" w:fill="FFFFFF"/>
        </w:rPr>
      </w:pPr>
      <w:bookmarkStart w:id="108" w:name="_Hlk57291993"/>
      <w:r>
        <w:rPr>
          <w:rFonts w:hint="eastAsia" w:ascii="Times New Roman" w:hAnsi="Times New Roman" w:eastAsia="仿宋_GB2312"/>
          <w:b/>
          <w:bCs/>
          <w:sz w:val="32"/>
          <w:szCs w:val="32"/>
          <w:shd w:val="clear" w:color="auto" w:fill="FFFFFF"/>
        </w:rPr>
        <w:t>深化户籍制度改革。</w:t>
      </w:r>
      <w:bookmarkEnd w:id="108"/>
      <w:r>
        <w:rPr>
          <w:rFonts w:hint="eastAsia" w:ascii="Times New Roman" w:hAnsi="Times New Roman" w:eastAsia="仿宋_GB2312"/>
          <w:sz w:val="32"/>
          <w:szCs w:val="32"/>
          <w:shd w:val="clear" w:color="auto" w:fill="FFFFFF"/>
        </w:rPr>
        <w:t>全面取消落户限制，简化户籍迁移手续，引导在城镇稳定就业和居住的人员有序转为城镇居民，积极引进各类人才，提高城镇整体发展水平。建立健全由政府、企业、个人共同参与的农业转移人口市民化成本分担机制。维护进城落户农民的农村权益，依法保障农民对承包地的占有使用权、收益流转以及经营权抵押、担保等权利。</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强化农业转移人口基本公共服务保障。</w:t>
      </w:r>
      <w:r>
        <w:rPr>
          <w:rFonts w:hint="eastAsia" w:ascii="Times New Roman" w:hAnsi="Times New Roman" w:eastAsia="仿宋_GB2312"/>
          <w:sz w:val="32"/>
          <w:szCs w:val="32"/>
          <w:shd w:val="clear" w:color="auto" w:fill="FFFFFF"/>
        </w:rPr>
        <w:t>以公办学校为主将农业转移人口随迁子女纳入流入地义务教育保障范围。将非户籍常住人口纳入保障性住房体系，提高农业转移人口住房保障水平。推动社保异地结算，做好社会保险关系转移接续。提升农业转移人口就业能力，聚焦智能制造、家政服务等用工矛盾突出行业实施职业技能提升行动，支持职业（技工）院校、职业培训机构面向农业转移人口大规模开展粤菜师傅、广东技工、南粤家政等各类技能培训，提高农民工就业居住稳定性。</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09" w:name="_Toc70518112"/>
      <w:bookmarkStart w:id="110" w:name="_Toc72403420"/>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构建新型城镇化发展格局</w:t>
      </w:r>
      <w:bookmarkEnd w:id="109"/>
      <w:bookmarkEnd w:id="110"/>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优化国土空间格局。</w:t>
      </w:r>
      <w:r>
        <w:rPr>
          <w:rFonts w:hint="eastAsia" w:ascii="Times New Roman" w:hAnsi="Times New Roman" w:eastAsia="仿宋_GB2312"/>
          <w:sz w:val="32"/>
          <w:szCs w:val="32"/>
          <w:shd w:val="clear" w:color="auto" w:fill="FFFFFF"/>
        </w:rPr>
        <w:t>全面落实云浮市国土空间规划，在市编制国土空间规划过程中衔接好区级、镇级国土空间规划战略思路，加强与</w:t>
      </w:r>
      <w:bookmarkStart w:id="111" w:name="_Hlk62635455"/>
      <w:r>
        <w:rPr>
          <w:rFonts w:hint="eastAsia" w:ascii="Times New Roman" w:hAnsi="Times New Roman" w:eastAsia="仿宋_GB2312"/>
          <w:sz w:val="32"/>
          <w:szCs w:val="32"/>
          <w:shd w:val="clear" w:color="auto" w:fill="FFFFFF"/>
        </w:rPr>
        <w:t>三区四线（城镇空间、农业空间、生态空间、城镇开发边界、永久基本农田保护红线、生态保护红线、水域岸线）</w:t>
      </w:r>
      <w:bookmarkEnd w:id="111"/>
      <w:r>
        <w:rPr>
          <w:rFonts w:hint="eastAsia" w:ascii="Times New Roman" w:hAnsi="Times New Roman" w:eastAsia="仿宋_GB2312"/>
          <w:sz w:val="32"/>
          <w:szCs w:val="32"/>
          <w:shd w:val="clear" w:color="auto" w:fill="FFFFFF"/>
        </w:rPr>
        <w:t>的衔接，做好规划引领，将主体功能区规划、土地利用规划、城镇体系规划、城镇总体规划等统一纳入区级国土空间规划编制中，强化国土空间规划用途管控。优化云安及新区的城市功能布局、土地使用、综合交通运输、市政基础设施、公共服务设施。做好都杨镇省级城乡融合发展试点建设。支持都杨、六都中心城区及各镇区高效聚集经济和人口，保护基本农田和生态空间，加快产城产镇融合发展。</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加快“主城”崛起。</w:t>
      </w:r>
      <w:r>
        <w:rPr>
          <w:rFonts w:hint="eastAsia" w:ascii="Times New Roman" w:hAnsi="Times New Roman" w:eastAsia="仿宋_GB2312"/>
          <w:sz w:val="32"/>
          <w:szCs w:val="32"/>
          <w:shd w:val="clear" w:color="auto" w:fill="FFFFFF"/>
        </w:rPr>
        <w:t>优先打造都杨镇和六都镇为</w:t>
      </w:r>
      <w:r>
        <w:rPr>
          <w:rFonts w:ascii="Times New Roman" w:hAnsi="Times New Roman" w:eastAsia="仿宋_GB2312"/>
          <w:sz w:val="32"/>
          <w:szCs w:val="32"/>
          <w:shd w:val="clear" w:color="auto" w:fill="FFFFFF"/>
        </w:rPr>
        <w:t>中心城区核心区，加快推进功能性区块、标志性项目、地标性景观建设，</w:t>
      </w:r>
      <w:r>
        <w:rPr>
          <w:rFonts w:hint="eastAsia" w:ascii="Times New Roman" w:hAnsi="Times New Roman" w:eastAsia="仿宋_GB2312"/>
          <w:sz w:val="32"/>
          <w:szCs w:val="32"/>
          <w:shd w:val="clear" w:color="auto" w:fill="FFFFFF"/>
        </w:rPr>
        <w:t>完善城市功能，推动镇域经济向都市经济转型。推进中心城区交通一体化，打通“双都”交通动脉，加快县道乡道村道建设和升级改造，发展城乡公交，开通“镇通村农村客运”线路，实现城际公交、农村公交全覆盖。全力推进城市更新，实施老旧小区改造，控制好开发强度、建筑高度、建筑色彩和建筑风貌，改善人居环境质量。加强城市治理精细化，深入开展城市环境综合整治，推进卫生脏乱等城区顽疾治理，实施生活垃圾分类回收制度，加快建设公共停车场、</w:t>
      </w:r>
      <w:r>
        <w:rPr>
          <w:rFonts w:hint="eastAsia" w:ascii="Times New Roman" w:hAnsi="Times New Roman" w:eastAsia="仿宋"/>
          <w:kern w:val="0"/>
          <w:sz w:val="32"/>
          <w:szCs w:val="32"/>
        </w:rPr>
        <w:t>新区建筑余泥渣土受纳场，</w:t>
      </w:r>
      <w:r>
        <w:rPr>
          <w:rFonts w:hint="eastAsia" w:ascii="Times New Roman" w:hAnsi="Times New Roman" w:eastAsia="仿宋_GB2312"/>
          <w:sz w:val="32"/>
          <w:szCs w:val="32"/>
          <w:shd w:val="clear" w:color="auto" w:fill="FFFFFF"/>
        </w:rPr>
        <w:t>着力补齐公共环境、市政设施等方面存在的短板。提升智慧管理水平，完善智慧城管平台，建设新型智慧云安。全面增强城区防洪排涝能力，建设安全韧性、海绵城市。</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推进美丽圩镇建设。</w:t>
      </w:r>
      <w:r>
        <w:rPr>
          <w:rFonts w:hint="eastAsia" w:ascii="Times New Roman" w:hAnsi="Times New Roman" w:eastAsia="仿宋_GB2312"/>
          <w:sz w:val="32"/>
          <w:szCs w:val="32"/>
          <w:shd w:val="clear" w:color="auto" w:fill="FFFFFF"/>
        </w:rPr>
        <w:t>坚持规划先行，按照“一镇一定位、一镇一风情、一镇一产业”的要求，因地制宜推进美丽圩镇建设。聚力把乡镇建成服务农民的区域中心，强力推进圩镇扩容提质，加速补齐圩镇硬件短板，推进城乡基本公共服务标准统一、制度并轨，提高圩镇综合承载力和人口集聚度。深入开展圩镇环境综合整治，大力实施“穿衣戴帽”工程，打造形态各异、风貌独特的美丽圩镇发展格局。鼓励各镇结合自身特色资源，建成一批生态优美特色小镇。大力发展镇域经济，强化奖励激励机制，支持各镇盘活资源资产，整合镇属国有企业，发展特色产业。</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6</w:t>
            </w:r>
            <w:r>
              <w:rPr>
                <w:rFonts w:ascii="Times New Roman" w:hAnsi="Times New Roman" w:eastAsia="黑体"/>
                <w:sz w:val="24"/>
              </w:rPr>
              <w:t xml:space="preserve">  </w:t>
            </w:r>
            <w:r>
              <w:rPr>
                <w:rFonts w:hint="eastAsia" w:ascii="Times New Roman" w:hAnsi="Times New Roman" w:eastAsia="黑体"/>
                <w:sz w:val="24"/>
              </w:rPr>
              <w:t>“十四五”时期我区新型城镇化建设重点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1.都杨镇省级城乡融合发展试点。</w:t>
            </w:r>
            <w:r>
              <w:rPr>
                <w:rFonts w:hint="eastAsia" w:ascii="Times New Roman" w:hAnsi="Times New Roman" w:eastAsia="仿宋_GB2312" w:cs="仿宋_GB2312"/>
                <w:sz w:val="24"/>
              </w:rPr>
              <w:t>搭建城乡产业协同发展平台。在都扬镇内选择一批产业园区或功能区，率先打造城乡产业协同发展示范点。在示范点内重点优化提升特色小镇、美丽乡村和各类农业园区，创建一批城乡融合发展典型项目，实现城乡生产要素的跨界流动和高效配置。建立健全美丽小城镇发展机制，强化都杨小城镇联结城乡的作用，推动都杨镇公共服务设施提标扩面、环境卫生设施进一步完善升级、市政公用设施提档升级，强化都杨镇对周边乡村的辐射带动作用，加快一二三产融合发展，促进“以镇带村”一体发展。</w:t>
            </w:r>
          </w:p>
          <w:p>
            <w:pPr>
              <w:adjustRightInd w:val="0"/>
              <w:snapToGrid w:val="0"/>
              <w:spacing w:line="400" w:lineRule="exact"/>
              <w:rPr>
                <w:rFonts w:ascii="Times New Roman" w:hAnsi="Times New Roman" w:eastAsia="仿宋_GB2312" w:cs="仿宋_GB2312"/>
                <w:sz w:val="24"/>
                <w:u w:val="single"/>
              </w:rPr>
            </w:pPr>
            <w:r>
              <w:rPr>
                <w:rFonts w:hint="eastAsia" w:ascii="Times New Roman" w:hAnsi="Times New Roman" w:eastAsia="仿宋_GB2312" w:cs="楷体_GB2312"/>
                <w:b/>
                <w:bCs/>
                <w:sz w:val="24"/>
              </w:rPr>
              <w:t>2.美丽圩镇建设。</w:t>
            </w:r>
            <w:r>
              <w:rPr>
                <w:rFonts w:hint="eastAsia" w:ascii="Times New Roman" w:hAnsi="Times New Roman" w:eastAsia="仿宋_GB2312" w:cs="仿宋_GB2312"/>
                <w:sz w:val="24"/>
              </w:rPr>
              <w:t>支持都杨镇以省级城乡融合发展试点为抓手，打造成为云浮未来中心城区、城乡融合发展示范镇；支持六都镇发挥交通区位、产业园区、工业基础等优势，打造成为绿色工业集聚基地、西江特色名镇；支持高村镇以建设省级花卉苗木产业园为载体，打造成为都市农业及园艺观光产业基地、特色美丽城镇；支持白石镇发挥特色农业资源优势，打造成生态农业旅游名镇。支持镇安镇加快开辟南部工业第二战场，突出产城人融合，推动一二三产业融合发展、协调发展，打造成为宜居宜业宜商的区域性中心镇；支持富林镇打好“生态牌”、走好“绿色路”，打造成为云浮市南部城镇服务中心、文化休闲旅游小镇；支持石城镇打造农业产业强镇、综合建材大镇、康养休闲名镇；</w:t>
            </w:r>
          </w:p>
          <w:p>
            <w:pPr>
              <w:adjustRightInd w:val="0"/>
              <w:snapToGrid w:val="0"/>
              <w:spacing w:line="400" w:lineRule="exact"/>
              <w:rPr>
                <w:rFonts w:ascii="Times New Roman" w:hAnsi="Times New Roman" w:eastAsia="楷体_GB2312" w:cs="楷体_GB2312"/>
                <w:b/>
                <w:bCs/>
                <w:sz w:val="24"/>
              </w:rPr>
            </w:pPr>
            <w:r>
              <w:rPr>
                <w:rFonts w:hint="eastAsia" w:ascii="Times New Roman" w:hAnsi="Times New Roman" w:eastAsia="仿宋_GB2312" w:cs="楷体_GB2312"/>
                <w:b/>
                <w:bCs/>
                <w:sz w:val="24"/>
              </w:rPr>
              <w:t>3.特色小镇建设。</w:t>
            </w:r>
            <w:r>
              <w:rPr>
                <w:rFonts w:hint="eastAsia" w:ascii="Times New Roman" w:hAnsi="Times New Roman" w:eastAsia="仿宋_GB2312" w:cs="仿宋_GB2312"/>
                <w:sz w:val="24"/>
              </w:rPr>
              <w:t>强化都杨镇的教育优势，引导都杨镇打造教育特色小镇。加快镇安镇国土空间规划编制工作，大力发展先进制造业，打造金属智造产业基地，引导开发工业旅游，打造特色工业小镇。巩固生态优势，引导富林镇打造成以观光体验、文化休闲旅游及配套服务产业为主，以特色农业种植为辅的农旅、文旅小镇。</w:t>
            </w:r>
          </w:p>
        </w:tc>
      </w:tr>
    </w:tbl>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12" w:name="_Toc72403421"/>
      <w:bookmarkStart w:id="113" w:name="_Toc70518113"/>
      <w:r>
        <w:rPr>
          <w:rFonts w:hint="eastAsia" w:ascii="Times New Roman" w:hAnsi="Times New Roman" w:eastAsia="楷体_GB2312" w:cs="Times New Roman"/>
          <w:kern w:val="0"/>
          <w:sz w:val="32"/>
          <w:szCs w:val="32"/>
        </w:rPr>
        <w:t>第三节 推动</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两区</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融合发展</w:t>
      </w:r>
      <w:bookmarkEnd w:id="112"/>
      <w:bookmarkEnd w:id="113"/>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提升基础设施“互联互通”水平。</w:t>
      </w:r>
      <w:r>
        <w:rPr>
          <w:rFonts w:hint="eastAsia" w:ascii="Times New Roman" w:hAnsi="Times New Roman" w:eastAsia="仿宋_GB2312"/>
          <w:sz w:val="32"/>
          <w:szCs w:val="32"/>
          <w:shd w:val="clear" w:color="auto" w:fill="FFFFFF"/>
        </w:rPr>
        <w:t>打通“两区”快速连接通道，推动东部快线、西部快线建设，联通中心城区腰古组团、六都组团，进一步拉开“承东启西”大框架。加快推动新城快线二期建设，协同云安区全力推进广州云浮国际物流港建设。畅通内部微循环，完善重点项目周边配套通行设施，进一步提升社区和企业通达性。协调加密高铁、公交班次，优化时间、线路设置，大力完善停车场、充电桩、交通监控、骑行便道等设施设备，进一步提升出行的安全性和便利度。</w:t>
      </w:r>
    </w:p>
    <w:p>
      <w:pPr>
        <w:pStyle w:val="11"/>
        <w:ind w:firstLine="643"/>
        <w:rPr>
          <w:rFonts w:ascii="Times New Roman" w:hAnsi="Times New Roman"/>
          <w:szCs w:val="32"/>
          <w:shd w:val="clear" w:color="auto" w:fill="FFFFFF"/>
        </w:rPr>
      </w:pPr>
      <w:r>
        <w:rPr>
          <w:rFonts w:hint="eastAsia" w:ascii="Times New Roman" w:hAnsi="Times New Roman"/>
          <w:b/>
          <w:bCs/>
          <w:szCs w:val="32"/>
          <w:shd w:val="clear" w:color="auto" w:fill="FFFFFF"/>
        </w:rPr>
        <w:t>推进公共服务资源转移。</w:t>
      </w:r>
      <w:r>
        <w:rPr>
          <w:rFonts w:hint="eastAsia" w:ascii="Times New Roman" w:hAnsi="Times New Roman"/>
        </w:rPr>
        <w:t>推动行政和公共服务设施向新区布局集中，积极推进疾控中心、体育馆、工人文化宫（青少年宫）、区老干部活动中心等项目建设。</w:t>
      </w:r>
      <w:r>
        <w:rPr>
          <w:rFonts w:hint="eastAsia" w:ascii="Times New Roman" w:hAnsi="Times New Roman"/>
          <w:szCs w:val="32"/>
          <w:shd w:val="clear" w:color="auto" w:fill="FFFFFF"/>
        </w:rPr>
        <w:t>加快推进“四提”补短板建设，完善新区商业服务设施配套，促进产城融合发展。</w:t>
      </w:r>
      <w:r>
        <w:rPr>
          <w:rFonts w:hint="eastAsia" w:ascii="Times New Roman" w:hAnsi="Times New Roman"/>
        </w:rPr>
        <w:t>用好粤菜师傅创业创新基地、高铁综合交通枢纽商业广场，围绕学校、高铁、社区、圩镇等人气片区布局生活性服务业和通勤便道，推动“人气点”与“服务点”融合，形成一批“点上开花”的休闲娱乐网红“打卡点”。</w:t>
      </w:r>
      <w:r>
        <w:rPr>
          <w:rFonts w:hint="eastAsia" w:ascii="Times New Roman" w:hAnsi="Times New Roman"/>
          <w:szCs w:val="32"/>
          <w:shd w:val="clear" w:color="auto" w:fill="FFFFFF"/>
        </w:rPr>
        <w:t>全面理顺“两区”行政管理体制，实现“兵合一处、将打一家”。</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14" w:name="_Toc70518114"/>
      <w:bookmarkStart w:id="115" w:name="_Toc72403422"/>
      <w:bookmarkStart w:id="116" w:name="_Toc56537393"/>
      <w:r>
        <w:rPr>
          <w:rFonts w:hint="eastAsia" w:ascii="Times New Roman" w:hAnsi="Times New Roman" w:eastAsia="黑体" w:cs="Times New Roman"/>
          <w:b w:val="0"/>
          <w:bCs w:val="0"/>
          <w:spacing w:val="-6"/>
          <w:sz w:val="32"/>
          <w:szCs w:val="32"/>
        </w:rPr>
        <w:t>第九章</w:t>
      </w:r>
      <w:r>
        <w:rPr>
          <w:rFonts w:ascii="Times New Roman" w:hAnsi="Times New Roman" w:eastAsia="黑体" w:cs="Times New Roman"/>
          <w:b w:val="0"/>
          <w:bCs w:val="0"/>
          <w:spacing w:val="-6"/>
          <w:sz w:val="32"/>
          <w:szCs w:val="32"/>
        </w:rPr>
        <w:t xml:space="preserve"> </w:t>
      </w:r>
      <w:r>
        <w:rPr>
          <w:rFonts w:hint="eastAsia" w:ascii="Times New Roman" w:hAnsi="Times New Roman" w:eastAsia="黑体" w:cs="Times New Roman"/>
          <w:b w:val="0"/>
          <w:bCs w:val="0"/>
          <w:spacing w:val="-6"/>
          <w:sz w:val="32"/>
          <w:szCs w:val="32"/>
        </w:rPr>
        <w:t>坚持农业农村优先发展，强力推进乡村振兴走在全市前列</w:t>
      </w:r>
      <w:bookmarkEnd w:id="114"/>
      <w:bookmarkEnd w:id="115"/>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顺应新时代新形势新要求，顺应农民群众对美好生活的新期待，坚持农业农村优先发展，以更有力的举措推动农业全面升级、农村全面进步、农民全面发展，奋力打造新时代乡村振兴云安样板。</w:t>
      </w:r>
      <w:bookmarkStart w:id="188" w:name="_GoBack"/>
      <w:bookmarkEnd w:id="188"/>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17" w:name="_Toc72403423"/>
      <w:bookmarkStart w:id="118" w:name="_Toc70518115"/>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做强现代特色农业</w:t>
      </w:r>
      <w:bookmarkEnd w:id="117"/>
      <w:bookmarkEnd w:id="118"/>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集聚发展特色优势产业。</w:t>
      </w:r>
      <w:r>
        <w:rPr>
          <w:rFonts w:hint="eastAsia" w:ascii="Times New Roman" w:hAnsi="Times New Roman" w:eastAsia="仿宋_GB2312"/>
          <w:sz w:val="32"/>
          <w:szCs w:val="32"/>
          <w:shd w:val="clear" w:color="auto" w:fill="FFFFFF"/>
        </w:rPr>
        <w:t>以“两园一强镇”为牵引，做优花卉苗木、肉牛等主导产业，做强腐竹、南药、生猪等特色产业，积极创建生猪省级现代农业产业园、花卉苗木特色产业优势区。补齐农产品精深加工短板，推进肉牛产业园食品加工园区竣工投产、花卉苗木产业园综合交易会展中心落地建设；加强农产品品牌建设，加强农产品质量监管，抓好农产品原产地、地理标志保护申报，打造一批质量安全、绿色有机的果菜茶、畜禽品牌</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打造大湾区优质农产品供给基地。积极发展智慧农业，探索建设智慧农业园区、数字农场。加快农产品溯源体系建设。力争到</w:t>
      </w:r>
      <w:r>
        <w:rPr>
          <w:rFonts w:ascii="Times New Roman" w:hAnsi="Times New Roman" w:eastAsia="仿宋_GB2312"/>
          <w:sz w:val="32"/>
          <w:szCs w:val="32"/>
          <w:shd w:val="clear" w:color="auto" w:fill="FFFFFF"/>
        </w:rPr>
        <w:t>2025年打造花卉苗木、肉牛、生猪3个十亿级产业</w:t>
      </w:r>
      <w:r>
        <w:rPr>
          <w:rFonts w:hint="eastAsia" w:ascii="Times New Roman" w:hAnsi="Times New Roman" w:eastAsia="仿宋_GB2312"/>
          <w:sz w:val="32"/>
          <w:szCs w:val="32"/>
          <w:shd w:val="clear" w:color="auto" w:fill="FFFFFF"/>
        </w:rPr>
        <w:t>。</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推动农业“接二连三”。</w:t>
      </w:r>
      <w:r>
        <w:rPr>
          <w:rFonts w:hint="eastAsia" w:ascii="Times New Roman" w:hAnsi="Times New Roman" w:eastAsia="仿宋_GB2312"/>
          <w:sz w:val="32"/>
          <w:szCs w:val="32"/>
          <w:shd w:val="clear" w:color="auto" w:fill="FFFFFF"/>
        </w:rPr>
        <w:t>大力发展农产品产地初加工，重点推进云安区肉牛产业园食品加工园区、花卉苗木产业园高效运行。协同推进“产</w:t>
      </w:r>
      <w:r>
        <w:rPr>
          <w:rFonts w:ascii="Times New Roman" w:hAnsi="Times New Roman" w:eastAsia="仿宋_GB2312"/>
          <w:sz w:val="32"/>
          <w:szCs w:val="32"/>
          <w:shd w:val="clear" w:color="auto" w:fill="FFFFFF"/>
        </w:rPr>
        <w:t>+销”，</w:t>
      </w:r>
      <w:r>
        <w:rPr>
          <w:rFonts w:hint="eastAsia" w:ascii="Times New Roman" w:hAnsi="Times New Roman" w:eastAsia="仿宋_GB2312"/>
          <w:sz w:val="32"/>
          <w:szCs w:val="32"/>
          <w:shd w:val="clear" w:color="auto" w:fill="FFFFFF"/>
        </w:rPr>
        <w:t>积极开展产销对接活动，加强田头初级市场建设，推广商品化处理和冷链物流，发展产地直采直供、农社对接、生鲜电商等新业态，加快电子结算等新交易方式应用。持续推进省级电子商务进农村示范县建设。培育壮大乡村旅游、健康养老、休闲体验等新兴领域，促进农业发展方式转变，实现农旅结合、文旅结合、商旅结合的立体乡村旅游发展。</w:t>
      </w:r>
    </w:p>
    <w:p>
      <w:pPr>
        <w:pStyle w:val="11"/>
        <w:ind w:firstLine="643"/>
        <w:rPr>
          <w:rFonts w:ascii="Times New Roman" w:hAnsi="Times New Roman"/>
        </w:rPr>
      </w:pPr>
      <w:r>
        <w:rPr>
          <w:rFonts w:hint="eastAsia" w:ascii="Times New Roman" w:hAnsi="Times New Roman"/>
          <w:b/>
          <w:bCs/>
          <w:szCs w:val="32"/>
          <w:shd w:val="clear" w:color="auto" w:fill="FFFFFF"/>
        </w:rPr>
        <w:t>擦亮“国家农产品质量安全县”品牌。</w:t>
      </w:r>
      <w:r>
        <w:rPr>
          <w:rFonts w:hint="eastAsia" w:ascii="Times New Roman" w:hAnsi="Times New Roman"/>
        </w:rPr>
        <w:t>大力实施“品牌强农”工程，</w:t>
      </w:r>
      <w:r>
        <w:rPr>
          <w:rFonts w:hint="eastAsia" w:ascii="Times New Roman" w:hAnsi="Times New Roman"/>
          <w:szCs w:val="32"/>
          <w:shd w:val="clear" w:color="auto" w:fill="FFFFFF"/>
        </w:rPr>
        <w:t>推动区域公用品牌、企业品牌、产品品牌融合发展，重点推进肉牛、花卉苗木等区域特色农业品牌建设。</w:t>
      </w:r>
      <w:r>
        <w:rPr>
          <w:rFonts w:hint="eastAsia" w:ascii="Times New Roman" w:hAnsi="Times New Roman"/>
        </w:rPr>
        <w:t>大力发展无公害、绿色、有机农产品。积极培育和保护农业知名品牌和国家地理标志农产品，扶强一批企业，打造“云雾山”系列特色农业品牌。做好品牌宣传推介，借助农产品博览会、展销会等渠道，充分利用电商、“互联网</w:t>
      </w:r>
      <w:r>
        <w:rPr>
          <w:rFonts w:ascii="Times New Roman" w:hAnsi="Times New Roman"/>
        </w:rPr>
        <w:t>+”等新兴手段，加强品牌市场营销。</w:t>
      </w:r>
      <w:r>
        <w:rPr>
          <w:rFonts w:hint="eastAsia" w:ascii="Times New Roman" w:hAnsi="Times New Roman"/>
        </w:rPr>
        <w:t>力争到</w:t>
      </w:r>
      <w:r>
        <w:rPr>
          <w:rFonts w:ascii="Times New Roman" w:hAnsi="Times New Roman"/>
        </w:rPr>
        <w:t>2025年，新增绿色产品认证1个以上、有机产品认证1个以上、知名企业品牌2个以上、知名产品品牌3个以上。</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7</w:t>
            </w:r>
            <w:r>
              <w:rPr>
                <w:rFonts w:ascii="Times New Roman" w:hAnsi="Times New Roman" w:eastAsia="黑体"/>
                <w:sz w:val="24"/>
              </w:rPr>
              <w:t xml:space="preserve">  </w:t>
            </w:r>
            <w:r>
              <w:rPr>
                <w:rFonts w:hint="eastAsia" w:ascii="Times New Roman" w:hAnsi="Times New Roman" w:eastAsia="黑体"/>
                <w:sz w:val="24"/>
              </w:rPr>
              <w:t>“十四五”时期我区现代农业发展重点项目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30" w:type="dxa"/>
          </w:tcPr>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1.云浮市京基智农时代有限公司生猪养殖全产业链项目：</w:t>
            </w:r>
            <w:r>
              <w:rPr>
                <w:rFonts w:hint="eastAsia" w:ascii="Times New Roman" w:hAnsi="Times New Roman" w:eastAsia="仿宋_GB2312" w:cs="仿宋_GB2312"/>
                <w:sz w:val="24"/>
              </w:rPr>
              <w:t>建设现代化生猪养殖基地，规模为年出栏200万头生猪，采用聚落式楼房养猪；主要建设公猪站、分娩舍、妊娠舍、育肥舍、隔离舍、环保处理站、员工宿舍及规模猪场必备附属建筑等</w:t>
            </w:r>
            <w:r>
              <w:rPr>
                <w:rFonts w:hint="eastAsia" w:ascii="Times New Roman" w:hAnsi="Times New Roman" w:eastAsia="仿宋_GB2312" w:cs="楷体_GB2312"/>
                <w:b/>
                <w:bCs/>
                <w:sz w:val="24"/>
              </w:rPr>
              <w:t>。</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2.云浮云安区现代花卉苗木产业园：</w:t>
            </w:r>
            <w:r>
              <w:rPr>
                <w:rFonts w:hint="eastAsia" w:ascii="Times New Roman" w:hAnsi="Times New Roman" w:eastAsia="仿宋_GB2312" w:cs="仿宋_GB2312"/>
                <w:sz w:val="24"/>
              </w:rPr>
              <w:t>建设七大功能区—种植基地、科研教育培训基地、商务办公区、现代花卉苗木主题生态旅游区、代花卉苗木博览展销及电子商务中心、仓储物流中心、休闲特色生活区。</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3.云浮市温氏（云安）一体化生猪养殖项目：</w:t>
            </w:r>
            <w:r>
              <w:rPr>
                <w:rFonts w:hint="eastAsia" w:ascii="Times New Roman" w:hAnsi="Times New Roman" w:eastAsia="仿宋_GB2312" w:cs="仿宋_GB2312"/>
                <w:sz w:val="24"/>
              </w:rPr>
              <w:t>年出栏60万头生猪，主要配套建设1个年产30万吨饲料厂、3个高效化种猪、3个技术服务中心、行政中心等工程。</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4.云浮云安区现代优质草畜产业园：</w:t>
            </w:r>
            <w:r>
              <w:rPr>
                <w:rFonts w:hint="eastAsia" w:ascii="Times New Roman" w:hAnsi="Times New Roman" w:eastAsia="仿宋_GB2312" w:cs="仿宋_GB2312"/>
                <w:sz w:val="24"/>
              </w:rPr>
              <w:t>建设生态牧草种植区、集中育肥区、养殖废弃物资源化综合利用区、生态放牧区、良种繁育区、屠宰加工区、田园牧乐区、优质黄牛交易区等八大功能区，项目建成后年出栏肉牛1万头，屠宰能力年屠牛10万头，屠羊15万头，并配套建设田园观光、放牧体验、特色餐饮及牛文化主题酒店等旅游项目。</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5.云安区市级农业龙头企业综合园区：</w:t>
            </w:r>
            <w:r>
              <w:rPr>
                <w:rFonts w:hint="eastAsia" w:ascii="Times New Roman" w:hAnsi="Times New Roman" w:eastAsia="仿宋_GB2312" w:cs="仿宋_GB2312"/>
                <w:sz w:val="24"/>
              </w:rPr>
              <w:t>建设乡村农业旅游基础设施，发财树建设80亩大棚深加工基地，建设松针鸡养殖基地、兰花、油茶加工基地，升级改造园区路桥、路灯、给排水、污水处理系统；建设2.5公里道路硬底化工程，0.3万平方米仓储仓库基础设施；建设0.3万平方米家禽屠宰场、0.3万平方米冷库、1万平方米仓库、0.4万平方米仓储中心。</w:t>
            </w:r>
          </w:p>
          <w:p>
            <w:pPr>
              <w:spacing w:line="400" w:lineRule="exact"/>
              <w:rPr>
                <w:rFonts w:ascii="Times New Roman" w:hAnsi="Times New Roman"/>
              </w:rPr>
            </w:pPr>
            <w:r>
              <w:rPr>
                <w:rFonts w:hint="eastAsia" w:ascii="Times New Roman" w:hAnsi="Times New Roman" w:eastAsia="仿宋_GB2312" w:cs="宋体"/>
                <w:b/>
                <w:bCs/>
                <w:kern w:val="0"/>
                <w:sz w:val="24"/>
                <w:szCs w:val="24"/>
              </w:rPr>
              <w:t>6.云浮市云安筠诚牧业有限公司云安区富林镇肉牛饲养项目。</w:t>
            </w:r>
            <w:r>
              <w:rPr>
                <w:rFonts w:hint="eastAsia" w:ascii="Times New Roman" w:hAnsi="Times New Roman" w:eastAsia="仿宋_GB2312" w:cs="宋体"/>
                <w:kern w:val="0"/>
                <w:sz w:val="24"/>
                <w:szCs w:val="24"/>
              </w:rPr>
              <w:t>项目总投资约</w:t>
            </w:r>
            <w:r>
              <w:rPr>
                <w:rFonts w:ascii="Times New Roman" w:hAnsi="Times New Roman" w:eastAsia="仿宋_GB2312" w:cs="宋体"/>
                <w:kern w:val="0"/>
                <w:sz w:val="24"/>
                <w:szCs w:val="24"/>
              </w:rPr>
              <w:t>2亿元，其中，固定资产投资5000万元，生物资产投资1.5亿元。项目规划建设肉牛饲养栏位15000个，满负荷生产后将成为广东省规模最大的肉牛养殖牧场，年产值可达3亿元以上。</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19" w:name="_Toc72403424"/>
      <w:bookmarkStart w:id="120" w:name="_Toc70518116"/>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创新现代农业经营体系</w:t>
      </w:r>
      <w:bookmarkEnd w:id="119"/>
      <w:bookmarkEnd w:id="120"/>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壮大新型农业经营主体。</w:t>
      </w:r>
      <w:r>
        <w:rPr>
          <w:rFonts w:hint="eastAsia" w:ascii="Times New Roman" w:hAnsi="Times New Roman" w:eastAsia="仿宋_GB2312"/>
          <w:sz w:val="32"/>
          <w:szCs w:val="32"/>
          <w:shd w:val="clear" w:color="auto" w:fill="FFFFFF"/>
        </w:rPr>
        <w:t>实施新型农业经营主体培育工程，探索实行土地入股、土地流转、土地托管等多种经营方式，发展多种形式适度规模经营。培育发展家庭农场，提升农民专业合作社规范化水平，鼓励发展农民专业合作社联合社。不断壮大农业产业化龙头企业，鼓励建立现代企业制度。加快建立新型经营主体支持政策体系和信用评价体系，落实财政、税收、土地、信贷、保险等支持政策，扩大新型经营主体承担涉农项目规模。</w:t>
      </w:r>
    </w:p>
    <w:p>
      <w:pPr>
        <w:pStyle w:val="11"/>
        <w:ind w:firstLine="643"/>
        <w:rPr>
          <w:rFonts w:ascii="Times New Roman" w:hAnsi="Times New Roman"/>
        </w:rPr>
      </w:pPr>
      <w:r>
        <w:rPr>
          <w:rFonts w:hint="eastAsia" w:ascii="Times New Roman" w:hAnsi="Times New Roman"/>
          <w:b/>
          <w:bCs/>
        </w:rPr>
        <w:t>促进小农户生产和现代农业发展有机衔接。</w:t>
      </w:r>
      <w:r>
        <w:rPr>
          <w:rFonts w:hint="eastAsia" w:ascii="Times New Roman" w:hAnsi="Times New Roman"/>
        </w:rPr>
        <w:t>改善小农户生产设施条件，提高个体农户抵御自然风险能力。发展多样化的联合与合作，提升小农户组织化程度。</w:t>
      </w:r>
      <w:r>
        <w:rPr>
          <w:rFonts w:hint="eastAsia" w:ascii="Times New Roman" w:hAnsi="Times New Roman"/>
          <w:szCs w:val="32"/>
          <w:shd w:val="clear" w:color="auto" w:fill="FFFFFF"/>
        </w:rPr>
        <w:t>鼓励“公司</w:t>
      </w:r>
      <w:r>
        <w:rPr>
          <w:rFonts w:ascii="Times New Roman" w:hAnsi="Times New Roman"/>
          <w:szCs w:val="32"/>
          <w:shd w:val="clear" w:color="auto" w:fill="FFFFFF"/>
        </w:rPr>
        <w:t>+基地+农户+订单”“公司+家庭农场”“龙头企业+金融+</w:t>
      </w:r>
      <w:r>
        <w:rPr>
          <w:rFonts w:hint="eastAsia" w:ascii="Times New Roman" w:hAnsi="Times New Roman"/>
          <w:szCs w:val="32"/>
          <w:shd w:val="clear" w:color="auto" w:fill="FFFFFF"/>
        </w:rPr>
        <w:t>农户</w:t>
      </w:r>
      <w:r>
        <w:rPr>
          <w:rFonts w:ascii="Times New Roman" w:hAnsi="Times New Roman"/>
          <w:szCs w:val="32"/>
          <w:shd w:val="clear" w:color="auto" w:fill="FFFFFF"/>
        </w:rPr>
        <w:t>”“龙头企业+基地+农户+土地流转”等运行模式，建立健全与</w:t>
      </w:r>
      <w:r>
        <w:rPr>
          <w:rFonts w:hint="eastAsia" w:ascii="Times New Roman" w:hAnsi="Times New Roman"/>
          <w:szCs w:val="32"/>
          <w:shd w:val="clear" w:color="auto" w:fill="FFFFFF"/>
        </w:rPr>
        <w:t>小农户</w:t>
      </w:r>
      <w:r>
        <w:rPr>
          <w:rFonts w:ascii="Times New Roman" w:hAnsi="Times New Roman"/>
          <w:szCs w:val="32"/>
          <w:shd w:val="clear" w:color="auto" w:fill="FFFFFF"/>
        </w:rPr>
        <w:t>等稳定的利益联结机制</w:t>
      </w:r>
      <w:r>
        <w:rPr>
          <w:rFonts w:hint="eastAsia" w:ascii="Times New Roman" w:hAnsi="Times New Roman"/>
          <w:szCs w:val="32"/>
          <w:shd w:val="clear" w:color="auto" w:fill="FFFFFF"/>
        </w:rPr>
        <w:t>，提高小农户自我发展能力。</w:t>
      </w:r>
      <w:r>
        <w:rPr>
          <w:rFonts w:hint="eastAsia" w:ascii="Times New Roman" w:hAnsi="Times New Roman"/>
        </w:rPr>
        <w:t>健全农业社会化服务体系，大力培育新型服务主体，加快发展“一站式”农业生产性服务业。</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21" w:name="_Toc70518117"/>
      <w:bookmarkStart w:id="122" w:name="_Toc72403425"/>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实施乡村建设行动</w:t>
      </w:r>
      <w:bookmarkEnd w:id="121"/>
      <w:bookmarkEnd w:id="122"/>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全域推进乡村环境整治。</w:t>
      </w:r>
      <w:r>
        <w:rPr>
          <w:rFonts w:hint="eastAsia" w:ascii="Times New Roman" w:hAnsi="Times New Roman" w:eastAsia="仿宋_GB2312"/>
          <w:sz w:val="32"/>
          <w:szCs w:val="32"/>
          <w:shd w:val="clear" w:color="auto" w:fill="FFFFFF"/>
        </w:rPr>
        <w:t>以“干净整洁村”“美丽宜居村”“特色精品村”创建为载体，持续开展农村人居环境整治。创新精美农村建设新模式，结合农村“四小园”等生态板块建设，大力推进“鲜花进村”“鲜花围户”，做好农村人居环境整治提升“后半篇”文章。突出串珠成线、连线成片，打造南部片区美丽乡村精品路线和西江美丽乡村风情带。加强农村风貌管控，在“多规合一”村庄规划基础上进行优化提升，严格实施省、市村庄规划管理的相关规定，规范宅基地和民房建设管理。加快乡村圩镇一体化建设，“各美其美，美美与共”，共长云安乡镇美丽度。</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加强农村基础设施建设。</w:t>
      </w:r>
      <w:r>
        <w:rPr>
          <w:rFonts w:hint="eastAsia" w:ascii="Times New Roman" w:hAnsi="Times New Roman" w:eastAsia="仿宋_GB2312"/>
          <w:sz w:val="32"/>
          <w:szCs w:val="32"/>
          <w:shd w:val="clear" w:color="auto" w:fill="FFFFFF"/>
        </w:rPr>
        <w:t>持续开展农村厕所、生活垃圾治理和污水处理三大“攻坚”行动。优化“以奖代补”机制，深入推进“村企共建”，建立健全基础设施长效运维机制。高水平推进“四好农村路”建设，努力创建“四好农村路”省级示范县。实施数字乡村战略，加快实施信息进村入户工程，提高农民科技文化素质，加快开发乡村振兴信息产品和服务，缩小城乡数字差距。</w:t>
      </w:r>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加强乡村文明与基层治理体系建设。</w:t>
      </w:r>
      <w:r>
        <w:rPr>
          <w:rFonts w:hint="eastAsia" w:ascii="Times New Roman" w:hAnsi="Times New Roman" w:eastAsia="仿宋_GB2312"/>
          <w:sz w:val="32"/>
          <w:szCs w:val="32"/>
          <w:shd w:val="clear" w:color="auto" w:fill="FFFFFF"/>
        </w:rPr>
        <w:t>强化基层文化产品供给，打造农村“十里文化圈”，全面繁荣农村文化。以人才振兴为突破口，开展“新乡贤回乡”工程。抓好高素质农民、农村实用人才培训，统筹现代青年农场主、林场主、村干部和返乡创业致富“头雁工程”“青苗培育工程”，培养造就新型“精勤化”农民队伍。健全村事村议、民主决策机制，扎实开展自治、法治、德治相结合的乡村治理，打造“共同缔造”特色优势。</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23" w:name="_Toc70518118"/>
      <w:bookmarkStart w:id="124" w:name="_Toc72403426"/>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做好脱贫攻坚与乡村振兴衔接工作</w:t>
      </w:r>
      <w:bookmarkEnd w:id="123"/>
      <w:bookmarkEnd w:id="124"/>
    </w:p>
    <w:p>
      <w:pPr>
        <w:spacing w:line="600" w:lineRule="exact"/>
        <w:ind w:firstLine="642" w:firstLineChars="200"/>
        <w:rPr>
          <w:rFonts w:ascii="Times New Roman" w:hAnsi="Times New Roman" w:eastAsia="仿宋_GB2312"/>
          <w:sz w:val="32"/>
          <w:szCs w:val="32"/>
          <w:shd w:val="clear" w:color="auto" w:fill="FFFFFF"/>
        </w:rPr>
      </w:pPr>
      <w:r>
        <w:rPr>
          <w:rFonts w:hint="eastAsia" w:ascii="Times New Roman" w:hAnsi="Times New Roman" w:eastAsia="仿宋_GB2312"/>
          <w:b/>
          <w:bCs/>
          <w:sz w:val="32"/>
          <w:szCs w:val="32"/>
          <w:shd w:val="clear" w:color="auto" w:fill="FFFFFF"/>
        </w:rPr>
        <w:t>巩固拓展脱贫攻坚成果。</w:t>
      </w:r>
      <w:r>
        <w:rPr>
          <w:rFonts w:hint="eastAsia" w:ascii="Times New Roman" w:hAnsi="Times New Roman" w:eastAsia="仿宋_GB2312"/>
          <w:sz w:val="32"/>
          <w:szCs w:val="32"/>
          <w:shd w:val="clear" w:color="auto" w:fill="FFFFFF"/>
        </w:rPr>
        <w:t>严格落实“四个不摘”要求，保持财政专项扶贫资金投入力度不减、帮扶干部与贫困群众结对关系不变、贫困村第一书记和驻村工作队不撤。将单纯针对贫困户的扶持政策，转变为对乡村低收入群体的常态化扶持政策。根据农村地区发展新阶段的实际需要，在满足贫困户基本生活需求的前提下，整合部分到村到户扶贫资源，全面改善乡村产业发展基础条件。</w:t>
      </w:r>
    </w:p>
    <w:p>
      <w:pPr>
        <w:spacing w:line="600" w:lineRule="exact"/>
        <w:ind w:firstLine="642" w:firstLineChars="200"/>
        <w:rPr>
          <w:rFonts w:ascii="Times New Roman" w:hAnsi="Times New Roman" w:eastAsia="仿宋_GB2312"/>
          <w:b/>
          <w:bCs/>
          <w:sz w:val="32"/>
          <w:szCs w:val="32"/>
          <w:shd w:val="clear" w:color="auto" w:fill="FFFFFF"/>
        </w:rPr>
      </w:pPr>
      <w:r>
        <w:rPr>
          <w:rFonts w:hint="eastAsia" w:ascii="Times New Roman" w:hAnsi="Times New Roman" w:eastAsia="仿宋_GB2312"/>
          <w:b/>
          <w:bCs/>
          <w:sz w:val="32"/>
          <w:szCs w:val="32"/>
          <w:shd w:val="clear" w:color="auto" w:fill="FFFFFF"/>
        </w:rPr>
        <w:t>建立健全稳定脱贫长效机制。</w:t>
      </w:r>
      <w:r>
        <w:rPr>
          <w:rFonts w:hint="eastAsia" w:ascii="Times New Roman" w:hAnsi="Times New Roman" w:eastAsia="仿宋_GB2312"/>
          <w:sz w:val="32"/>
          <w:szCs w:val="32"/>
          <w:shd w:val="clear" w:color="auto" w:fill="FFFFFF"/>
        </w:rPr>
        <w:t>扎实开展脱贫攻坚“回头看”，动态监测不稳定脱贫人口，防止脱贫人口返贫和新增贫困人口。保留完善扶贫攻坚中形成的集中高效的扶贫工作机制，保持财政投入力度总体稳定。深入推进“万企帮万村”行动，广泛引导社会资本投入。建立农村低收入群体的常态化扶持政策，健全农村社会保障和救助制度。健全以工代赈、生产奖补、劳务补助等帮扶机制。推动脱贫攻坚向乡村振兴有序过渡。</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25" w:name="_Toc70518119"/>
      <w:bookmarkStart w:id="126" w:name="_Toc72403427"/>
      <w:r>
        <w:rPr>
          <w:rFonts w:hint="eastAsia" w:ascii="Times New Roman" w:hAnsi="Times New Roman" w:eastAsia="黑体" w:cs="Times New Roman"/>
          <w:b w:val="0"/>
          <w:bCs w:val="0"/>
          <w:sz w:val="32"/>
          <w:szCs w:val="32"/>
        </w:rPr>
        <w:t>第十章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坚持生态优先、绿色发展，打造绿色崛起先行地</w:t>
      </w:r>
      <w:bookmarkEnd w:id="116"/>
      <w:bookmarkEnd w:id="125"/>
      <w:bookmarkEnd w:id="126"/>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坚持绿水青山就是金山银山理念，深入实施可持续发展战略，成立区生态环境保护委员会，加强生态环境保护工作的组织领导和统筹协调。以建设魅力云安为引领，加强生态环境保护和治理，努力从珠三角发展的“跟随者”转变为生态发展的“领跑者”，建设人与自然和谐共生的现代化。</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27" w:name="_Toc72403428"/>
      <w:bookmarkStart w:id="128" w:name="_Toc70518120"/>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强化生态空间管控</w:t>
      </w:r>
      <w:bookmarkEnd w:id="127"/>
      <w:bookmarkEnd w:id="128"/>
    </w:p>
    <w:p>
      <w:pPr>
        <w:spacing w:line="60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坚持绿色协调发展，牢固树立红线意识，开展生态环境空间评价，确定生态保护红线、环境质量底线、资源利用上线和生态环境准入清单（即“三线一单”），坚持“面上保护，点上开发”原则，建立全域生态环境分区管控体系，强化云雾山脉水源涵养和生态保障功能。推进西江等水体沿岸生态保护恢复，强化水源涵养林、水土保持林和沿江防护林建设。开展对矿产资源超层越界开采、以采代探等违法行为的打击治理。制定产业准入负面清单，坚决清退不符合环保要求的项目和企业，推动工业集中进园，为生态发展腾退空间，筑牢生态安全空间。</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29" w:name="_Toc72403429"/>
      <w:bookmarkStart w:id="130" w:name="_Toc70518121"/>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打造</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天蓝地绿水清</w:t>
      </w:r>
      <w:r>
        <w:rPr>
          <w:rFonts w:ascii="Times New Roman" w:hAnsi="Times New Roman" w:eastAsia="楷体_GB2312" w:cs="Times New Roman"/>
          <w:kern w:val="0"/>
          <w:sz w:val="32"/>
          <w:szCs w:val="32"/>
        </w:rPr>
        <w:t>”</w:t>
      </w:r>
      <w:r>
        <w:rPr>
          <w:rFonts w:hint="eastAsia" w:ascii="Times New Roman" w:hAnsi="Times New Roman" w:eastAsia="楷体_GB2312" w:cs="Times New Roman"/>
          <w:kern w:val="0"/>
          <w:sz w:val="32"/>
          <w:szCs w:val="32"/>
        </w:rPr>
        <w:t>之城</w:t>
      </w:r>
      <w:bookmarkEnd w:id="129"/>
      <w:bookmarkEnd w:id="130"/>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全力做美水文章。</w:t>
      </w:r>
      <w:r>
        <w:rPr>
          <w:rFonts w:hint="eastAsia" w:ascii="Times New Roman" w:hAnsi="Times New Roman" w:eastAsia="仿宋_GB2312" w:cs="Times New Roman"/>
          <w:sz w:val="32"/>
          <w:szCs w:val="32"/>
          <w:shd w:val="clear" w:color="auto" w:fill="FFFFFF"/>
        </w:rPr>
        <w:t>建设新生态，统筹水生态、水安全、水文化、水经济，一体建设碧道、绿道、古驿道，推进宜居宜业宜游的“滨江城市”建设。全面落实河长制，持续开展</w:t>
      </w:r>
      <w:bookmarkStart w:id="131" w:name="_Hlk62635710"/>
      <w:r>
        <w:rPr>
          <w:rFonts w:hint="eastAsia" w:ascii="Times New Roman" w:hAnsi="Times New Roman" w:eastAsia="仿宋_GB2312" w:cs="Times New Roman"/>
          <w:sz w:val="32"/>
          <w:szCs w:val="32"/>
          <w:shd w:val="clear" w:color="auto" w:fill="FFFFFF"/>
        </w:rPr>
        <w:t>河湖“清四乱”和“五清”专项行动</w:t>
      </w:r>
      <w:bookmarkEnd w:id="131"/>
      <w:r>
        <w:rPr>
          <w:rFonts w:hint="eastAsia" w:ascii="Times New Roman" w:hAnsi="Times New Roman" w:eastAsia="仿宋_GB2312" w:cs="Times New Roman"/>
          <w:sz w:val="32"/>
          <w:szCs w:val="32"/>
          <w:shd w:val="clear" w:color="auto" w:fill="FFFFFF"/>
        </w:rPr>
        <w:t>，重点抓好南山河、蓬远河断面整治。加强西江饮用水源地保护，持续巩固西江水源地整治成果，深入实施西江干堤整治重点生态工程，加强西江绿色生态走廊建设，为广东西水南送和大湾区守好“水缸子”。补齐生态环保基础设施短板，推进全区污水治理、污水管网设施、生活污水处理及社会主义新农村示范村建设工程</w:t>
      </w:r>
      <w:r>
        <w:rPr>
          <w:rFonts w:ascii="Times New Roman" w:hAnsi="Times New Roman" w:eastAsia="仿宋_GB2312" w:cs="Times New Roman"/>
          <w:sz w:val="32"/>
          <w:szCs w:val="32"/>
          <w:shd w:val="clear" w:color="auto" w:fill="FFFFFF"/>
        </w:rPr>
        <w:t>PPP项目</w:t>
      </w:r>
      <w:r>
        <w:rPr>
          <w:rFonts w:hint="eastAsia" w:ascii="Times New Roman" w:hAnsi="Times New Roman" w:eastAsia="仿宋_GB2312" w:cs="Times New Roman"/>
          <w:sz w:val="32"/>
          <w:szCs w:val="32"/>
          <w:shd w:val="clear" w:color="auto" w:fill="FFFFFF"/>
        </w:rPr>
        <w:t>建设，积极创建“全域供水示范县”。</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持续改善大气质量。</w:t>
      </w:r>
      <w:r>
        <w:rPr>
          <w:rFonts w:hint="eastAsia" w:ascii="Times New Roman" w:hAnsi="Times New Roman" w:eastAsia="仿宋_GB2312" w:cs="Times New Roman"/>
          <w:sz w:val="32"/>
          <w:szCs w:val="32"/>
          <w:shd w:val="clear" w:color="auto" w:fill="FFFFFF"/>
        </w:rPr>
        <w:t>强化科技治超治限，在全区范围内形成监控执法闭环。突出抓好重点时段细颗粒物和臭氧协同控制、重点行业挥发性有机物和氮氧化物治理、重污染天气应对、区域污染联防联控。常态化推进道路扬尘、矿山扬尘、建筑工地、城区及周边露天焚烧、码头及石材石料、水泥、硫化工等企业的监管治理。</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保障土壤环境安全。</w:t>
      </w:r>
      <w:r>
        <w:rPr>
          <w:rFonts w:hint="eastAsia" w:ascii="Times New Roman" w:hAnsi="Times New Roman" w:eastAsia="仿宋_GB2312" w:cs="Times New Roman"/>
          <w:sz w:val="32"/>
          <w:szCs w:val="32"/>
          <w:shd w:val="clear" w:color="auto" w:fill="FFFFFF"/>
        </w:rPr>
        <w:t>重点加强污染耕地、污染场地以及废弃矿山、垃圾填埋场的环境修复。加强信息平台建设，完善土壤环境监察网络，积极推进危险废物、医疗废物、重金属、持久性有机物等有毒有害物质的污染防控。加强固体废物污染防治，建立全区固体废物管理体系，推进固体废物处置中心建设，增强固废处置能力，实施固废分类管理。推动危险废物经营单位入园发展，加强固废综合利用。</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加强森林资源保护。</w:t>
      </w:r>
      <w:r>
        <w:rPr>
          <w:rFonts w:hint="eastAsia" w:ascii="Times New Roman" w:hAnsi="Times New Roman" w:eastAsia="仿宋_GB2312" w:cs="Times New Roman"/>
          <w:sz w:val="32"/>
          <w:szCs w:val="32"/>
          <w:shd w:val="clear" w:color="auto" w:fill="FFFFFF"/>
        </w:rPr>
        <w:t>严格落实林长制，全域推进国家森林城市创建工作，大力实施生态景观林带、森林碳汇、沿江防护等重点生态工程建设，提升城市园林景观和绿化水平。加快东山森林公园建设项目。提升高速公路两侧森林景观带和国、省、县道绿化质量。发展林下立体南药种植模式，以镇安镇为核心辐射带动发展林下药材种植，打造林下经济示范区。加强森林防火工作，推进生物防火林带规划建设，抓好森林消防大队建设。加大林业有害生物防控工作力度，进一步维护森林资源安全。加大自然保护地资源保护，继续推进自然保护地整合优化工作，提速建设大洞水库湿地公园、东风水库湿地公园。</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8</w:t>
            </w:r>
            <w:r>
              <w:rPr>
                <w:rFonts w:ascii="Times New Roman" w:hAnsi="Times New Roman" w:eastAsia="黑体"/>
                <w:sz w:val="24"/>
              </w:rPr>
              <w:t xml:space="preserve">  </w:t>
            </w:r>
            <w:r>
              <w:rPr>
                <w:rFonts w:hint="eastAsia" w:ascii="Times New Roman" w:hAnsi="Times New Roman" w:eastAsia="黑体"/>
                <w:sz w:val="24"/>
              </w:rPr>
              <w:t>“十四五”时期我区生态环境建设重点任务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1.云浮市云安区生活垃圾分拣中心：</w:t>
            </w:r>
            <w:r>
              <w:rPr>
                <w:rFonts w:hint="eastAsia" w:ascii="Times New Roman" w:hAnsi="Times New Roman" w:eastAsia="仿宋_GB2312" w:cs="仿宋_GB2312"/>
                <w:sz w:val="24"/>
              </w:rPr>
              <w:t>项目总占地面积5亩，设计分为“三区一馆”，即垃圾分类分拣区、垃圾压缩区、厨余垃圾处理区，以及垃圾分类科普馆。</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2.云浮市云安区垃圾收运处理设施项目：</w:t>
            </w:r>
            <w:r>
              <w:rPr>
                <w:rFonts w:hint="eastAsia" w:ascii="Times New Roman" w:hAnsi="Times New Roman" w:eastAsia="仿宋_GB2312" w:cs="仿宋_GB2312"/>
                <w:sz w:val="24"/>
              </w:rPr>
              <w:t>项目建设在云安片区。本项目共包括云安区6座垃圾分类处理站和1000座垃圾分类收集点的建设，项目总建设用地面积约为22500平方米，总建筑面积约为3000平方米。购置主要收运处理设备93台套。每座垃圾分类处理站主要包括有垃圾压缩车间、厨余垃圾车间、垃圾分拣区、中控间、除尘、除臭设备间、休息间、污水收集池、化粪池、排水沟、进出道路、停车位、垃圾箱停放位、绿化带等建筑及配套工程。</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3</w:t>
            </w:r>
            <w:r>
              <w:rPr>
                <w:rFonts w:hint="eastAsia" w:ascii="Times New Roman" w:hAnsi="Times New Roman" w:eastAsia="仿宋_GB2312" w:cs="楷体_GB2312"/>
                <w:b/>
                <w:bCs/>
                <w:sz w:val="24"/>
              </w:rPr>
              <w:t>.云安区整区推进生活污水处理及社会主义新农村示范村建设工程PPP项目：</w:t>
            </w:r>
            <w:r>
              <w:rPr>
                <w:rFonts w:hint="eastAsia" w:ascii="Times New Roman" w:hAnsi="Times New Roman" w:eastAsia="仿宋_GB2312" w:cs="仿宋_GB2312"/>
                <w:sz w:val="24"/>
              </w:rPr>
              <w:t>建设全区生活污水收集处理工程和新农村工程，覆盖全区80%以上村庄的生活污水收集处理工程和35个行政村及自然村的新农村示范村建设工程。</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4</w:t>
            </w:r>
            <w:r>
              <w:rPr>
                <w:rFonts w:hint="eastAsia" w:ascii="Times New Roman" w:hAnsi="Times New Roman" w:eastAsia="仿宋_GB2312" w:cs="楷体_GB2312"/>
                <w:b/>
                <w:bCs/>
                <w:sz w:val="24"/>
              </w:rPr>
              <w:t>.大涌河周边市政工程建设项目：</w:t>
            </w:r>
            <w:r>
              <w:rPr>
                <w:rFonts w:hint="eastAsia" w:ascii="Times New Roman" w:hAnsi="Times New Roman" w:eastAsia="仿宋_GB2312" w:cs="仿宋_GB2312"/>
                <w:sz w:val="24"/>
              </w:rPr>
              <w:t>大涌河周边水系支流整治20公里；建设沿河市政路18公里；建设城市碧道54公里；建设南湖蓄洪区1.9平方公里。</w:t>
            </w:r>
          </w:p>
          <w:p>
            <w:pPr>
              <w:adjustRightInd w:val="0"/>
              <w:snapToGrid w:val="0"/>
              <w:spacing w:line="400" w:lineRule="exact"/>
              <w:rPr>
                <w:rFonts w:ascii="Times New Roman" w:hAnsi="Times New Roman" w:eastAsia="仿宋_GB2312" w:cs="楷体_GB2312"/>
                <w:b/>
                <w:bCs/>
                <w:sz w:val="24"/>
              </w:rPr>
            </w:pPr>
            <w:r>
              <w:rPr>
                <w:rFonts w:ascii="Times New Roman" w:hAnsi="Times New Roman" w:eastAsia="仿宋_GB2312" w:cs="楷体_GB2312"/>
                <w:b/>
                <w:bCs/>
                <w:sz w:val="24"/>
              </w:rPr>
              <w:t>5</w:t>
            </w:r>
            <w:r>
              <w:rPr>
                <w:rFonts w:hint="eastAsia" w:ascii="Times New Roman" w:hAnsi="Times New Roman" w:eastAsia="仿宋_GB2312" w:cs="楷体_GB2312"/>
                <w:b/>
                <w:bCs/>
                <w:sz w:val="24"/>
              </w:rPr>
              <w:t>.云安区生态环境治理智慧化项目：</w:t>
            </w:r>
            <w:r>
              <w:rPr>
                <w:rFonts w:hint="eastAsia" w:ascii="Times New Roman" w:hAnsi="Times New Roman" w:eastAsia="仿宋_GB2312" w:cs="仿宋_GB2312"/>
                <w:sz w:val="24"/>
              </w:rPr>
              <w:t>项目建设在园区、矿山、码头、重点企业、建筑（建设）工地、江河、饮用水源、交通重要路段及各镇镇中心与镇周边区域等进行监控管理(安装监控点约250处)。</w:t>
            </w:r>
          </w:p>
          <w:p>
            <w:pPr>
              <w:adjustRightInd w:val="0"/>
              <w:snapToGrid w:val="0"/>
              <w:spacing w:line="400" w:lineRule="exact"/>
              <w:rPr>
                <w:rFonts w:ascii="Times New Roman" w:hAnsi="Times New Roman" w:cs="仿宋_GB2312"/>
                <w:sz w:val="24"/>
              </w:rPr>
            </w:pPr>
            <w:r>
              <w:rPr>
                <w:rFonts w:ascii="Times New Roman" w:hAnsi="Times New Roman" w:eastAsia="仿宋_GB2312" w:cs="楷体_GB2312"/>
                <w:b/>
                <w:bCs/>
                <w:sz w:val="24"/>
              </w:rPr>
              <w:t>6</w:t>
            </w:r>
            <w:r>
              <w:rPr>
                <w:rFonts w:hint="eastAsia" w:ascii="Times New Roman" w:hAnsi="Times New Roman" w:eastAsia="仿宋_GB2312" w:cs="楷体_GB2312"/>
                <w:b/>
                <w:bCs/>
                <w:sz w:val="24"/>
              </w:rPr>
              <w:t>.东山森林公园：</w:t>
            </w:r>
            <w:r>
              <w:rPr>
                <w:rFonts w:hint="eastAsia" w:ascii="Times New Roman" w:hAnsi="Times New Roman" w:eastAsia="仿宋_GB2312" w:cs="仿宋_GB2312"/>
                <w:sz w:val="24"/>
              </w:rPr>
              <w:t>利用现有山地、水体景观等地形地貌以及天然氧吧资源，开发适合大众的户外有氧活动；针对春、夏、秋季，提供户外拓展、户外露营、养生运动、徒步、骑行、探险等户外康体养生项目，打造生态康养森林公园示范性项目；打造粤西地区花卉苗木交易中心绿色展会项目。分五期完成基础设施建设、林相改造、景观优化、展会展厅建设等。</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32" w:name="_Toc70518122"/>
      <w:bookmarkStart w:id="133" w:name="_Toc72403430"/>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促进生产生活绿色化转型</w:t>
      </w:r>
      <w:bookmarkEnd w:id="132"/>
      <w:bookmarkEnd w:id="133"/>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推进资源集约节约利用。</w:t>
      </w:r>
      <w:r>
        <w:rPr>
          <w:rFonts w:hint="eastAsia" w:ascii="Times New Roman" w:hAnsi="Times New Roman" w:eastAsia="仿宋_GB2312" w:cs="Times New Roman"/>
          <w:sz w:val="32"/>
          <w:szCs w:val="32"/>
          <w:shd w:val="clear" w:color="auto" w:fill="FFFFFF"/>
        </w:rPr>
        <w:t>大力发展循环经济，围绕垃圾分类与“两网融合”、建筑垃圾资源化综合利用、再制造和再生资源利用、水资源综合利用、生产者责任延伸等领域，建设云安区城乡垃圾分类收集转运、回收利用设施，加快建设云浮市信安达环保科技有限公司云浮市工业废物资源循环利用中心、云浮永葆环保科技有限公司云安循环经济环保产业示范基地项目。积极推进清洁能源利用，严格控制煤炭等高污染燃料使用，提高能源利用效率，积极推广使用经洗选的燃煤，开发和推广洁净煤技术。推进绿色健康生态养殖业、现代生态循环农业发展。</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倡导绿色生活方式。</w:t>
      </w:r>
      <w:r>
        <w:rPr>
          <w:rFonts w:hint="eastAsia" w:ascii="Times New Roman" w:hAnsi="Times New Roman" w:eastAsia="仿宋_GB2312" w:cs="Times New Roman"/>
          <w:sz w:val="32"/>
          <w:szCs w:val="32"/>
          <w:shd w:val="clear" w:color="auto" w:fill="FFFFFF"/>
        </w:rPr>
        <w:t>加强宣传引导，依托节能宣传周、全国低碳日、世界环境日、地球日等开展绿色低碳主题活动，深入推进绿色生活创建行动，创新宣传方式，引导全民树立“绿水青山就是金山银山”的发展理念，促进公众自觉践行绿色生活。提倡家庭节约用水用电，合理控制室内空调温度，减少无效照明。鼓励步行、自行车和公共交通等低碳出行，减少使用一次性用品，旅行自带洗漱用品，提倡重拎布袋子、重提菜篮子、重复使用环保购物袋，推广实施生活垃圾分类。扩大绿色产品消费。鼓励选购节能环保产品，推动绿色饮食、绿色建筑、绿色出行、绿色家用、绿色穿衣、绿色旅游等。</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9</w:t>
            </w:r>
            <w:r>
              <w:rPr>
                <w:rFonts w:ascii="Times New Roman" w:hAnsi="Times New Roman" w:eastAsia="黑体"/>
                <w:sz w:val="24"/>
              </w:rPr>
              <w:t xml:space="preserve">  </w:t>
            </w:r>
            <w:r>
              <w:rPr>
                <w:rFonts w:hint="eastAsia" w:ascii="Times New Roman" w:hAnsi="Times New Roman" w:eastAsia="黑体"/>
                <w:sz w:val="24"/>
              </w:rPr>
              <w:t>“十四五”时期我区循环经济发展重点项目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1.国家级大宗固体废弃物综合利用基地--云浮市云安区处置中心：</w:t>
            </w:r>
            <w:r>
              <w:rPr>
                <w:rFonts w:hint="eastAsia" w:ascii="Times New Roman" w:hAnsi="Times New Roman" w:eastAsia="仿宋_GB2312" w:cs="仿宋_GB2312"/>
                <w:sz w:val="24"/>
              </w:rPr>
              <w:t>处置中心填埋总容积预计为485万立方米。包括进场道路工程、场区道路工程、管理区工程、电气照明工程、其他配套工程。</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2.云浮市信安达环保科技有限公司云浮市工业废物资源循环利用中心：</w:t>
            </w:r>
            <w:r>
              <w:rPr>
                <w:rFonts w:hint="eastAsia" w:ascii="Times New Roman" w:hAnsi="Times New Roman" w:eastAsia="仿宋_GB2312" w:cs="仿宋_GB2312"/>
                <w:sz w:val="24"/>
              </w:rPr>
              <w:t>分两期建设，一期建设规模为年接收16.4万吨危险废物，建设内容包废物预处理设施（包括污泥减量化设施）、废物综合处理设施、废物焚烧处置设施、废气净化处理设施，以及废物贮存、中转等辅助设施；计划二期建设规模为年接收17万吨危险废物，建设内容包括扩建废物预处理设施、扩建废物综合处理设施、扩建废气净化处理设施、扩建废物贮存设施、新建碱铜深加工设施。</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3.云浮永葆环保科技有限公司云安循环经济环保产业示范基地项目：</w:t>
            </w:r>
            <w:r>
              <w:rPr>
                <w:rFonts w:hint="eastAsia" w:ascii="Times New Roman" w:hAnsi="Times New Roman" w:eastAsia="仿宋_GB2312" w:cs="仿宋_GB2312"/>
                <w:sz w:val="24"/>
              </w:rPr>
              <w:t>年综合利用废酸、废碱、含铝/铁废渣、废乳化液等工业废弃物21万吨，资源化生产净水剂等产品约22万吨/年。项目全部建成后年产值约8亿元，年创税收约7800万元。</w:t>
            </w:r>
          </w:p>
          <w:p>
            <w:pPr>
              <w:adjustRightInd w:val="0"/>
              <w:snapToGrid w:val="0"/>
              <w:spacing w:line="400" w:lineRule="exact"/>
              <w:rPr>
                <w:rFonts w:ascii="Times New Roman" w:hAnsi="Times New Roman"/>
              </w:rPr>
            </w:pPr>
            <w:r>
              <w:rPr>
                <w:rFonts w:hint="eastAsia" w:ascii="Times New Roman" w:hAnsi="Times New Roman" w:eastAsia="仿宋_GB2312" w:cs="楷体_GB2312"/>
                <w:b/>
                <w:bCs/>
                <w:sz w:val="24"/>
              </w:rPr>
              <w:t>4.云安区省级循环经济工业园创新研究院、污水处理中水回用等基础设施建设：</w:t>
            </w:r>
            <w:r>
              <w:rPr>
                <w:rFonts w:hint="eastAsia" w:ascii="Times New Roman" w:hAnsi="Times New Roman" w:eastAsia="仿宋_GB2312" w:cs="仿宋_GB2312"/>
                <w:sz w:val="24"/>
              </w:rPr>
              <w:t>项目建设在云安区六都镇冬城村委。包括创研中心综合楼首层、二层装修工程，绿色日化产业集聚区孵化器（二期）装修工程，绿色日化产业规划暨经济社会发展成果展厅工程等25个工程。</w:t>
            </w:r>
          </w:p>
        </w:tc>
      </w:tr>
    </w:tbl>
    <w:p>
      <w:pPr>
        <w:pStyle w:val="11"/>
        <w:ind w:firstLine="0" w:firstLineChars="0"/>
        <w:rPr>
          <w:rFonts w:ascii="Times New Roman" w:hAnsi="Times New Roman"/>
        </w:rPr>
      </w:pP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34" w:name="_Toc72403431"/>
      <w:bookmarkStart w:id="135" w:name="_Toc56537394"/>
      <w:bookmarkStart w:id="136" w:name="_Toc70518123"/>
      <w:r>
        <w:rPr>
          <w:rFonts w:hint="eastAsia" w:ascii="Times New Roman" w:hAnsi="Times New Roman" w:eastAsia="黑体" w:cs="Times New Roman"/>
          <w:b w:val="0"/>
          <w:bCs w:val="0"/>
          <w:sz w:val="32"/>
          <w:szCs w:val="32"/>
        </w:rPr>
        <w:t>第十一章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聚焦推进共同富裕，共创幸福美好生活</w:t>
      </w:r>
      <w:bookmarkEnd w:id="134"/>
      <w:bookmarkEnd w:id="135"/>
      <w:bookmarkEnd w:id="136"/>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坚持把实现好、维护好、发展好最广大人民根本利益作为发展的出发点和落脚点，尽力而为、量力而行，健全基本公共服务体系，完善共建共治共享的社会治理制度，不断增强人民群众获得感、幸福感、安全感，促进人的全面发展和社会全面进步。</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37" w:name="_Toc70518124"/>
      <w:bookmarkStart w:id="138" w:name="_Toc72403432"/>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落实教育优先发展战略</w:t>
      </w:r>
      <w:bookmarkEnd w:id="137"/>
      <w:bookmarkEnd w:id="138"/>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促进基础教育优质均衡发展。</w:t>
      </w:r>
      <w:r>
        <w:rPr>
          <w:rFonts w:hint="eastAsia" w:ascii="Times New Roman" w:hAnsi="Times New Roman" w:eastAsia="仿宋_GB2312" w:cs="Times New Roman"/>
          <w:sz w:val="32"/>
          <w:szCs w:val="32"/>
          <w:shd w:val="clear" w:color="auto" w:fill="FFFFFF"/>
        </w:rPr>
        <w:t>推进学前教育扩容增量，巩固提升学前教育“</w:t>
      </w:r>
      <w:r>
        <w:rPr>
          <w:rFonts w:ascii="Times New Roman" w:hAnsi="Times New Roman" w:eastAsia="仿宋_GB2312" w:cs="Times New Roman"/>
          <w:sz w:val="32"/>
          <w:szCs w:val="32"/>
          <w:shd w:val="clear" w:color="auto" w:fill="FFFFFF"/>
        </w:rPr>
        <w:t>5080”攻坚工程成果</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完成各镇公办中心幼儿园建设任务。</w:t>
      </w:r>
      <w:r>
        <w:rPr>
          <w:rFonts w:hint="eastAsia" w:ascii="Times New Roman" w:hAnsi="Times New Roman" w:eastAsia="仿宋_GB2312" w:cs="Times New Roman"/>
          <w:sz w:val="32"/>
          <w:szCs w:val="32"/>
          <w:shd w:val="clear" w:color="auto" w:fill="FFFFFF"/>
        </w:rPr>
        <w:t>扎实推进义务教育质量提升工作，加快寄宿制学校建设，优化提升教育基础设施建设，增加公办优质学位供给，解决云安籍在云城务工人员子女入学需求，支持华立中英文学校、光明外国语学校扩容提质。实施普通高中教育质量崛起工程，改善普通高中办学条件，全面深化高中课程教学改革，确保毛入学率逐年增高，提高普通高中办学水平和教学质量。全面加快云浮实验学校建设，引进名校先进的教育管理理念，创新办学模式，打造云安教育特色品牌。扩大鲲鹏教育基金会的资金规模和影响力。支持和规范民办教育发展，积极发展智慧教育。</w:t>
      </w:r>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cs="Times New Roman"/>
          <w:b/>
          <w:bCs/>
          <w:sz w:val="32"/>
          <w:szCs w:val="32"/>
          <w:shd w:val="clear" w:color="auto" w:fill="FFFFFF"/>
        </w:rPr>
        <w:t>加快职业教育提质培优。</w:t>
      </w:r>
      <w:r>
        <w:rPr>
          <w:rFonts w:hint="eastAsia" w:ascii="Times New Roman" w:hAnsi="Times New Roman" w:eastAsia="仿宋_GB2312" w:cs="Times New Roman"/>
          <w:sz w:val="32"/>
          <w:szCs w:val="32"/>
          <w:shd w:val="clear" w:color="auto" w:fill="FFFFFF"/>
        </w:rPr>
        <w:t>突出产教融合，以湾区所需和本地所求为切入点，鼓励华立技术学院、广东药科大学探索“订单式”教研模式、校企协同教育模式，打通育人和用人“最后一公里”。探索在新区建设特色职业教育园区，支持广东药科大、华立职业学院等已落户学校扩容提质，加快广东药科大云浮校区三期工程、新区矢崎（广崎）职业技术学校建设。推进职教学院集团化办学，提升办学水平。完</w:t>
      </w:r>
      <w:r>
        <w:rPr>
          <w:rFonts w:ascii="Times New Roman" w:hAnsi="Times New Roman" w:eastAsia="仿宋_GB2312" w:cs="Times New Roman"/>
          <w:sz w:val="32"/>
          <w:szCs w:val="32"/>
          <w:shd w:val="clear" w:color="auto" w:fill="FFFFFF"/>
        </w:rPr>
        <w:t>善终身学习体系，建设学习型社会。</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建设高素质专业化创新型教师队伍。</w:t>
      </w:r>
      <w:r>
        <w:rPr>
          <w:rFonts w:hint="eastAsia" w:ascii="Times New Roman" w:hAnsi="Times New Roman" w:eastAsia="仿宋_GB2312" w:cs="Times New Roman"/>
          <w:sz w:val="32"/>
          <w:szCs w:val="32"/>
          <w:shd w:val="clear" w:color="auto" w:fill="FFFFFF"/>
        </w:rPr>
        <w:t>加强新时代师德师风建设，全面提升教师思想政治素质和职业道德水平。健全中小学校长选拔任用机制和教育系统后备干部选拔培养制度，提高教育系统干部的综合素质。深入实施“强师工程”，进一步引进更多湾区优质教育资源，加强与南海区教育帮扶合作，推进中小学教师“县管校聘”改革，健全教师队伍管理、考核评价机制。提升教师培训质量，加快建设云安区教师发展中心，进一步增强教师培训工作的针对性和实效性，提高教师队伍综合素质和专业能力。</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hint="eastAsia" w:ascii="Times New Roman" w:hAnsi="Times New Roman" w:eastAsia="黑体"/>
                <w:sz w:val="24"/>
              </w:rPr>
              <w:t>10</w:t>
            </w:r>
            <w:r>
              <w:rPr>
                <w:rFonts w:ascii="Times New Roman" w:hAnsi="Times New Roman" w:eastAsia="黑体"/>
                <w:sz w:val="24"/>
              </w:rPr>
              <w:t xml:space="preserve">  </w:t>
            </w:r>
            <w:r>
              <w:rPr>
                <w:rFonts w:hint="eastAsia" w:ascii="Times New Roman" w:hAnsi="Times New Roman" w:eastAsia="黑体"/>
                <w:sz w:val="24"/>
              </w:rPr>
              <w:t>“十四五”时期我区教育领域发展重点项目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3"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1.寄宿制和薄改学校建设项目：</w:t>
            </w:r>
            <w:r>
              <w:rPr>
                <w:rFonts w:hint="eastAsia" w:ascii="Times New Roman" w:hAnsi="Times New Roman" w:eastAsia="仿宋_GB2312" w:cs="仿宋_GB2312"/>
                <w:sz w:val="24"/>
              </w:rPr>
              <w:t>（1）云安中学学生饭堂；（2）都骑中学新建饭堂；（3）富林镇中学扩建工程；（4）六都镇中心小学扩建；（5）六都第二中心小学教学楼工程；（6）石城镇中心小学（高潭校区）新建教学楼工程；（7）白石镇中心小学新建综合楼工程；（8）云安区高村镇中心小学扩建工程（9）白石镇中心小学新建综合楼工程；（10）镇安镇中心小学扩建工程；（11）富林镇中心小学寄宿制校区建设；（12）茶洞中学新建教学楼和学生宿舍饭堂综合楼；（13）</w:t>
            </w:r>
            <w:r>
              <w:rPr>
                <w:rFonts w:ascii="Times New Roman" w:hAnsi="Times New Roman" w:eastAsia="仿宋_GB2312" w:cs="仿宋_GB2312"/>
                <w:sz w:val="24"/>
              </w:rPr>
              <w:t>云浮市实验学校项目</w:t>
            </w:r>
            <w:r>
              <w:rPr>
                <w:rFonts w:hint="eastAsia" w:ascii="Times New Roman" w:hAnsi="Times New Roman" w:eastAsia="仿宋_GB2312" w:cs="仿宋_GB2312"/>
                <w:sz w:val="24"/>
              </w:rPr>
              <w:t>。</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2.学前教育建设项目：</w:t>
            </w:r>
            <w:r>
              <w:rPr>
                <w:rFonts w:hint="eastAsia" w:ascii="Times New Roman" w:hAnsi="Times New Roman" w:eastAsia="仿宋_GB2312" w:cs="仿宋_GB2312"/>
                <w:sz w:val="24"/>
              </w:rPr>
              <w:t>（1）六都镇中心幼儿园；（2</w:t>
            </w:r>
            <w:r>
              <w:rPr>
                <w:rFonts w:ascii="Times New Roman" w:hAnsi="Times New Roman" w:eastAsia="仿宋_GB2312" w:cs="仿宋_GB2312"/>
                <w:sz w:val="24"/>
              </w:rPr>
              <w:t>）高村镇中心幼儿园；</w:t>
            </w:r>
            <w:r>
              <w:rPr>
                <w:rFonts w:hint="eastAsia" w:ascii="Times New Roman" w:hAnsi="Times New Roman" w:eastAsia="仿宋_GB2312" w:cs="仿宋_GB2312"/>
                <w:sz w:val="24"/>
              </w:rPr>
              <w:t>（3）白石镇中心幼儿园；（4）镇安镇中心幼儿园；（5）富林镇中心幼儿园；（6）石城镇中心幼儿园。</w:t>
            </w:r>
          </w:p>
          <w:p>
            <w:pPr>
              <w:adjustRightInd w:val="0"/>
              <w:snapToGrid w:val="0"/>
              <w:spacing w:line="400" w:lineRule="exact"/>
              <w:rPr>
                <w:rFonts w:ascii="Times New Roman" w:hAnsi="Times New Roman"/>
              </w:rPr>
            </w:pPr>
            <w:r>
              <w:rPr>
                <w:rFonts w:hint="eastAsia" w:ascii="Times New Roman" w:hAnsi="Times New Roman" w:eastAsia="仿宋_GB2312" w:cs="楷体_GB2312"/>
                <w:b/>
                <w:bCs/>
                <w:sz w:val="24"/>
              </w:rPr>
              <w:t>3.职业教育建设项目：</w:t>
            </w:r>
            <w:r>
              <w:rPr>
                <w:rFonts w:hint="eastAsia" w:ascii="Times New Roman" w:hAnsi="Times New Roman" w:eastAsia="仿宋_GB2312" w:cs="仿宋_GB2312"/>
                <w:sz w:val="24"/>
              </w:rPr>
              <w:t>（</w:t>
            </w:r>
            <w:r>
              <w:rPr>
                <w:rFonts w:ascii="Times New Roman" w:hAnsi="Times New Roman" w:eastAsia="仿宋_GB2312" w:cs="仿宋_GB2312"/>
                <w:sz w:val="24"/>
              </w:rPr>
              <w:t>1）云安区教师发展中心建设工程；（2）云安区公共实训基地。</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39" w:name="_Toc70518125"/>
      <w:bookmarkStart w:id="140" w:name="_Toc72403433"/>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推进卫生强区建设</w:t>
      </w:r>
      <w:bookmarkEnd w:id="139"/>
      <w:bookmarkEnd w:id="140"/>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提升医疗卫生服务能力。</w:t>
      </w:r>
      <w:r>
        <w:rPr>
          <w:rFonts w:hint="eastAsia" w:ascii="Times New Roman" w:hAnsi="Times New Roman" w:eastAsia="仿宋_GB2312" w:cs="Times New Roman"/>
          <w:sz w:val="32"/>
          <w:szCs w:val="32"/>
          <w:shd w:val="clear" w:color="auto" w:fill="FFFFFF"/>
        </w:rPr>
        <w:t>优化医疗卫生布局，加快推进区第二人民医院、区疾病预防控制中心、区公共卫生应急培训中心、富林卫生院升级改造、医疗污水处理及医务人员周转房等医疗卫生项目建设，促进区人民医院、区中医院升级扩容，配套完善乡镇卫生院医疗设备设施，提高基层医疗卫生服务质量。依托云浮市中医院与我区人民医院紧密型帮扶关系，加快推广区、镇、村三级医疗卫生机构组成的医共体服务，推动优质医疗资源下沉。积极创建云安特色专科医院和特色科室。大力发展中医药事业，加强中医学科、中医药服务体系以及中医医联体建设。</w:t>
      </w:r>
      <w:r>
        <w:rPr>
          <w:rFonts w:ascii="Times New Roman" w:hAnsi="Times New Roman" w:eastAsia="仿宋_GB2312" w:cs="Times New Roman"/>
          <w:sz w:val="32"/>
          <w:szCs w:val="32"/>
          <w:shd w:val="clear" w:color="auto" w:fill="FFFFFF"/>
        </w:rPr>
        <w:t>加强职业病防治工作。</w:t>
      </w:r>
      <w:r>
        <w:rPr>
          <w:rFonts w:hint="eastAsia" w:ascii="Times New Roman" w:hAnsi="Times New Roman" w:eastAsia="仿宋_GB2312" w:cs="Times New Roman"/>
          <w:sz w:val="32"/>
          <w:szCs w:val="32"/>
          <w:shd w:val="clear" w:color="auto" w:fill="FFFFFF"/>
        </w:rPr>
        <w:t>重视精神卫生和心理健康，推进区人民医院精神专科建设。推进医疗卫生现代化，加大卫生信息化建设力度，稳步推进城乡“家庭签约式服务”模式和远程医疗模式。推进</w:t>
      </w:r>
      <w:r>
        <w:rPr>
          <w:rFonts w:ascii="Times New Roman" w:hAnsi="Times New Roman" w:eastAsia="仿宋_GB2312" w:cs="Times New Roman"/>
          <w:sz w:val="32"/>
          <w:szCs w:val="32"/>
          <w:shd w:val="clear" w:color="auto" w:fill="FFFFFF"/>
        </w:rPr>
        <w:t>0-3岁婴幼儿照护和老龄及医养结合工作。</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构建公共卫生应急体系。</w:t>
      </w:r>
      <w:r>
        <w:rPr>
          <w:rFonts w:hint="eastAsia" w:ascii="Times New Roman" w:hAnsi="Times New Roman" w:eastAsia="仿宋_GB2312" w:cs="Times New Roman"/>
          <w:sz w:val="32"/>
          <w:szCs w:val="32"/>
          <w:shd w:val="clear" w:color="auto" w:fill="FFFFFF"/>
        </w:rPr>
        <w:t>建立健全公共卫生应急体系和疾病预防控制体系，强化监测预警、风险评估、流行病学调查、检验检测、应急处置等职能。加强公共卫生应急能力建设，完善突发急性传染病监测网络、应急物资储备和调度制度，组建基层应急医疗救援机动队伍，提升应急救援能力。提高公共卫生预案建设能力，完善应急指挥机制，健全监测预警机制，优化应急响应机制，建立健全分级、分层、分流的重大疫情救治机制。健全疾病控制、临床治疗有效协同机制。</w:t>
      </w:r>
      <w:r>
        <w:rPr>
          <w:rFonts w:ascii="Times New Roman" w:hAnsi="Times New Roman" w:eastAsia="仿宋_GB2312" w:cs="Times New Roman"/>
          <w:sz w:val="32"/>
          <w:szCs w:val="32"/>
          <w:shd w:val="clear" w:color="auto" w:fill="FFFFFF"/>
        </w:rPr>
        <w:t>广泛开展爱国卫生运动，更好保障人民生命安全和身体健康。</w:t>
      </w:r>
    </w:p>
    <w:p>
      <w:pPr>
        <w:pStyle w:val="11"/>
        <w:ind w:firstLine="643"/>
        <w:rPr>
          <w:rFonts w:ascii="Times New Roman" w:hAnsi="Times New Roman"/>
        </w:rPr>
      </w:pPr>
      <w:r>
        <w:rPr>
          <w:rFonts w:hint="eastAsia" w:ascii="Times New Roman" w:hAnsi="Times New Roman"/>
          <w:b/>
          <w:bCs/>
        </w:rPr>
        <w:t>加强基层医疗卫生人才培养。</w:t>
      </w:r>
      <w:r>
        <w:rPr>
          <w:rFonts w:hint="eastAsia" w:ascii="Times New Roman" w:hAnsi="Times New Roman"/>
        </w:rPr>
        <w:t>强化与南海医疗机构交流合作，加大基层医疗卫生人才引进和培养，坚持柔性引才与重点培养相结合，持续实施基层医疗卫生机构专项招聘，满足基层医疗卫生服务人才需求。加强适宜人才培养，推进基层中医师师承教育，鼓励基层西医人员学习中医，加大力度推广中医适宜技术，适应人民群众基本医疗卫生服务需求。</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ascii="Times New Roman" w:hAnsi="Times New Roman" w:eastAsia="黑体"/>
                <w:sz w:val="24"/>
              </w:rPr>
              <w:t>1</w:t>
            </w:r>
            <w:r>
              <w:rPr>
                <w:rFonts w:hint="eastAsia" w:ascii="Times New Roman" w:hAnsi="Times New Roman" w:eastAsia="黑体"/>
                <w:sz w:val="24"/>
              </w:rPr>
              <w:t>1</w:t>
            </w:r>
            <w:r>
              <w:rPr>
                <w:rFonts w:ascii="Times New Roman" w:hAnsi="Times New Roman" w:eastAsia="黑体"/>
                <w:sz w:val="24"/>
              </w:rPr>
              <w:t xml:space="preserve">  </w:t>
            </w:r>
            <w:r>
              <w:rPr>
                <w:rFonts w:hint="eastAsia" w:ascii="Times New Roman" w:hAnsi="Times New Roman" w:eastAsia="黑体"/>
                <w:sz w:val="24"/>
              </w:rPr>
              <w:t>“十四五”时期我区卫生强区建设重点项目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1.云浮市云安区第二人民医院：</w:t>
            </w:r>
            <w:r>
              <w:rPr>
                <w:rFonts w:hint="eastAsia" w:ascii="Times New Roman" w:hAnsi="Times New Roman" w:eastAsia="仿宋_GB2312" w:cs="仿宋_GB2312"/>
                <w:sz w:val="24"/>
              </w:rPr>
              <w:t>按照县级综合医院标准建设，建筑面积2.63万平方米，包括门急诊综合楼、医技综合楼、住院综合楼、职工周转房、发热门诊楼、门卫房、连廊、垃圾站及附属用房；配套建设规范化手术室、消毒供应室、净水系统、污水处理系统等，购置医疗器械、耗材、医疗设备。</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2.云安区医联体基础设施配套工程：</w:t>
            </w:r>
            <w:r>
              <w:rPr>
                <w:rFonts w:hint="eastAsia" w:ascii="Times New Roman" w:hAnsi="Times New Roman" w:eastAsia="仿宋_GB2312" w:cs="仿宋_GB2312"/>
                <w:sz w:val="24"/>
              </w:rPr>
              <w:t>（1）建设9个医疗单位污水处理设施，处理污水144.84吨/日。（2）建设富林镇卫生院新建一幢门诊综合楼，总建筑面积为3440.85平方米；在现有2层住院楼加建2层，加建面积为1600平方米；对现有2层门诊楼进行改造，改造面积约900平方米。（3）石城镇卫生院、高村镇卫生院、白石镇卫生院、区中医院建设职工周围房，建设面积23120平方米。</w:t>
            </w:r>
          </w:p>
          <w:p>
            <w:pPr>
              <w:adjustRightInd w:val="0"/>
              <w:snapToGrid w:val="0"/>
              <w:spacing w:line="400" w:lineRule="exact"/>
              <w:rPr>
                <w:rFonts w:ascii="Times New Roman" w:hAnsi="Times New Roman" w:eastAsia="仿宋_GB2312" w:cs="楷体_GB2312"/>
                <w:b/>
                <w:bCs/>
                <w:sz w:val="24"/>
              </w:rPr>
            </w:pPr>
            <w:r>
              <w:rPr>
                <w:rFonts w:hint="eastAsia" w:ascii="Times New Roman" w:hAnsi="Times New Roman" w:eastAsia="仿宋_GB2312" w:cs="楷体_GB2312"/>
                <w:b/>
                <w:bCs/>
                <w:sz w:val="24"/>
              </w:rPr>
              <w:t>3.云浮市云安区中医院综合能力提升工程：</w:t>
            </w:r>
            <w:r>
              <w:rPr>
                <w:rFonts w:hint="eastAsia" w:ascii="Times New Roman" w:hAnsi="Times New Roman" w:eastAsia="仿宋_GB2312" w:cs="仿宋_GB2312"/>
                <w:sz w:val="24"/>
              </w:rPr>
              <w:t>建设发热门诊及肠道门诊，面积800平方米，不低于三个分区发热门诊，功能分区符合规范的门诊部；改造1层传染病隔离区，建筑面积为800平方米，设有普通病房及负压病房；装修消毒供应室，建筑面积230平方米；购置CT、DR、特种救护车；建设数字化医院，完善现有信息系统；建设市级体检中心；设备配置；改造3个名医工作室；医用制氧系统建设；污物处置间建设。</w:t>
            </w:r>
          </w:p>
          <w:p>
            <w:pPr>
              <w:adjustRightInd w:val="0"/>
              <w:snapToGrid w:val="0"/>
              <w:spacing w:line="400" w:lineRule="exact"/>
              <w:rPr>
                <w:rFonts w:ascii="Times New Roman" w:hAnsi="Times New Roman" w:cs="仿宋_GB2312"/>
                <w:sz w:val="24"/>
              </w:rPr>
            </w:pPr>
            <w:r>
              <w:rPr>
                <w:rFonts w:hint="eastAsia" w:ascii="Times New Roman" w:hAnsi="Times New Roman" w:eastAsia="仿宋_GB2312" w:cs="楷体_GB2312"/>
                <w:b/>
                <w:bCs/>
                <w:sz w:val="24"/>
              </w:rPr>
              <w:t>4.云浮市云安区疾病预防控制中心易地新建：</w:t>
            </w:r>
            <w:r>
              <w:rPr>
                <w:rFonts w:hint="eastAsia" w:ascii="Times New Roman" w:hAnsi="Times New Roman" w:eastAsia="仿宋_GB2312" w:cs="仿宋_GB2312"/>
                <w:sz w:val="24"/>
              </w:rPr>
              <w:t>总建筑面积6150平方米，包括：业务楼一栋，实验楼一，配电房以及门岗、垃圾房、污水池等附属设施，绿化、道路、广场等相关设施，配套购置实验室所需仪器设备一批。</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41" w:name="_Toc72403434"/>
      <w:bookmarkStart w:id="142" w:name="_Toc70518126"/>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繁荣发展文体事业</w:t>
      </w:r>
      <w:bookmarkEnd w:id="141"/>
      <w:bookmarkEnd w:id="142"/>
    </w:p>
    <w:p>
      <w:pPr>
        <w:pStyle w:val="11"/>
        <w:ind w:firstLine="643"/>
        <w:rPr>
          <w:rFonts w:ascii="Times New Roman" w:hAnsi="Times New Roman"/>
        </w:rPr>
      </w:pPr>
      <w:r>
        <w:rPr>
          <w:rFonts w:hint="eastAsia" w:ascii="Times New Roman" w:hAnsi="Times New Roman" w:cs="Times New Roman"/>
          <w:b/>
          <w:bCs/>
          <w:szCs w:val="32"/>
          <w:shd w:val="clear" w:color="auto" w:fill="FFFFFF"/>
        </w:rPr>
        <w:t>营造精神文明新风尚。</w:t>
      </w:r>
      <w:r>
        <w:rPr>
          <w:rFonts w:hint="eastAsia" w:ascii="Times New Roman" w:hAnsi="Times New Roman" w:cs="Times New Roman"/>
          <w:szCs w:val="32"/>
          <w:shd w:val="clear" w:color="auto" w:fill="FFFFFF"/>
        </w:rPr>
        <w:t>坚持培育和践行社会主义核心价值观，提升常态化文明创建水平。深化拓展新时代文明实践中心（所、站）建设，推进公民道德建设。大力开展文明单位、文明村镇、文明家庭、文明校园等群众性精神文明创建活动，深化学雷锋志愿服务活动，培育文明乡风、良好家风，营造文明新风尚。依托红色革命遗址、爱国主义教育基地，广泛开展红色文化、革命传统教育。</w:t>
      </w:r>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cs="Times New Roman"/>
          <w:b/>
          <w:bCs/>
          <w:sz w:val="32"/>
          <w:szCs w:val="32"/>
          <w:shd w:val="clear" w:color="auto" w:fill="FFFFFF"/>
        </w:rPr>
        <w:t>优化公共文化供给。</w:t>
      </w:r>
      <w:r>
        <w:rPr>
          <w:rFonts w:hint="eastAsia" w:ascii="Times New Roman" w:hAnsi="Times New Roman" w:eastAsia="仿宋_GB2312" w:cs="Times New Roman"/>
          <w:sz w:val="32"/>
          <w:szCs w:val="32"/>
          <w:shd w:val="clear" w:color="auto" w:fill="FFFFFF"/>
        </w:rPr>
        <w:t>加快区图书馆新建项目建设进程，推动区文化馆、图书馆、镇（街）综合文化站达标升级。</w:t>
      </w:r>
      <w:r>
        <w:rPr>
          <w:rFonts w:hint="eastAsia" w:ascii="Times New Roman" w:hAnsi="Times New Roman" w:eastAsia="仿宋_GB2312" w:cs="仿宋_GB2312"/>
          <w:sz w:val="32"/>
          <w:szCs w:val="32"/>
          <w:shd w:val="clear" w:color="auto" w:fill="FFFFFF"/>
        </w:rPr>
        <w:t>擦亮“陈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文化”名片，做好陈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文化研究与开发利用，积极申报“陈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传说”入选国家非物质文化遗产名录</w:t>
      </w:r>
      <w:r>
        <w:rPr>
          <w:rFonts w:ascii="Times New Roman" w:hAnsi="Times New Roman"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推进中韩陈</w:t>
      </w:r>
      <w:r>
        <w:rPr>
          <w:rFonts w:hint="eastAsia" w:ascii="Times New Roman" w:hAnsi="Times New Roman" w:eastAsia="微软雅黑" w:cs="微软雅黑"/>
          <w:sz w:val="32"/>
          <w:szCs w:val="32"/>
          <w:shd w:val="clear" w:color="auto" w:fill="FFFFFF"/>
        </w:rPr>
        <w:t>璘</w:t>
      </w:r>
      <w:r>
        <w:rPr>
          <w:rFonts w:hint="eastAsia" w:ascii="Times New Roman" w:hAnsi="Times New Roman" w:eastAsia="仿宋_GB2312" w:cs="仿宋_GB2312"/>
          <w:sz w:val="32"/>
          <w:szCs w:val="32"/>
          <w:shd w:val="clear" w:color="auto" w:fill="FFFFFF"/>
        </w:rPr>
        <w:t>文化创意产业园建设。</w:t>
      </w:r>
      <w:r>
        <w:rPr>
          <w:rFonts w:hint="eastAsia" w:ascii="Times New Roman" w:hAnsi="Times New Roman" w:eastAsia="仿宋_GB2312" w:cs="Times New Roman"/>
          <w:sz w:val="32"/>
          <w:szCs w:val="32"/>
          <w:shd w:val="clear" w:color="auto" w:fill="FFFFFF"/>
        </w:rPr>
        <w:t>充分发挥文化文艺工作者和非物质文化遗产“传承人”作用，创作一批本土文化文艺精品。</w:t>
      </w:r>
      <w:r>
        <w:rPr>
          <w:rFonts w:hint="eastAsia" w:ascii="Times New Roman" w:hAnsi="Times New Roman" w:eastAsia="仿宋_GB2312" w:cs="仿宋_GB2312"/>
          <w:sz w:val="32"/>
          <w:szCs w:val="32"/>
          <w:shd w:val="clear" w:color="auto" w:fill="FFFFFF"/>
        </w:rPr>
        <w:t>发掘整理庙宇、祠堂、明清古民居、民国炮楼传统建筑文化，做好云利醮会、马塘庙会、玲珑子母灯、云安八音、云安龙狮、高村炮会等特色传统项目的保护与开发，打造本土非遗品牌。做活“石文化”，加快建设中云石文化旅游产业中心。加强文体</w:t>
      </w:r>
      <w:r>
        <w:rPr>
          <w:rFonts w:hint="eastAsia" w:ascii="Times New Roman" w:hAnsi="Times New Roman" w:eastAsia="仿宋_GB2312" w:cs="Times New Roman"/>
          <w:sz w:val="32"/>
          <w:szCs w:val="32"/>
          <w:shd w:val="clear" w:color="auto" w:fill="FFFFFF"/>
        </w:rPr>
        <w:t>市场执法与监管，深入开展“扫黄打非”专项行动，营造清朗文化环境。</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开创体育事业发展新局面。</w:t>
      </w:r>
      <w:r>
        <w:rPr>
          <w:rFonts w:hint="eastAsia" w:ascii="Times New Roman" w:hAnsi="Times New Roman" w:eastAsia="仿宋_GB2312" w:cs="Times New Roman"/>
          <w:sz w:val="32"/>
          <w:szCs w:val="32"/>
          <w:shd w:val="clear" w:color="auto" w:fill="FFFFFF"/>
        </w:rPr>
        <w:t>科学合理布置公共体育资源，加强体育设施布局，加快推进区体育馆、游泳馆和全民健身中心建设。以社区体育公园、康体公园等项目为重点，加强基层体育场地设施建设。在每个镇新建或升级改造一个开放共享的文化体育公园。广泛开展全民健身活动，提倡各类学校和大型企业的体育设施社会化使用，打造居民</w:t>
      </w:r>
      <w:r>
        <w:rPr>
          <w:rFonts w:ascii="Times New Roman" w:hAnsi="Times New Roman" w:eastAsia="仿宋_GB2312" w:cs="Times New Roman"/>
          <w:sz w:val="32"/>
          <w:szCs w:val="32"/>
          <w:shd w:val="clear" w:color="auto" w:fill="FFFFFF"/>
        </w:rPr>
        <w:t>15</w:t>
      </w:r>
      <w:r>
        <w:rPr>
          <w:rFonts w:hint="eastAsia" w:ascii="Times New Roman" w:hAnsi="Times New Roman" w:eastAsia="仿宋_GB2312" w:cs="Times New Roman"/>
          <w:sz w:val="32"/>
          <w:szCs w:val="32"/>
          <w:shd w:val="clear" w:color="auto" w:fill="FFFFFF"/>
        </w:rPr>
        <w:t>分钟体育健身圈，营造“运动就在家门口”的社区氛围。探索“体育</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教育</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体育</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医疗卫生</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体育</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文化旅游</w:t>
      </w:r>
      <w:r>
        <w:rPr>
          <w:rFonts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rPr>
        <w:t>等融合发展模式和机制，推动体育产业高质量发展。</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ascii="Times New Roman" w:hAnsi="Times New Roman" w:eastAsia="黑体"/>
                <w:sz w:val="24"/>
              </w:rPr>
              <w:t>1</w:t>
            </w:r>
            <w:r>
              <w:rPr>
                <w:rFonts w:hint="eastAsia" w:ascii="Times New Roman" w:hAnsi="Times New Roman" w:eastAsia="黑体"/>
                <w:sz w:val="24"/>
              </w:rPr>
              <w:t>2</w:t>
            </w:r>
            <w:r>
              <w:rPr>
                <w:rFonts w:ascii="Times New Roman" w:hAnsi="Times New Roman" w:eastAsia="黑体"/>
                <w:sz w:val="24"/>
              </w:rPr>
              <w:t xml:space="preserve">  </w:t>
            </w:r>
            <w:r>
              <w:rPr>
                <w:rFonts w:hint="eastAsia" w:ascii="Times New Roman" w:hAnsi="Times New Roman" w:eastAsia="黑体"/>
                <w:sz w:val="24"/>
              </w:rPr>
              <w:t>“十四五”时期我区文体事业发展重点项目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1.云浮市云安区图书馆：</w:t>
            </w:r>
            <w:r>
              <w:rPr>
                <w:rFonts w:hint="eastAsia" w:ascii="Times New Roman" w:hAnsi="Times New Roman" w:eastAsia="仿宋_GB2312" w:cs="仿宋_GB2312"/>
                <w:sz w:val="24"/>
              </w:rPr>
              <w:t>采用钢筋混凝土框架结构，楼高2层，建筑总高度约11米，首层占地面积约1810平方米，总建筑面积约3620平方米。内设多功能报告厅、展览厅、借阅室、自习室、电子阅览室、地方文献收藏室、资料室、期刊室、档案室、采编室等功能室。</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2.云浮市云安区体育馆：</w:t>
            </w:r>
            <w:r>
              <w:rPr>
                <w:rFonts w:hint="eastAsia" w:ascii="Times New Roman" w:hAnsi="Times New Roman" w:eastAsia="仿宋_GB2312" w:cs="仿宋_GB2312"/>
                <w:sz w:val="24"/>
              </w:rPr>
              <w:t>新建云浮市云安区体育馆，体育馆主体采用钢筋混凝土框架结构，楼高3层，总高19米（含5米高钢结构网架），首层占地面积3360平方米，总建筑面积约6920平方米，内设3000个座位、一个篮球场及配套的会议室、办公室、设备室、器材室、医务室、休息室等功能室。</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3.云浮云安区中云石文化旅游产业中心：</w:t>
            </w:r>
            <w:r>
              <w:rPr>
                <w:rFonts w:hint="eastAsia" w:ascii="Times New Roman" w:hAnsi="Times New Roman" w:eastAsia="仿宋_GB2312" w:cs="仿宋_GB2312"/>
                <w:sz w:val="24"/>
              </w:rPr>
              <w:t>建设装饰板材及石材工艺产业园，配套生产、销售、石文化展览及旅游、石文化博物馆等功能综合项目。</w:t>
            </w:r>
          </w:p>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4.云浮市云安区中韩陈</w:t>
            </w:r>
            <w:r>
              <w:rPr>
                <w:rFonts w:hint="eastAsia" w:ascii="Times New Roman" w:hAnsi="Times New Roman" w:eastAsia="微软雅黑" w:cs="微软雅黑"/>
                <w:b/>
                <w:bCs/>
                <w:sz w:val="24"/>
              </w:rPr>
              <w:t>璘</w:t>
            </w:r>
            <w:r>
              <w:rPr>
                <w:rFonts w:hint="eastAsia" w:ascii="Times New Roman" w:hAnsi="Times New Roman" w:eastAsia="仿宋_GB2312" w:cs="楷体_GB2312"/>
                <w:b/>
                <w:bCs/>
                <w:sz w:val="24"/>
              </w:rPr>
              <w:t>文化创意产业园：</w:t>
            </w:r>
            <w:r>
              <w:rPr>
                <w:rFonts w:hint="eastAsia" w:ascii="Times New Roman" w:hAnsi="Times New Roman" w:eastAsia="仿宋_GB2312" w:cs="仿宋_GB2312"/>
                <w:sz w:val="24"/>
              </w:rPr>
              <w:t>修缮六都龙崖陈公祠及兵营遗址；打造六都南乡陈</w:t>
            </w:r>
            <w:r>
              <w:rPr>
                <w:rFonts w:hint="eastAsia" w:ascii="Times New Roman" w:hAnsi="Times New Roman" w:eastAsia="微软雅黑" w:cs="微软雅黑"/>
                <w:sz w:val="24"/>
              </w:rPr>
              <w:t>璘</w:t>
            </w:r>
            <w:r>
              <w:rPr>
                <w:rFonts w:hint="eastAsia" w:ascii="Times New Roman" w:hAnsi="Times New Roman" w:eastAsia="仿宋_GB2312" w:cs="仿宋_GB2312"/>
                <w:sz w:val="24"/>
              </w:rPr>
              <w:t>文化主题公园，建设陈</w:t>
            </w:r>
            <w:r>
              <w:rPr>
                <w:rFonts w:hint="eastAsia" w:ascii="Times New Roman" w:hAnsi="Times New Roman" w:eastAsia="微软雅黑" w:cs="微软雅黑"/>
                <w:sz w:val="24"/>
              </w:rPr>
              <w:t>璘</w:t>
            </w:r>
            <w:r>
              <w:rPr>
                <w:rFonts w:hint="eastAsia" w:ascii="Times New Roman" w:hAnsi="Times New Roman" w:eastAsia="仿宋_GB2312" w:cs="仿宋_GB2312"/>
                <w:sz w:val="24"/>
              </w:rPr>
              <w:t>文化广场、文化展廊、文化服务驿站等项目设施；配套建设游步道、停车场、旅游厕所、景观提升等基础设施；打造全域文化旅游示范村—“云利村”，修缮和开发陈</w:t>
            </w:r>
            <w:r>
              <w:rPr>
                <w:rFonts w:hint="eastAsia" w:ascii="Times New Roman" w:hAnsi="Times New Roman" w:eastAsia="微软雅黑" w:cs="微软雅黑"/>
                <w:sz w:val="24"/>
              </w:rPr>
              <w:t>璘</w:t>
            </w:r>
            <w:r>
              <w:rPr>
                <w:rFonts w:hint="eastAsia" w:ascii="Times New Roman" w:hAnsi="Times New Roman" w:eastAsia="仿宋_GB2312" w:cs="仿宋_GB2312"/>
                <w:sz w:val="24"/>
              </w:rPr>
              <w:t>文化古驿道。</w:t>
            </w:r>
          </w:p>
          <w:p>
            <w:pPr>
              <w:adjustRightInd w:val="0"/>
              <w:snapToGrid w:val="0"/>
              <w:spacing w:line="400" w:lineRule="exact"/>
              <w:rPr>
                <w:rFonts w:ascii="Times New Roman" w:hAnsi="Times New Roman" w:eastAsia="楷体_GB2312" w:cs="楷体_GB2312"/>
                <w:b/>
                <w:bCs/>
                <w:sz w:val="24"/>
              </w:rPr>
            </w:pPr>
            <w:r>
              <w:rPr>
                <w:rFonts w:hint="eastAsia" w:ascii="Times New Roman" w:hAnsi="Times New Roman" w:eastAsia="仿宋_GB2312" w:cs="楷体_GB2312"/>
                <w:b/>
                <w:bCs/>
                <w:sz w:val="24"/>
              </w:rPr>
              <w:t>5.广东恰好时体育有限公司云浮产业基地项目：</w:t>
            </w:r>
            <w:r>
              <w:rPr>
                <w:rFonts w:hint="eastAsia" w:ascii="Times New Roman" w:hAnsi="Times New Roman" w:eastAsia="仿宋_GB2312" w:cs="仿宋_GB2312"/>
                <w:sz w:val="24"/>
              </w:rPr>
              <w:t>项目计划投资2.5亿元，建设投资建设体育设施产业项目，建成后将生产经营运动场围网系统、专业赛事配套设施、体育照明以及智慧球场系统生产线。</w:t>
            </w:r>
          </w:p>
        </w:tc>
      </w:tr>
    </w:tbl>
    <w:p>
      <w:pPr>
        <w:pStyle w:val="11"/>
        <w:ind w:firstLine="0" w:firstLineChars="0"/>
        <w:rPr>
          <w:rFonts w:ascii="Times New Roman" w:hAnsi="Times New Roman"/>
        </w:rPr>
      </w:pP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43" w:name="_Toc72403435"/>
      <w:bookmarkStart w:id="144" w:name="_Toc70518127"/>
      <w:r>
        <w:rPr>
          <w:rFonts w:hint="eastAsia" w:ascii="Times New Roman" w:hAnsi="Times New Roman" w:eastAsia="楷体_GB2312" w:cs="Times New Roman"/>
          <w:kern w:val="0"/>
          <w:sz w:val="32"/>
          <w:szCs w:val="32"/>
        </w:rPr>
        <w:t>第四节 积极应对人口老龄化</w:t>
      </w:r>
      <w:bookmarkEnd w:id="143"/>
      <w:bookmarkEnd w:id="144"/>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促进人口长期均衡发展。</w:t>
      </w:r>
      <w:r>
        <w:rPr>
          <w:rFonts w:hint="eastAsia" w:ascii="Times New Roman" w:hAnsi="Times New Roman" w:eastAsia="仿宋_GB2312" w:cs="Times New Roman"/>
          <w:sz w:val="32"/>
          <w:szCs w:val="32"/>
          <w:shd w:val="clear" w:color="auto" w:fill="FFFFFF"/>
        </w:rPr>
        <w:t>增强生育政策包容性，提高优生优育服务水平，发展普惠托育服务体系，降低生育、养育、教育成本。大力吸引高素质人才、年轻人流入，加大人力资本投入，提高全市人口平均受教育年限。加强老年人关爱服务体系建设，支持发展面向老年人的公益慈善事业。鼓励养老孝老敬老，建设老年友好型社会。建立完善生育支持、幼儿养育、青少年发展、老人赡养、病残照料、抵御风险等家庭发展政策体系，提高家庭发展能力。</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加强社会养老服务体系建设。</w:t>
      </w:r>
      <w:r>
        <w:rPr>
          <w:rFonts w:hint="eastAsia" w:ascii="Times New Roman" w:hAnsi="Times New Roman" w:eastAsia="仿宋_GB2312" w:cs="Times New Roman"/>
          <w:sz w:val="32"/>
          <w:szCs w:val="32"/>
          <w:shd w:val="clear" w:color="auto" w:fill="FFFFFF"/>
        </w:rPr>
        <w:t>务实推进居家和社区养老服务试点建设，积极鼓励、扶持社会资源参与，提升养老服务供给能力。依托“云浮市居家养老服务信息化服务平台”，探索“养老需求一键受理，融合服务一刻上门”的社区居家养老服务模式。</w:t>
      </w:r>
      <w:r>
        <w:rPr>
          <w:rFonts w:ascii="Times New Roman" w:hAnsi="Times New Roman" w:eastAsia="仿宋_GB2312" w:cs="Times New Roman"/>
          <w:sz w:val="32"/>
          <w:szCs w:val="32"/>
          <w:shd w:val="clear" w:color="auto" w:fill="FFFFFF"/>
        </w:rPr>
        <w:t>逐步建成以居家为基础、社区为依托、机构为补充、医养相结合的覆盖城乡的社区养老服务体系。</w:t>
      </w:r>
      <w:r>
        <w:rPr>
          <w:rFonts w:hint="eastAsia" w:ascii="Times New Roman" w:hAnsi="Times New Roman" w:eastAsia="仿宋_GB2312" w:cs="Times New Roman"/>
          <w:sz w:val="32"/>
          <w:szCs w:val="32"/>
          <w:shd w:val="clear" w:color="auto" w:fill="FFFFFF"/>
        </w:rPr>
        <w:t>推动老龄事业和养老产业协同发展，积极开发老龄化人力资源，加快发展银发经济。</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45" w:name="_Toc72403436"/>
      <w:bookmarkStart w:id="146" w:name="_Toc70518128"/>
      <w:r>
        <w:rPr>
          <w:rFonts w:hint="eastAsia" w:ascii="Times New Roman" w:hAnsi="Times New Roman" w:eastAsia="楷体_GB2312" w:cs="Times New Roman"/>
          <w:kern w:val="0"/>
          <w:sz w:val="32"/>
          <w:szCs w:val="32"/>
        </w:rPr>
        <w:t>第五节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健全多层次社会保障体系</w:t>
      </w:r>
      <w:bookmarkEnd w:id="145"/>
      <w:bookmarkEnd w:id="146"/>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cs="Times New Roman"/>
          <w:b/>
          <w:bCs/>
          <w:sz w:val="32"/>
          <w:szCs w:val="32"/>
          <w:shd w:val="clear" w:color="auto" w:fill="FFFFFF"/>
        </w:rPr>
        <w:t>以更加充分更高质量就业促进增收。</w:t>
      </w:r>
      <w:r>
        <w:rPr>
          <w:rFonts w:hint="eastAsia" w:ascii="Times New Roman" w:hAnsi="Times New Roman" w:eastAsia="仿宋_GB2312" w:cs="Times New Roman"/>
          <w:sz w:val="32"/>
          <w:szCs w:val="32"/>
          <w:shd w:val="clear" w:color="auto" w:fill="FFFFFF"/>
        </w:rPr>
        <w:t>坚持在经济增长的同时实现居民收入基本同步增长，坚持在劳动生产率提高的同时实现劳动报酬基本同步提高。推动就业优先战略和积极就业政策落地，完善就业服务体系，加大就业服务供给和技能培训力度，推进“粤菜师傅”“广东技工”“南粤家政”三项工程纵深发展，促进高质量、精准化就业。完善重点群体就业支持体系，健全失业监测预警机制和就业困难人员托底帮扶机制。面向就业困难人员开发一批公益性岗位。重视发挥第三次分配作用，积极引导社会力量投身乡村振兴、教育、文化、体育、环保等社会公益事业。</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完善住房保障体系。</w:t>
      </w:r>
      <w:r>
        <w:rPr>
          <w:rFonts w:hint="eastAsia" w:ascii="Times New Roman" w:hAnsi="Times New Roman" w:eastAsia="仿宋_GB2312" w:cs="Times New Roman"/>
          <w:sz w:val="32"/>
          <w:szCs w:val="32"/>
          <w:shd w:val="clear" w:color="auto" w:fill="FFFFFF"/>
        </w:rPr>
        <w:t>扩大住房公积金制度覆盖面，充分发挥住房公积金对住房保障的积极作用。坚持应保尽保的原则，采用公租房实物配租或租赁补贴形式，不断加快落实住房保障政策，逐步改善城镇中低收入住房困难群体及新就业无房职工、新引进的高层次人才和急需人才及在云安稳定就业的异地务工人员的居住条件。推进住房保障信息共享平台建设，建立快捷方便的信息查询、公示平台和分户电子档案，增加保障房建设、分配和动态管理的透明度。</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完善基本社会保险制度。</w:t>
      </w:r>
      <w:r>
        <w:rPr>
          <w:rFonts w:hint="eastAsia" w:ascii="Times New Roman" w:hAnsi="Times New Roman" w:eastAsia="仿宋_GB2312" w:cs="Times New Roman"/>
          <w:sz w:val="32"/>
          <w:szCs w:val="32"/>
          <w:shd w:val="clear" w:color="auto" w:fill="FFFFFF"/>
        </w:rPr>
        <w:t>健全城乡居民大病保险制度，加快实现基本社会保障的制度全覆盖；完善以职工医疗保险、城乡居民医疗保险为主体的基本医疗保险制度体系。落实养老金调整政策，稳步提高退休人员养老待遇水平。深化医保支付方式改革，实现异地结算。全面推进各类医疗保险制度统筹整合，鼓励发展补充医疗保险和商业健康保险。</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健全社会保障福利体系。</w:t>
      </w:r>
      <w:r>
        <w:rPr>
          <w:rFonts w:hint="eastAsia" w:ascii="Times New Roman" w:hAnsi="Times New Roman" w:eastAsia="仿宋_GB2312" w:cs="Times New Roman"/>
          <w:sz w:val="32"/>
          <w:szCs w:val="32"/>
          <w:shd w:val="clear" w:color="auto" w:fill="FFFFFF"/>
        </w:rPr>
        <w:t>持续夯实兜底保障，提高城乡低保、特困人员供养、孤儿、事实无人抚养儿童、残疾人、高龄失能老人等特殊困难群体的救助标准，提供多样化、多层次的社会救助服务。健全以最低生活保障制度为核心，以专项救助制度和临时救助制度为辅助，以社会互助制度为补充的综合社会救助体系。保障残疾人合法权益，加快残疾人事业发展，加大对残疾少年儿童康复资助力度，开展“千干扶千残”活动。强化退役军人服务管理，建立退役军人三级服务保障体系。大力发展福利慈善事业。依法推进殡葬管理工作，扎实做好户籍居民火化丧葬费用统筹工作，减轻城乡居民负担。</w:t>
      </w:r>
    </w:p>
    <w:p>
      <w:pPr>
        <w:spacing w:line="600" w:lineRule="exact"/>
        <w:ind w:firstLine="642" w:firstLineChars="200"/>
        <w:rPr>
          <w:rFonts w:ascii="Times New Roman" w:hAnsi="Times New Roman" w:eastAsia="仿宋_GB2312" w:cs="Times New Roman"/>
          <w:sz w:val="32"/>
          <w:szCs w:val="32"/>
          <w:shd w:val="clear" w:color="auto" w:fill="FFFFFF"/>
        </w:rPr>
      </w:pPr>
      <w:bookmarkStart w:id="147" w:name="_Hlk57794752"/>
      <w:r>
        <w:rPr>
          <w:rFonts w:hint="eastAsia" w:ascii="Times New Roman" w:hAnsi="Times New Roman" w:eastAsia="仿宋_GB2312" w:cs="Times New Roman"/>
          <w:b/>
          <w:bCs/>
          <w:sz w:val="32"/>
          <w:szCs w:val="32"/>
          <w:shd w:val="clear" w:color="auto" w:fill="FFFFFF"/>
        </w:rPr>
        <w:t>促进青少年全面健康发展。</w:t>
      </w:r>
      <w:r>
        <w:rPr>
          <w:rFonts w:hint="eastAsia" w:ascii="Times New Roman" w:hAnsi="Times New Roman" w:eastAsia="仿宋_GB2312" w:cs="Times New Roman"/>
          <w:sz w:val="32"/>
          <w:szCs w:val="32"/>
          <w:shd w:val="clear" w:color="auto" w:fill="FFFFFF"/>
        </w:rPr>
        <w:t>加强青少年思想政治引领，践行社会主义核心价值观，推动预防青少年犯罪各项工作落地落实，建设专门教育学校收教。积极引导青少年投身乡村振兴，积极开展志愿服务助力乡村振兴行动，加大力度培养农村青年“领头雁”，结合共青团“南粤会亲”“青春扶贫”“希望工程”等工作品牌，扎实推进共青团投身打赢脱贫攻坚战行动。认真贯彻落实《中学共青团改革实施方案》、《少先队改革方案》要求，加快推进中小学团队建设。把握青年工作规律，聚焦青年婚恋、住房、就业、创业等需求，多措并举服务青年，切实解决青年关注问题。逐步完善党政主导、共青团协调、全社会参与、专业化推进、覆盖城乡、面向全体青少年的权益工作体系，不断优化青少年成长环境。</w:t>
      </w:r>
      <w:bookmarkEnd w:id="147"/>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推动妇女儿童事业高质量发展。</w:t>
      </w:r>
      <w:r>
        <w:rPr>
          <w:rFonts w:hint="eastAsia" w:ascii="Times New Roman" w:hAnsi="Times New Roman" w:eastAsia="仿宋_GB2312" w:cs="Times New Roman"/>
          <w:sz w:val="32"/>
          <w:szCs w:val="32"/>
          <w:shd w:val="clear" w:color="auto" w:fill="FFFFFF"/>
        </w:rPr>
        <w:t>深入贯彻落实男女平等基本国策，保障妇女儿童合法权益。充分发挥政府职能推动反家暴工作，完善“三留”人员关爱服务，加强妇女儿童阵地建设，加强家庭、家教、家风建设。推进妇女儿童事业发展，实现妇女平等享有优质高效的卫生健康服务、教育权利、经济权益、社会保障等基本权益；儿童进一步实现健康、安全、教育、福利、家庭、环境、法律保护领域的权利，享有更加优质的基本公共服务、更加普惠和优越的福利保障、更加和谐友好的家庭和社会环境。</w:t>
      </w:r>
    </w:p>
    <w:tbl>
      <w:tblPr>
        <w:tblStyle w:val="19"/>
        <w:tblpPr w:leftFromText="180" w:rightFromText="180" w:vertAnchor="text" w:horzAnchor="margin" w:tblpX="250" w:tblpY="2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30" w:type="dxa"/>
            <w:vAlign w:val="center"/>
          </w:tcPr>
          <w:p>
            <w:pPr>
              <w:adjustRightInd w:val="0"/>
              <w:snapToGrid w:val="0"/>
              <w:spacing w:line="600" w:lineRule="exact"/>
              <w:jc w:val="center"/>
              <w:rPr>
                <w:rFonts w:ascii="Times New Roman" w:hAnsi="Times New Roman" w:eastAsia="方正仿宋_GBK"/>
                <w:b/>
                <w:bCs/>
                <w:sz w:val="24"/>
              </w:rPr>
            </w:pPr>
            <w:r>
              <w:rPr>
                <w:rFonts w:hint="eastAsia" w:ascii="Times New Roman" w:hAnsi="Times New Roman" w:eastAsia="黑体" w:cs="黑体"/>
                <w:sz w:val="24"/>
              </w:rPr>
              <w:t>专栏</w:t>
            </w:r>
            <w:r>
              <w:rPr>
                <w:rFonts w:ascii="Times New Roman" w:hAnsi="Times New Roman" w:eastAsia="黑体"/>
                <w:sz w:val="24"/>
              </w:rPr>
              <w:t>1</w:t>
            </w:r>
            <w:r>
              <w:rPr>
                <w:rFonts w:hint="eastAsia" w:ascii="Times New Roman" w:hAnsi="Times New Roman" w:eastAsia="黑体"/>
                <w:sz w:val="24"/>
              </w:rPr>
              <w:t>3</w:t>
            </w:r>
            <w:r>
              <w:rPr>
                <w:rFonts w:ascii="Times New Roman" w:hAnsi="Times New Roman" w:eastAsia="黑体"/>
                <w:sz w:val="24"/>
              </w:rPr>
              <w:t xml:space="preserve">  </w:t>
            </w:r>
            <w:r>
              <w:rPr>
                <w:rFonts w:hint="eastAsia" w:ascii="Times New Roman" w:hAnsi="Times New Roman" w:eastAsia="黑体"/>
                <w:sz w:val="24"/>
              </w:rPr>
              <w:t>“十四五”时期我区社会保障领域发展重点项目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8930" w:type="dxa"/>
          </w:tcPr>
          <w:p>
            <w:pPr>
              <w:adjustRightInd w:val="0"/>
              <w:snapToGrid w:val="0"/>
              <w:spacing w:line="400" w:lineRule="exact"/>
              <w:rPr>
                <w:rFonts w:ascii="Times New Roman" w:hAnsi="Times New Roman" w:eastAsia="仿宋_GB2312" w:cs="仿宋_GB2312"/>
                <w:sz w:val="24"/>
              </w:rPr>
            </w:pPr>
            <w:r>
              <w:rPr>
                <w:rFonts w:hint="eastAsia" w:ascii="Times New Roman" w:hAnsi="Times New Roman" w:eastAsia="仿宋_GB2312" w:cs="楷体_GB2312"/>
                <w:b/>
                <w:bCs/>
                <w:sz w:val="24"/>
              </w:rPr>
              <w:t>1.禅宗文化与旅游养生养老产业示范基地：</w:t>
            </w:r>
            <w:r>
              <w:rPr>
                <w:rFonts w:hint="eastAsia" w:ascii="Times New Roman" w:hAnsi="Times New Roman" w:eastAsia="仿宋_GB2312" w:cs="仿宋_GB2312"/>
                <w:sz w:val="24"/>
              </w:rPr>
              <w:t>建设大型养生养老基地，主要建设四合院、养老中心、老人活动中心、宿舍大楼约1000个床位、饭堂、餐饮及相关配套设施；建筑面积2.09万平方米。</w:t>
            </w:r>
          </w:p>
          <w:p>
            <w:pPr>
              <w:adjustRightInd w:val="0"/>
              <w:snapToGrid w:val="0"/>
              <w:spacing w:line="400" w:lineRule="exact"/>
              <w:rPr>
                <w:rFonts w:ascii="Times New Roman" w:hAnsi="Times New Roman" w:cs="仿宋_GB2312"/>
                <w:sz w:val="24"/>
              </w:rPr>
            </w:pPr>
            <w:r>
              <w:rPr>
                <w:rFonts w:hint="eastAsia" w:ascii="Times New Roman" w:hAnsi="Times New Roman" w:eastAsia="仿宋_GB2312" w:cs="楷体_GB2312"/>
                <w:b/>
                <w:bCs/>
                <w:sz w:val="24"/>
              </w:rPr>
              <w:t>2.云浮新区农民集中安置区：</w:t>
            </w:r>
            <w:r>
              <w:rPr>
                <w:rFonts w:hint="eastAsia" w:ascii="Times New Roman" w:hAnsi="Times New Roman" w:eastAsia="仿宋_GB2312" w:cs="仿宋_GB2312"/>
                <w:sz w:val="24"/>
              </w:rPr>
              <w:t>项目包括道路工程、土方平整工程、给排水工程、挡土护坡、绿化工程及电力线路迁改工程等。</w:t>
            </w:r>
          </w:p>
        </w:tc>
      </w:tr>
    </w:tbl>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48" w:name="_Toc56537395"/>
      <w:bookmarkStart w:id="149" w:name="_Toc72403437"/>
      <w:bookmarkStart w:id="150" w:name="_Toc70518129"/>
      <w:r>
        <w:rPr>
          <w:rFonts w:hint="eastAsia" w:ascii="Times New Roman" w:hAnsi="Times New Roman" w:eastAsia="黑体" w:cs="Times New Roman"/>
          <w:b w:val="0"/>
          <w:bCs w:val="0"/>
          <w:sz w:val="32"/>
          <w:szCs w:val="32"/>
        </w:rPr>
        <w:t>第十二章</w:t>
      </w:r>
      <w:r>
        <w:rPr>
          <w:rFonts w:ascii="Times New Roman" w:hAnsi="Times New Roman" w:eastAsia="黑体" w:cs="Times New Roman"/>
          <w:b w:val="0"/>
          <w:bCs w:val="0"/>
          <w:sz w:val="32"/>
          <w:szCs w:val="32"/>
        </w:rPr>
        <w:t xml:space="preserve"> </w:t>
      </w:r>
      <w:r>
        <w:rPr>
          <w:rFonts w:hint="eastAsia" w:ascii="Times New Roman" w:hAnsi="Times New Roman" w:eastAsia="黑体" w:cs="Times New Roman"/>
          <w:b w:val="0"/>
          <w:bCs w:val="0"/>
          <w:sz w:val="32"/>
          <w:szCs w:val="32"/>
        </w:rPr>
        <w:t>统筹发展和安全，建设更高水平的平安云安</w:t>
      </w:r>
      <w:bookmarkEnd w:id="148"/>
      <w:bookmarkEnd w:id="149"/>
      <w:bookmarkEnd w:id="150"/>
    </w:p>
    <w:p>
      <w:pPr>
        <w:spacing w:line="600" w:lineRule="exact"/>
        <w:ind w:firstLine="640" w:firstLineChars="200"/>
        <w:rPr>
          <w:rFonts w:ascii="Times New Roman" w:hAnsi="Times New Roman" w:eastAsia="仿宋_GB2312" w:cs="仿宋_GB2312"/>
        </w:rPr>
      </w:pPr>
      <w:r>
        <w:rPr>
          <w:rFonts w:hint="eastAsia" w:ascii="Times New Roman" w:hAnsi="Times New Roman" w:eastAsia="仿宋_GB2312" w:cs="仿宋_GB2312"/>
          <w:sz w:val="32"/>
          <w:szCs w:val="32"/>
        </w:rPr>
        <w:t>推动严格执法、公正司法、全民守法，营造一流法治环境，加大重点领域和重大社会矛盾化解力度，打好防范化解风险主动仗，确保云安社会稳定、大局平安。</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51" w:name="_Toc70518130"/>
      <w:bookmarkStart w:id="152" w:name="_Toc72403438"/>
      <w:r>
        <w:rPr>
          <w:rFonts w:hint="eastAsia" w:ascii="Times New Roman" w:hAnsi="Times New Roman" w:eastAsia="楷体_GB2312" w:cs="Times New Roman"/>
          <w:kern w:val="0"/>
          <w:sz w:val="32"/>
          <w:szCs w:val="32"/>
        </w:rPr>
        <w:t>第一节 全面加强平安云安建设</w:t>
      </w:r>
      <w:bookmarkEnd w:id="151"/>
      <w:bookmarkEnd w:id="152"/>
    </w:p>
    <w:p>
      <w:pPr>
        <w:pStyle w:val="11"/>
        <w:spacing w:line="600" w:lineRule="exact"/>
        <w:ind w:firstLine="643"/>
        <w:rPr>
          <w:rFonts w:ascii="Times New Roman" w:hAnsi="Times New Roman" w:cs="仿宋_GB2312"/>
          <w:b/>
          <w:bCs/>
          <w:szCs w:val="32"/>
        </w:rPr>
      </w:pPr>
      <w:r>
        <w:rPr>
          <w:rFonts w:hint="eastAsia" w:ascii="Times New Roman" w:hAnsi="Times New Roman" w:cs="仿宋_GB2312"/>
          <w:b/>
          <w:bCs/>
          <w:szCs w:val="32"/>
        </w:rPr>
        <w:t>牢固树立安全观。</w:t>
      </w:r>
      <w:r>
        <w:rPr>
          <w:rFonts w:hint="eastAsia" w:ascii="Times New Roman" w:hAnsi="Times New Roman" w:cs="仿宋_GB2312"/>
          <w:szCs w:val="32"/>
        </w:rPr>
        <w:t>加强维护稳定、严打犯罪、治安防范和服务管理等各项工作，确保全区社会大局持续平安稳定。牢固树立保稳定、促发展的意识，全力维护国家政治安全，全面强化反恐怖斗争。进一步强化反恐防暴、应急处突和排查化解不稳定因素等工作。</w:t>
      </w:r>
    </w:p>
    <w:p>
      <w:pPr>
        <w:pStyle w:val="11"/>
        <w:spacing w:line="600" w:lineRule="exact"/>
        <w:ind w:firstLine="643"/>
        <w:rPr>
          <w:rFonts w:ascii="Times New Roman" w:hAnsi="Times New Roman" w:cs="仿宋_GB2312"/>
          <w:b/>
          <w:bCs/>
          <w:szCs w:val="32"/>
        </w:rPr>
      </w:pPr>
      <w:r>
        <w:rPr>
          <w:rFonts w:hint="eastAsia" w:ascii="Times New Roman" w:hAnsi="Times New Roman" w:cs="仿宋_GB2312"/>
          <w:b/>
          <w:bCs/>
          <w:szCs w:val="32"/>
        </w:rPr>
        <w:t>防范化解公共安全风险。</w:t>
      </w:r>
      <w:r>
        <w:rPr>
          <w:rFonts w:hint="eastAsia" w:ascii="Times New Roman" w:hAnsi="Times New Roman" w:cs="仿宋_GB2312"/>
          <w:szCs w:val="32"/>
        </w:rPr>
        <w:t>加强“智慧新警务”“雪亮工程”“微网格”治理智慧综合平台建设，完善立体化信息化治安防控体系建设。全面提升公共安全防范水平，深入开展道路交通安全隐患排查整改和道路交通违法严打整治。加大公安装备投入，加快社会治安视频监控系统（四期）建设，扩容区级公共安全视频监控综治分平台应用能力，推动“一户一个二维码”“智能门锁”“智慧小区”“智慧寄递物流防控”建设，加强城市安全体系建设。加强食品药品安全监管，落实安全生产责任制，严防重特大安全事故发生。</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完善社会稳定风险防控机制。</w:t>
      </w:r>
      <w:r>
        <w:rPr>
          <w:rFonts w:hint="eastAsia" w:ascii="Times New Roman" w:hAnsi="Times New Roman" w:cs="仿宋_GB2312"/>
          <w:szCs w:val="32"/>
        </w:rPr>
        <w:t>坚持以防范化解风险为着力点，健全风险防控机制，增强社会治理预见性、精准性、高效性，不断健全重大决策社会稳定风险评估、社会矛盾风险防控、</w:t>
      </w:r>
      <w:r>
        <w:rPr>
          <w:rFonts w:ascii="Times New Roman" w:hAnsi="Times New Roman" w:cs="仿宋_GB2312"/>
          <w:szCs w:val="32"/>
        </w:rPr>
        <w:t>重大疫情防控和公共安全风险监测预警等体制机制。完善社会矛盾纠纷多元预防调处化解综合机制，加强矛盾纠纷的源头预防和排查化解，积极探索运用情、理、法相统一的多元化解方式解决问题，规范群众矛盾纠纷调处化解程序，最大限度把矛盾纠纷化解在基层，消除在萌芽状态。</w:t>
      </w:r>
    </w:p>
    <w:p>
      <w:pPr>
        <w:pStyle w:val="11"/>
        <w:spacing w:line="600" w:lineRule="exact"/>
        <w:ind w:firstLine="643"/>
        <w:rPr>
          <w:rFonts w:ascii="Times New Roman" w:hAnsi="Times New Roman" w:cs="仿宋_GB2312"/>
          <w:b/>
          <w:bCs/>
          <w:szCs w:val="32"/>
        </w:rPr>
      </w:pPr>
      <w:r>
        <w:rPr>
          <w:rFonts w:hint="eastAsia" w:ascii="Times New Roman" w:hAnsi="Times New Roman" w:cs="仿宋_GB2312"/>
          <w:b/>
          <w:bCs/>
          <w:szCs w:val="32"/>
        </w:rPr>
        <w:t>加强国防动员教育。</w:t>
      </w:r>
      <w:r>
        <w:rPr>
          <w:rFonts w:hint="eastAsia" w:ascii="Times New Roman" w:hAnsi="Times New Roman" w:cs="仿宋_GB2312"/>
          <w:szCs w:val="32"/>
        </w:rPr>
        <w:t>强化全民国防观念，做好双拥工作。进一步加强国防教育宣传，做好国防动员和后备力量建设工作，</w:t>
      </w:r>
      <w:r>
        <w:rPr>
          <w:rFonts w:ascii="Times New Roman" w:hAnsi="Times New Roman" w:cs="仿宋_GB2312"/>
          <w:szCs w:val="32"/>
        </w:rPr>
        <w:t>营造全社会关心支持国防和军队建设良好氛围。引导转业复退军人积极投身军民融合实践，对退役士兵开展定向定岗教育培训，充分提升军民融合质量效益。做好拥军优属工作。加强与军地科研院校合作，推动军民融合产业发展。</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53" w:name="_Toc72403439"/>
      <w:bookmarkStart w:id="154" w:name="_Toc70518131"/>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全面推进法治云安建设</w:t>
      </w:r>
      <w:bookmarkEnd w:id="153"/>
      <w:bookmarkEnd w:id="154"/>
    </w:p>
    <w:p>
      <w:pPr>
        <w:spacing w:line="600" w:lineRule="exact"/>
        <w:ind w:firstLine="642" w:firstLineChars="200"/>
        <w:rPr>
          <w:rFonts w:ascii="Times New Roman" w:hAnsi="Times New Roman" w:eastAsia="仿宋_GB2312" w:cs="Times New Roman"/>
          <w:b/>
          <w:bCs/>
          <w:sz w:val="32"/>
          <w:szCs w:val="32"/>
          <w:shd w:val="clear" w:color="auto" w:fill="FFFFFF"/>
        </w:rPr>
      </w:pPr>
      <w:r>
        <w:rPr>
          <w:rFonts w:hint="eastAsia" w:ascii="Times New Roman" w:hAnsi="Times New Roman" w:eastAsia="仿宋_GB2312"/>
          <w:b/>
          <w:bCs/>
          <w:sz w:val="32"/>
          <w:szCs w:val="32"/>
        </w:rPr>
        <w:t>完善党和国家监督体系。</w:t>
      </w:r>
      <w:r>
        <w:rPr>
          <w:rFonts w:hint="eastAsia" w:ascii="Times New Roman" w:hAnsi="Times New Roman" w:eastAsia="仿宋_GB2312"/>
          <w:sz w:val="32"/>
        </w:rPr>
        <w:t>推进纪律监督、监察监督、派驻监督、巡察监督统筹衔接，促进“四项监督”贯通融合。促进党委（党组）全面监督、纪检监察机关专责监督、党的工作机关职能监督、党的基层组织日常监督、党员民主监督有机结合，落实区委出台的《关于加强各级纪委对同级党委监督工作的意见（试行）》，做细做实“一把手”监督，完善党内谈心谈话制度，推动上级“一把手”抓好下级“一把手”。坚持以党内监督为主导，把党内监督和人大监督、民主监督、司法监督、群众监督、舆论监督紧密结合起来，充分发挥反腐败协调小组作用，深化与国资、审计、财会、统计等监督协作配合，进一步健全反腐败信息发布机制，把监督融入“十四五”规划实施全过程，融入区域治理、部门治理、行业治理、基层治理、单位治理之中。构建全覆盖的责任制度和监督制度，建立完善对同级党委监督，巡察、派驻协作监督以及巡察上下联动监督等机制制度，推动各类监督协调贯通，形成常态长效的监督合力。全面推行村级纪检监察小组建设全覆盖，让监督在村级成为常态，打通全面从严治党向基层延伸的“最后一公里”。</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着力建设法治政府。</w:t>
      </w:r>
      <w:r>
        <w:rPr>
          <w:rFonts w:hint="eastAsia" w:ascii="Times New Roman" w:hAnsi="Times New Roman" w:eastAsia="仿宋_GB2312" w:cs="Times New Roman"/>
          <w:sz w:val="32"/>
          <w:szCs w:val="32"/>
          <w:shd w:val="clear" w:color="auto" w:fill="FFFFFF"/>
        </w:rPr>
        <w:t>坚持依法行政，把政府工作纳入法治轨道，强化各级领导干部法治意识，带头尊法学法守法用法，做制度执行的表率；推进规范性文件立改废释，为民营企业发展提供制度保障，加快形成高效的法治实施体系。深化行政审批制度改革，推进行政决策科学化、民主化、法治化，全面推进政务公开和政务诚信建设，深化行政复议体制改革，健全依法有效化解社会矛盾纠纷机制，加快推广应用广东省行政执法“两平台”，推进行政执法公开化、标准化、信息化。健全行政权力运行机制，促进执法公正文明，全面加强政治建设、履职能力和纪律作风建设，打造过硬行政执法队伍。</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加快建设法治社会。</w:t>
      </w:r>
      <w:r>
        <w:rPr>
          <w:rFonts w:hint="eastAsia" w:ascii="Times New Roman" w:hAnsi="Times New Roman" w:eastAsia="仿宋_GB2312" w:cs="Times New Roman"/>
          <w:sz w:val="32"/>
          <w:szCs w:val="32"/>
          <w:shd w:val="clear" w:color="auto" w:fill="FFFFFF"/>
        </w:rPr>
        <w:t>部署落实“八五”普法规划，高质量推动“谁执法谁普法”责任制度落实，广泛开展《民法典》等法律宣传，增强全民法治意识，促进全民知法守法。探索运用新媒体新技术普法，实现法治宣传教育全覆盖。健全社会领域制度规范，完善多层次多领域社会规范，强化道德规范建设，深入推进诚信建设制度化，以良法促进社会建设、保障社会善治。加强权利保护，建设覆盖城乡的公共法律服务体系，有效维护各类社会主体合法权益。严格落实司法责任制度，深入推进公正司法，加强案中案后监管，探索健全社会公平正义法治保障制度。全面提升社会治理法治化水平，依法维护社会秩序、解决社会问题、协调利益关系、推动社会事业发展。</w:t>
      </w:r>
    </w:p>
    <w:p>
      <w:pPr>
        <w:spacing w:line="600" w:lineRule="exact"/>
        <w:ind w:firstLine="642" w:firstLineChars="200"/>
        <w:rPr>
          <w:rFonts w:ascii="Times New Roman" w:hAnsi="Times New Roman" w:eastAsia="仿宋_GB2312" w:cs="仿宋_GB2312"/>
          <w:sz w:val="32"/>
          <w:szCs w:val="32"/>
        </w:rPr>
      </w:pPr>
      <w:r>
        <w:rPr>
          <w:rFonts w:hint="eastAsia" w:ascii="Times New Roman" w:hAnsi="Times New Roman" w:eastAsia="仿宋_GB2312" w:cs="Times New Roman"/>
          <w:b/>
          <w:bCs/>
          <w:sz w:val="32"/>
          <w:szCs w:val="32"/>
          <w:shd w:val="clear" w:color="auto" w:fill="FFFFFF"/>
        </w:rPr>
        <w:t>推进法治乡村建设。</w:t>
      </w:r>
      <w:r>
        <w:rPr>
          <w:rFonts w:hint="eastAsia" w:ascii="Times New Roman" w:hAnsi="Times New Roman" w:eastAsia="仿宋_GB2312" w:cs="Times New Roman"/>
          <w:sz w:val="32"/>
          <w:szCs w:val="32"/>
          <w:shd w:val="clear" w:color="auto" w:fill="FFFFFF"/>
        </w:rPr>
        <w:t>巩固“民主法治村（社区）”建设成果，积极推进示范村（社区）创建工作。推广使用</w:t>
      </w:r>
      <w:r>
        <w:rPr>
          <w:rFonts w:ascii="Times New Roman" w:hAnsi="Times New Roman" w:eastAsia="仿宋_GB2312" w:cs="Times New Roman"/>
          <w:sz w:val="32"/>
          <w:szCs w:val="32"/>
          <w:shd w:val="clear" w:color="auto" w:fill="FFFFFF"/>
        </w:rPr>
        <w:t>12348公共法律服务热线、中国法律服务网、公共法律服务站（室）三大平台，探索符合我区实际情况的村级公共法律服务工作室运作模式，推动“互联网+”线上法律服务全覆盖。持续实施以提升基层干部法治能力、提升农村普法成效、提升农村公共法律服务为主要内容的“三项提升”行动，将法治宣传、法律服务和法治保障的“触角”延伸到基层，助力乡村振兴。</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55" w:name="_Toc70518132"/>
      <w:bookmarkStart w:id="156" w:name="_Toc72403440"/>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推进市域社会治理现代化</w:t>
      </w:r>
      <w:bookmarkEnd w:id="155"/>
      <w:bookmarkEnd w:id="156"/>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推进社会治理体制现代化。</w:t>
      </w:r>
      <w:r>
        <w:rPr>
          <w:rFonts w:hint="eastAsia" w:ascii="Times New Roman" w:hAnsi="Times New Roman" w:eastAsia="仿宋_GB2312" w:cs="Times New Roman"/>
          <w:sz w:val="32"/>
          <w:szCs w:val="32"/>
          <w:shd w:val="clear" w:color="auto" w:fill="FFFFFF"/>
        </w:rPr>
        <w:t>提升群众对全区平安建设满意度达到</w:t>
      </w:r>
      <w:r>
        <w:rPr>
          <w:rFonts w:ascii="Times New Roman" w:hAnsi="Times New Roman" w:eastAsia="仿宋_GB2312" w:cs="Times New Roman"/>
          <w:sz w:val="32"/>
          <w:szCs w:val="32"/>
          <w:shd w:val="clear" w:color="auto" w:fill="FFFFFF"/>
        </w:rPr>
        <w:t>96%以上。建立企业社会平安责任评估和激励奖惩机制</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提升“平安交通”“平安医院”“平安校园”“平安景区”“平安市场”等行业建设。全区90%以上的村（社区）可直接办理或代办政务服务事项。社区综合服务设施全覆盖，村级综合服务设施覆盖率不低于90%。100%</w:t>
      </w:r>
      <w:r>
        <w:rPr>
          <w:rFonts w:hint="eastAsia" w:ascii="Times New Roman" w:hAnsi="Times New Roman" w:eastAsia="仿宋_GB2312" w:cs="Times New Roman"/>
          <w:sz w:val="32"/>
          <w:szCs w:val="32"/>
          <w:shd w:val="clear" w:color="auto" w:fill="FFFFFF"/>
        </w:rPr>
        <w:t>的</w:t>
      </w:r>
      <w:r>
        <w:rPr>
          <w:rFonts w:ascii="Times New Roman" w:hAnsi="Times New Roman" w:eastAsia="仿宋_GB2312" w:cs="Times New Roman"/>
          <w:sz w:val="32"/>
          <w:szCs w:val="32"/>
          <w:shd w:val="clear" w:color="auto" w:fill="FFFFFF"/>
        </w:rPr>
        <w:t>村（社区）落实信息化手段下重大事项决策“四议两公开”。县、镇两级社会组织孵化培育和活动场所覆盖率不低于50%。城区“一社区一警两辅”和农村“一村一辅警”100%覆盖。创建无违法上访、无刑事治安案件、无邪教、无黑恶势力、无公共安全事故、无毒害、无群体性事件平安村（社区）和青少年零犯罪零受害村（社区）。</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推进社会治理工作布局现代化。</w:t>
      </w:r>
      <w:r>
        <w:rPr>
          <w:rFonts w:hint="eastAsia" w:ascii="Times New Roman" w:hAnsi="Times New Roman" w:eastAsia="仿宋_GB2312" w:cs="Times New Roman"/>
          <w:sz w:val="32"/>
          <w:szCs w:val="32"/>
          <w:shd w:val="clear" w:color="auto" w:fill="FFFFFF"/>
        </w:rPr>
        <w:t>组建各级反邪教宣讲团、反邪教协会。建立不低于常住人口</w:t>
      </w:r>
      <w:r>
        <w:rPr>
          <w:rFonts w:ascii="Times New Roman" w:hAnsi="Times New Roman" w:eastAsia="仿宋_GB2312" w:cs="Times New Roman"/>
          <w:sz w:val="32"/>
          <w:szCs w:val="32"/>
          <w:shd w:val="clear" w:color="auto" w:fill="FFFFFF"/>
        </w:rPr>
        <w:t>1‰的专职、兼职平安巡防队伍。推进社区、网格群众共建共治微信群“一格一群”全覆盖。组建区、镇两级社会第三方参与调解的多元矛盾化解中介协会。100%镇建立一支专业与业余结合应急处置队伍，100%村（社区）建立至少一支互助互帮社会义务救援力队伍。推进特殊人群安置、教育、矫治、管理以及综合干预。全覆盖在册严重精神障碍患者适用群体应用长效针，100%镇按照在册患者1:30～50比例配置社区康复专职护士，100%社区工疗康复机构配</w:t>
      </w:r>
      <w:r>
        <w:rPr>
          <w:rFonts w:hint="eastAsia" w:ascii="Times New Roman" w:hAnsi="Times New Roman" w:eastAsia="仿宋_GB2312" w:cs="Times New Roman"/>
          <w:sz w:val="32"/>
          <w:szCs w:val="32"/>
          <w:shd w:val="clear" w:color="auto" w:fill="FFFFFF"/>
        </w:rPr>
        <w:t>置“</w:t>
      </w:r>
      <w:r>
        <w:rPr>
          <w:rFonts w:ascii="Times New Roman" w:hAnsi="Times New Roman" w:eastAsia="仿宋_GB2312" w:cs="Times New Roman"/>
          <w:sz w:val="32"/>
          <w:szCs w:val="32"/>
          <w:shd w:val="clear" w:color="auto" w:fill="FFFFFF"/>
        </w:rPr>
        <w:t>1+2”名专业人员和专职人员，常态化进行社区职业咨询、职业评估、职业训练和就业指导</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建设区镇村三级普遍教育促进社会心理健康服务架构，区、镇两级100%开展社会心理健康信息化线上宣传服务疏导转介，</w:t>
      </w:r>
      <w:r>
        <w:rPr>
          <w:rFonts w:hint="eastAsia" w:ascii="Times New Roman" w:hAnsi="Times New Roman" w:eastAsia="仿宋_GB2312" w:cs="Times New Roman"/>
          <w:sz w:val="32"/>
          <w:szCs w:val="32"/>
          <w:shd w:val="clear" w:color="auto" w:fill="FFFFFF"/>
        </w:rPr>
        <w:t>全区</w:t>
      </w:r>
      <w:r>
        <w:rPr>
          <w:rFonts w:ascii="Times New Roman" w:hAnsi="Times New Roman" w:eastAsia="仿宋_GB2312" w:cs="Times New Roman"/>
          <w:sz w:val="32"/>
          <w:szCs w:val="32"/>
          <w:shd w:val="clear" w:color="auto" w:fill="FFFFFF"/>
        </w:rPr>
        <w:t>村（居）委会设立1名心理辅导委员，城市、农村普通人群心理健康知识知晓率分别达到70%、50%以上。</w:t>
      </w:r>
    </w:p>
    <w:p>
      <w:pPr>
        <w:spacing w:line="600" w:lineRule="exact"/>
        <w:ind w:firstLine="642"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rPr>
        <w:t>推进社会治理方式现代化。</w:t>
      </w:r>
      <w:r>
        <w:rPr>
          <w:rFonts w:hint="eastAsia" w:ascii="Times New Roman" w:hAnsi="Times New Roman" w:eastAsia="仿宋_GB2312" w:cs="Times New Roman"/>
          <w:sz w:val="32"/>
          <w:szCs w:val="32"/>
          <w:shd w:val="clear" w:color="auto" w:fill="FFFFFF"/>
        </w:rPr>
        <w:t>加强城乡建设与管理领域立法。加强</w:t>
      </w:r>
      <w:r>
        <w:rPr>
          <w:rFonts w:ascii="Times New Roman" w:hAnsi="Times New Roman" w:eastAsia="仿宋_GB2312" w:cs="Times New Roman"/>
          <w:sz w:val="32"/>
          <w:szCs w:val="32"/>
          <w:shd w:val="clear" w:color="auto" w:fill="FFFFFF"/>
        </w:rPr>
        <w:t>道德规范、诚信体系建设。推进院校、党校社会治理理论研究。全面建设社会、学校、家庭</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三位一体</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德育网络,推进新时代文明实践中心（所、站）建设。推进社会治理多网融合，全面应用区块链和人工智能技术。全</w:t>
      </w:r>
      <w:r>
        <w:rPr>
          <w:rFonts w:hint="eastAsia" w:ascii="Times New Roman" w:hAnsi="Times New Roman" w:eastAsia="仿宋_GB2312" w:cs="Times New Roman"/>
          <w:sz w:val="32"/>
          <w:szCs w:val="32"/>
          <w:shd w:val="clear" w:color="auto" w:fill="FFFFFF"/>
        </w:rPr>
        <w:t>面</w:t>
      </w:r>
      <w:r>
        <w:rPr>
          <w:rFonts w:ascii="Times New Roman" w:hAnsi="Times New Roman" w:eastAsia="仿宋_GB2312" w:cs="Times New Roman"/>
          <w:sz w:val="32"/>
          <w:szCs w:val="32"/>
          <w:shd w:val="clear" w:color="auto" w:fill="FFFFFF"/>
        </w:rPr>
        <w:t>建设区级市域社会治理现代化指挥中心，100%完成区镇二级社会治安综合治理综治中心机构独立</w:t>
      </w:r>
      <w:r>
        <w:rPr>
          <w:rFonts w:hint="eastAsia" w:ascii="Times New Roman" w:hAnsi="Times New Roman" w:eastAsia="仿宋_GB2312" w:cs="Times New Roman"/>
          <w:sz w:val="32"/>
          <w:szCs w:val="32"/>
          <w:shd w:val="clear" w:color="auto" w:fill="FFFFFF"/>
        </w:rPr>
        <w:t>定编设置运行，实现</w:t>
      </w:r>
      <w:r>
        <w:rPr>
          <w:rFonts w:ascii="Times New Roman" w:hAnsi="Times New Roman" w:eastAsia="仿宋_GB2312" w:cs="Times New Roman"/>
          <w:sz w:val="32"/>
          <w:szCs w:val="32"/>
          <w:shd w:val="clear" w:color="auto" w:fill="FFFFFF"/>
        </w:rPr>
        <w:t>镇“微网格”治理服务中心与社会治安综合治理综治中心融合运行</w:t>
      </w:r>
      <w:r>
        <w:rPr>
          <w:rFonts w:hint="eastAsia" w:ascii="Times New Roman" w:hAnsi="Times New Roman" w:eastAsia="仿宋_GB2312" w:cs="Times New Roman"/>
          <w:sz w:val="32"/>
          <w:szCs w:val="32"/>
          <w:shd w:val="clear" w:color="auto" w:fill="FFFFFF"/>
        </w:rPr>
        <w:t>全覆盖</w:t>
      </w:r>
      <w:r>
        <w:rPr>
          <w:rFonts w:ascii="Times New Roman" w:hAnsi="Times New Roman" w:eastAsia="仿宋_GB2312" w:cs="Times New Roman"/>
          <w:sz w:val="32"/>
          <w:szCs w:val="32"/>
          <w:shd w:val="clear" w:color="auto" w:fill="FFFFFF"/>
        </w:rPr>
        <w:t>，设立基层社会治理指挥中心，专兼职网格员经费纳入</w:t>
      </w:r>
      <w:r>
        <w:rPr>
          <w:rFonts w:hint="eastAsia" w:ascii="Times New Roman" w:hAnsi="Times New Roman" w:eastAsia="仿宋_GB2312" w:cs="Times New Roman"/>
          <w:sz w:val="32"/>
          <w:szCs w:val="32"/>
          <w:shd w:val="clear" w:color="auto" w:fill="FFFFFF"/>
        </w:rPr>
        <w:t>区</w:t>
      </w:r>
      <w:r>
        <w:rPr>
          <w:rFonts w:ascii="Times New Roman" w:hAnsi="Times New Roman" w:eastAsia="仿宋_GB2312" w:cs="Times New Roman"/>
          <w:sz w:val="32"/>
          <w:szCs w:val="32"/>
          <w:shd w:val="clear" w:color="auto" w:fill="FFFFFF"/>
        </w:rPr>
        <w:t>级财政保障。</w:t>
      </w:r>
      <w:r>
        <w:rPr>
          <w:rFonts w:hint="eastAsia" w:ascii="Times New Roman" w:hAnsi="Times New Roman" w:eastAsia="仿宋_GB2312" w:cs="Times New Roman"/>
          <w:sz w:val="32"/>
          <w:szCs w:val="32"/>
          <w:shd w:val="clear" w:color="auto" w:fill="FFFFFF"/>
        </w:rPr>
        <w:t>推动</w:t>
      </w:r>
      <w:r>
        <w:rPr>
          <w:rFonts w:ascii="Times New Roman" w:hAnsi="Times New Roman" w:eastAsia="仿宋_GB2312" w:cs="Times New Roman"/>
          <w:sz w:val="32"/>
          <w:szCs w:val="32"/>
          <w:shd w:val="clear" w:color="auto" w:fill="FFFFFF"/>
        </w:rPr>
        <w:t>各级各部门进入“微网格”服务管理事项100%落实对应工作经费“费随事转”，相关经费转移固定或奖补给网格员。</w:t>
      </w:r>
      <w:r>
        <w:rPr>
          <w:rFonts w:hint="eastAsia" w:ascii="Times New Roman" w:hAnsi="Times New Roman" w:eastAsia="仿宋_GB2312" w:cs="Times New Roman"/>
          <w:sz w:val="32"/>
          <w:szCs w:val="32"/>
          <w:shd w:val="clear" w:color="auto" w:fill="FFFFFF"/>
        </w:rPr>
        <w:t>加快</w:t>
      </w:r>
      <w:r>
        <w:rPr>
          <w:rFonts w:ascii="Times New Roman" w:hAnsi="Times New Roman" w:eastAsia="仿宋_GB2312" w:cs="Times New Roman"/>
          <w:sz w:val="32"/>
          <w:szCs w:val="32"/>
          <w:shd w:val="clear" w:color="auto" w:fill="FFFFFF"/>
        </w:rPr>
        <w:t>城镇小、微网格和农村微网格建立群众</w:t>
      </w:r>
      <w:r>
        <w:rPr>
          <w:rFonts w:hint="eastAsia" w:ascii="Times New Roman" w:hAnsi="Times New Roman" w:eastAsia="仿宋_GB2312" w:cs="Times New Roman"/>
          <w:sz w:val="32"/>
          <w:szCs w:val="32"/>
          <w:shd w:val="clear" w:color="auto" w:fill="FFFFFF"/>
        </w:rPr>
        <w:t>全面</w:t>
      </w:r>
      <w:r>
        <w:rPr>
          <w:rFonts w:ascii="Times New Roman" w:hAnsi="Times New Roman" w:eastAsia="仿宋_GB2312" w:cs="Times New Roman"/>
          <w:sz w:val="32"/>
          <w:szCs w:val="32"/>
          <w:shd w:val="clear" w:color="auto" w:fill="FFFFFF"/>
        </w:rPr>
        <w:t>参与共建共治</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积分兑换超市</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。100%镇应用广东省行政执法信息平台和行政执法监督网络平台，并与“微网格”平台有机对接。</w:t>
      </w:r>
      <w:r>
        <w:rPr>
          <w:rFonts w:hint="eastAsia" w:ascii="Times New Roman" w:hAnsi="Times New Roman" w:eastAsia="仿宋_GB2312" w:cs="Times New Roman"/>
          <w:sz w:val="32"/>
          <w:szCs w:val="32"/>
          <w:shd w:val="clear" w:color="auto" w:fill="FFFFFF"/>
        </w:rPr>
        <w:t>将消防安全纳入社会服务管理体系，推动基层健全消防组织机构，提升消防安全治理水平。</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57" w:name="_Toc70518133"/>
      <w:bookmarkStart w:id="158" w:name="_Toc72403441"/>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健全应急管理体制机制</w:t>
      </w:r>
      <w:bookmarkEnd w:id="157"/>
      <w:bookmarkEnd w:id="158"/>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加强应急管理体系建设。</w:t>
      </w:r>
      <w:r>
        <w:rPr>
          <w:rFonts w:hint="eastAsia" w:ascii="Times New Roman" w:hAnsi="Times New Roman" w:cs="仿宋_GB2312"/>
          <w:szCs w:val="32"/>
        </w:rPr>
        <w:t>建立区应急指挥综合平台，统筹全区应急能力建设，创建区域应急管理智慧化管理模式，构建全区统一领导、权责一致、权威高效的应急能力体系。推动镇级应急体系建设，夯实乡镇防灾减灾救灾基础，全面提升应急管理和汛旱风灾害防范应对能力。推动日化园区特勤消防救援站规划和建设，提升化学灾害事故处置和抢险救援能力。建立统一的应急管理信息系统，建设监测预警、灾情报告和指挥平台，推动形成统一指挥、专常兼备、反应灵敏、上下联动、平战结合的应急管理体制。建立风险评估专家库，健全安全风险会商研判机制，加强化工园区、油气管道、危险货物运输、实验室使用、危险废物处置等重点环节风险管控，构建监管精准的应急安全生产体系。加大地质灾害和农村削坡建房整治力度。加强应急管理人才建设。</w:t>
      </w:r>
    </w:p>
    <w:p>
      <w:pPr>
        <w:pStyle w:val="11"/>
        <w:spacing w:line="600" w:lineRule="exact"/>
        <w:ind w:firstLine="643"/>
        <w:rPr>
          <w:rFonts w:ascii="Times New Roman" w:hAnsi="Times New Roman" w:cs="仿宋_GB2312"/>
          <w:szCs w:val="32"/>
        </w:rPr>
      </w:pPr>
      <w:r>
        <w:rPr>
          <w:rFonts w:hint="eastAsia" w:ascii="Times New Roman" w:hAnsi="Times New Roman" w:cs="仿宋_GB2312"/>
          <w:b/>
          <w:bCs/>
          <w:szCs w:val="32"/>
        </w:rPr>
        <w:t>加强应急物资基础设施建设。</w:t>
      </w:r>
      <w:r>
        <w:rPr>
          <w:rFonts w:hint="eastAsia" w:ascii="Times New Roman" w:hAnsi="Times New Roman" w:cs="仿宋_GB2312"/>
          <w:szCs w:val="32"/>
        </w:rPr>
        <w:t>加快区应急物资装备库、专业森林消防队营区项目建设，加强对安全生产类、自然灾害类等应急物资储备管控。建立统一的应急物资采购供应体系，对接省、市建立统一的应急物资保障数据服务平台，促进应急物资信息资源共享。加强对超服役年限的消防器材车辆进行更新换代，加快推动辖区专职消防队伍建设。</w:t>
      </w:r>
    </w:p>
    <w:p>
      <w:pPr>
        <w:pStyle w:val="5"/>
        <w:adjustRightInd w:val="0"/>
        <w:snapToGrid w:val="0"/>
        <w:spacing w:before="120" w:after="120" w:line="600" w:lineRule="exact"/>
        <w:jc w:val="center"/>
        <w:rPr>
          <w:rFonts w:ascii="Times New Roman" w:hAnsi="Times New Roman" w:eastAsia="黑体" w:cs="Times New Roman"/>
          <w:b w:val="0"/>
          <w:bCs w:val="0"/>
          <w:sz w:val="32"/>
          <w:szCs w:val="32"/>
        </w:rPr>
      </w:pPr>
      <w:bookmarkStart w:id="159" w:name="_Toc56537396"/>
      <w:bookmarkStart w:id="160" w:name="_Toc72403442"/>
      <w:bookmarkStart w:id="161" w:name="_Toc70518134"/>
      <w:r>
        <w:rPr>
          <w:rFonts w:hint="eastAsia" w:ascii="Times New Roman" w:hAnsi="Times New Roman" w:eastAsia="黑体" w:cs="Times New Roman"/>
          <w:b w:val="0"/>
          <w:bCs w:val="0"/>
          <w:sz w:val="32"/>
          <w:szCs w:val="32"/>
        </w:rPr>
        <w:t>第十三章</w:t>
      </w:r>
      <w:r>
        <w:rPr>
          <w:rFonts w:ascii="Times New Roman" w:hAnsi="Times New Roman" w:eastAsia="黑体" w:cs="Times New Roman"/>
          <w:b w:val="0"/>
          <w:bCs w:val="0"/>
          <w:sz w:val="32"/>
          <w:szCs w:val="32"/>
        </w:rPr>
        <w:t xml:space="preserve"> </w:t>
      </w:r>
      <w:bookmarkEnd w:id="159"/>
      <w:r>
        <w:rPr>
          <w:rFonts w:hint="eastAsia" w:ascii="Times New Roman" w:hAnsi="Times New Roman" w:eastAsia="黑体" w:cs="Times New Roman"/>
          <w:b w:val="0"/>
          <w:bCs w:val="0"/>
          <w:sz w:val="32"/>
          <w:szCs w:val="32"/>
        </w:rPr>
        <w:t>健全规划实施机制，保障实现发展蓝图</w:t>
      </w:r>
      <w:bookmarkEnd w:id="160"/>
      <w:bookmarkEnd w:id="161"/>
    </w:p>
    <w:p>
      <w:pPr>
        <w:spacing w:line="600" w:lineRule="exact"/>
        <w:ind w:firstLine="640" w:firstLineChars="20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充分发挥全面从严治党引领保障作用，确保“第十四个五年规划和二</w:t>
      </w:r>
      <w:r>
        <w:rPr>
          <w:rFonts w:hint="eastAsia" w:ascii="Times New Roman" w:hAnsi="Times New Roman" w:eastAsia="微软雅黑" w:cs="微软雅黑"/>
          <w:sz w:val="32"/>
          <w:szCs w:val="32"/>
        </w:rPr>
        <w:t>〇</w:t>
      </w:r>
      <w:r>
        <w:rPr>
          <w:rFonts w:hint="eastAsia" w:ascii="Times New Roman" w:hAnsi="Times New Roman" w:eastAsia="仿宋_GB2312" w:cs="仿宋_GB2312"/>
          <w:sz w:val="32"/>
          <w:szCs w:val="32"/>
        </w:rPr>
        <w:t>三五远景目标”落到实处。完善政策保障，加大资金投入，强化规划衔接，充分调动一切积极因素，广泛团结一切可以团结的力量，形成推动发展的强大合力。</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62" w:name="_Toc70518135"/>
      <w:bookmarkStart w:id="163" w:name="_Toc72403443"/>
      <w:bookmarkStart w:id="164" w:name="_Toc56537397"/>
      <w:r>
        <w:rPr>
          <w:rFonts w:hint="eastAsia" w:ascii="Times New Roman" w:hAnsi="Times New Roman" w:eastAsia="楷体_GB2312" w:cs="Times New Roman"/>
          <w:kern w:val="0"/>
          <w:sz w:val="32"/>
          <w:szCs w:val="32"/>
        </w:rPr>
        <w:t>第一节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加强组织领导</w:t>
      </w:r>
      <w:bookmarkEnd w:id="162"/>
      <w:bookmarkEnd w:id="163"/>
      <w:bookmarkEnd w:id="164"/>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成立区“十四五”规划实施工作领导小组，建立各级党委、政府统一领导、部门分工协作的规划实施机制，协调解决规划纲要和各专项规划编制实施工作过程中的重大问题。明确年度任务，按照规划确定的发展目标、主要任务，制订规划年度实施方案，与年度计划进行衔接，加强协调配合，牵头单位要切实负起责任，有关单位要积极配合，形成工作合力。</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65" w:name="_Toc72403444"/>
      <w:bookmarkStart w:id="166" w:name="_Toc56537398"/>
      <w:bookmarkStart w:id="167" w:name="_Toc70518136"/>
      <w:r>
        <w:rPr>
          <w:rFonts w:hint="eastAsia" w:ascii="Times New Roman" w:hAnsi="Times New Roman" w:eastAsia="楷体_GB2312" w:cs="Times New Roman"/>
          <w:kern w:val="0"/>
          <w:sz w:val="32"/>
          <w:szCs w:val="32"/>
        </w:rPr>
        <w:t>第二节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完善政策保障</w:t>
      </w:r>
      <w:bookmarkEnd w:id="165"/>
      <w:bookmarkEnd w:id="166"/>
      <w:bookmarkEnd w:id="167"/>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全面对接大湾区，对标国家及省、市“十四五”规划有关政策，出台我区“十四五”规划配套政策措施，进一步明确责任分工和目标。根据形势发展需求，优化补充、修订完善我区现有技术改造、产业共建、科技驱动创新等系列政策体系，以及加强国土资源管理、加快投融资改革、支持企业搬迁改造等政策，务实推进重大项目、重大政策落地实施。</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68" w:name="_Toc56537399"/>
      <w:bookmarkStart w:id="169" w:name="_Toc70518137"/>
      <w:bookmarkStart w:id="170" w:name="_Toc72403445"/>
      <w:r>
        <w:rPr>
          <w:rFonts w:hint="eastAsia" w:ascii="Times New Roman" w:hAnsi="Times New Roman" w:eastAsia="楷体_GB2312" w:cs="Times New Roman"/>
          <w:kern w:val="0"/>
          <w:sz w:val="32"/>
          <w:szCs w:val="32"/>
        </w:rPr>
        <w:t>第三节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加大资金投入</w:t>
      </w:r>
      <w:bookmarkEnd w:id="168"/>
      <w:bookmarkEnd w:id="169"/>
      <w:bookmarkEnd w:id="170"/>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发挥财政职能，多渠道筹措资金，综合利用政府投资补助、贷款贴息等多种方式，鼓励和引导社会资本投资重大项目，集中财力保证政府投资重大项目的资金需求，为我区经济社会高质量发展提供资金保障。优化财政支出结构，优先安排涉及民生、公共服务等领域的财政支出和项目投入。推动财政金融互动，引导金融机构加大对工业企业的信贷投放力度。协调发挥担保机构作用，切实降低企业融资成本。</w:t>
      </w:r>
    </w:p>
    <w:p>
      <w:pPr>
        <w:adjustRightInd w:val="0"/>
        <w:snapToGrid w:val="0"/>
        <w:spacing w:before="100" w:after="100" w:line="600" w:lineRule="exact"/>
        <w:jc w:val="center"/>
        <w:outlineLvl w:val="1"/>
        <w:rPr>
          <w:rFonts w:ascii="Times New Roman" w:hAnsi="Times New Roman" w:eastAsia="楷体_GB2312" w:cs="Times New Roman"/>
          <w:kern w:val="0"/>
          <w:sz w:val="32"/>
          <w:szCs w:val="32"/>
        </w:rPr>
      </w:pPr>
      <w:bookmarkStart w:id="171" w:name="_Toc56537400"/>
      <w:bookmarkStart w:id="172" w:name="_Toc70518138"/>
      <w:bookmarkStart w:id="173" w:name="_Toc72403446"/>
      <w:r>
        <w:rPr>
          <w:rFonts w:hint="eastAsia" w:ascii="Times New Roman" w:hAnsi="Times New Roman" w:eastAsia="楷体_GB2312" w:cs="Times New Roman"/>
          <w:kern w:val="0"/>
          <w:sz w:val="32"/>
          <w:szCs w:val="32"/>
        </w:rPr>
        <w:t>第四节</w:t>
      </w:r>
      <w:r>
        <w:rPr>
          <w:rFonts w:ascii="Times New Roman" w:hAnsi="Times New Roman" w:eastAsia="楷体_GB2312" w:cs="Times New Roman"/>
          <w:kern w:val="0"/>
          <w:sz w:val="32"/>
          <w:szCs w:val="32"/>
        </w:rPr>
        <w:t xml:space="preserve"> </w:t>
      </w:r>
      <w:r>
        <w:rPr>
          <w:rFonts w:hint="eastAsia" w:ascii="Times New Roman" w:hAnsi="Times New Roman" w:eastAsia="楷体_GB2312" w:cs="Times New Roman"/>
          <w:kern w:val="0"/>
          <w:sz w:val="32"/>
          <w:szCs w:val="32"/>
        </w:rPr>
        <w:t>注重规划衔接</w:t>
      </w:r>
      <w:bookmarkEnd w:id="171"/>
      <w:bookmarkEnd w:id="172"/>
      <w:bookmarkEnd w:id="173"/>
    </w:p>
    <w:p>
      <w:pPr>
        <w:ind w:firstLine="64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强化经济社会发展战略和规划的引导约束作用，加强规划衔接，切实抓好本规划与国家、省、市“十四五”规划、市国土空间规划在重要指标、支柱产业、基础设施以及关系全局的重大项目和重大政策之间的衔接。增强总体规划对各级各类规划编制的指导作用，确保总体要求一致、空间配置和时序安排协调有序。</w:t>
      </w:r>
      <w:bookmarkStart w:id="174" w:name="_Toc70518139"/>
    </w:p>
    <w:p>
      <w:pPr>
        <w:ind w:firstLine="640"/>
        <w:rPr>
          <w:rFonts w:ascii="Times New Roman" w:hAnsi="Times New Roman" w:eastAsia="仿宋_GB2312" w:cs="Times New Roman"/>
          <w:sz w:val="32"/>
          <w:szCs w:val="32"/>
          <w:shd w:val="clear" w:color="auto" w:fill="FFFFFF"/>
        </w:rPr>
      </w:pPr>
    </w:p>
    <w:p>
      <w:pPr>
        <w:adjustRightInd w:val="0"/>
        <w:snapToGrid w:val="0"/>
        <w:spacing w:line="600" w:lineRule="exact"/>
        <w:ind w:firstLine="642" w:firstLineChars="200"/>
        <w:outlineLvl w:val="0"/>
        <w:rPr>
          <w:rFonts w:ascii="Times New Roman" w:hAnsi="Times New Roman" w:eastAsia="仿宋_GB2312" w:cs="仿宋_GB2312"/>
          <w:b/>
          <w:bCs/>
          <w:kern w:val="0"/>
          <w:sz w:val="32"/>
          <w:szCs w:val="32"/>
        </w:rPr>
      </w:pPr>
      <w:bookmarkStart w:id="175" w:name="_Toc8124"/>
      <w:bookmarkStart w:id="176" w:name="_Toc16735"/>
      <w:bookmarkStart w:id="177" w:name="_Toc982"/>
      <w:bookmarkStart w:id="178" w:name="_Toc28740"/>
      <w:bookmarkStart w:id="179" w:name="_Toc22209"/>
      <w:bookmarkStart w:id="180" w:name="_Toc30555"/>
      <w:bookmarkStart w:id="181" w:name="_Toc15703"/>
      <w:bookmarkStart w:id="182" w:name="_Toc72403447"/>
      <w:r>
        <w:rPr>
          <w:rFonts w:hint="eastAsia" w:ascii="Times New Roman" w:hAnsi="Times New Roman" w:eastAsia="仿宋_GB2312" w:cs="仿宋_GB2312"/>
          <w:b/>
          <w:bCs/>
          <w:kern w:val="0"/>
          <w:sz w:val="32"/>
          <w:szCs w:val="32"/>
        </w:rPr>
        <w:t>附件：1.</w:t>
      </w:r>
      <w:bookmarkEnd w:id="175"/>
      <w:bookmarkEnd w:id="176"/>
      <w:bookmarkEnd w:id="177"/>
      <w:bookmarkEnd w:id="178"/>
      <w:bookmarkEnd w:id="179"/>
      <w:bookmarkEnd w:id="180"/>
      <w:bookmarkEnd w:id="181"/>
      <w:r>
        <w:rPr>
          <w:rFonts w:hint="eastAsia" w:ascii="Times New Roman" w:hAnsi="Times New Roman" w:eastAsia="仿宋_GB2312" w:cs="仿宋_GB2312"/>
          <w:b/>
          <w:bCs/>
          <w:kern w:val="0"/>
          <w:sz w:val="32"/>
          <w:szCs w:val="32"/>
        </w:rPr>
        <w:t>云安区（含云浮新区）“十四五”规划重大项目表</w:t>
      </w:r>
      <w:bookmarkEnd w:id="182"/>
    </w:p>
    <w:p>
      <w:pPr>
        <w:adjustRightInd w:val="0"/>
        <w:snapToGrid w:val="0"/>
        <w:spacing w:line="600" w:lineRule="exact"/>
        <w:ind w:firstLine="1606" w:firstLineChars="500"/>
        <w:outlineLvl w:val="0"/>
        <w:rPr>
          <w:rFonts w:ascii="Times New Roman" w:hAnsi="Times New Roman" w:eastAsia="仿宋_GB2312" w:cs="仿宋_GB2312"/>
          <w:b/>
          <w:bCs/>
          <w:kern w:val="0"/>
          <w:sz w:val="32"/>
          <w:szCs w:val="32"/>
        </w:rPr>
      </w:pPr>
      <w:bookmarkStart w:id="183" w:name="_Toc18985"/>
      <w:bookmarkStart w:id="184" w:name="_Toc21178"/>
      <w:bookmarkStart w:id="185" w:name="_Toc29578"/>
      <w:bookmarkStart w:id="186" w:name="_Toc20346"/>
      <w:bookmarkStart w:id="187" w:name="_Toc72403448"/>
      <w:r>
        <w:rPr>
          <w:rFonts w:hint="eastAsia" w:ascii="Times New Roman" w:hAnsi="Times New Roman" w:eastAsia="仿宋_GB2312" w:cs="仿宋_GB2312"/>
          <w:b/>
          <w:bCs/>
          <w:kern w:val="0"/>
          <w:sz w:val="32"/>
          <w:szCs w:val="32"/>
        </w:rPr>
        <w:t>2.</w:t>
      </w:r>
      <w:bookmarkEnd w:id="183"/>
      <w:bookmarkEnd w:id="184"/>
      <w:bookmarkEnd w:id="185"/>
      <w:bookmarkEnd w:id="186"/>
      <w:r>
        <w:rPr>
          <w:rFonts w:hint="eastAsia" w:ascii="Times New Roman" w:hAnsi="Times New Roman" w:eastAsia="仿宋_GB2312" w:cs="仿宋_GB2312"/>
          <w:b/>
          <w:bCs/>
          <w:kern w:val="0"/>
          <w:sz w:val="32"/>
          <w:szCs w:val="32"/>
        </w:rPr>
        <w:t>名词解释</w:t>
      </w:r>
      <w:bookmarkEnd w:id="187"/>
    </w:p>
    <w:p>
      <w:pPr>
        <w:pStyle w:val="2"/>
      </w:pPr>
    </w:p>
    <w:bookmarkEnd w:id="174"/>
    <w:p>
      <w:pPr>
        <w:ind w:firstLine="640"/>
        <w:rPr>
          <w:rFonts w:ascii="Times New Roman" w:hAnsi="Times New Roman" w:eastAsia="仿宋_GB2312" w:cs="Times New Roman"/>
          <w:sz w:val="32"/>
          <w:szCs w:val="32"/>
          <w:shd w:val="clear" w:color="auto" w:fill="FFFFFF"/>
        </w:rPr>
        <w:sectPr>
          <w:footerReference r:id="rId4" w:type="default"/>
          <w:pgSz w:w="11906" w:h="16838"/>
          <w:pgMar w:top="1588" w:right="1474" w:bottom="1474" w:left="1474" w:header="851" w:footer="992" w:gutter="0"/>
          <w:pgNumType w:start="1"/>
          <w:cols w:space="425" w:num="1"/>
          <w:docGrid w:type="lines" w:linePitch="600" w:charSpace="0"/>
        </w:sectPr>
      </w:pPr>
    </w:p>
    <w:p>
      <w:pPr>
        <w:widowControl/>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widowControl/>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云安区（含云浮新区）“十四五”规划重大项目表</w:t>
      </w:r>
    </w:p>
    <w:p>
      <w:pPr>
        <w:pStyle w:val="11"/>
        <w:ind w:right="320" w:firstLine="640"/>
        <w:jc w:val="right"/>
        <w:rPr>
          <w:rFonts w:ascii="Times New Roman" w:hAnsi="Times New Roman"/>
        </w:rPr>
      </w:pPr>
      <w:r>
        <w:rPr>
          <w:rFonts w:hint="eastAsia" w:ascii="Times New Roman" w:hAnsi="Times New Roman"/>
        </w:rPr>
        <w:t>投资单位：万元</w:t>
      </w:r>
    </w:p>
    <w:tbl>
      <w:tblPr>
        <w:tblStyle w:val="19"/>
        <w:tblW w:w="13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842"/>
        <w:gridCol w:w="5692"/>
        <w:gridCol w:w="883"/>
        <w:gridCol w:w="1200"/>
        <w:gridCol w:w="118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jc w:val="center"/>
        </w:trPr>
        <w:tc>
          <w:tcPr>
            <w:tcW w:w="852"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序号</w:t>
            </w:r>
          </w:p>
        </w:tc>
        <w:tc>
          <w:tcPr>
            <w:tcW w:w="1842"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项目名称</w:t>
            </w:r>
          </w:p>
        </w:tc>
        <w:tc>
          <w:tcPr>
            <w:tcW w:w="5692"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建设内容及规模</w:t>
            </w:r>
          </w:p>
        </w:tc>
        <w:tc>
          <w:tcPr>
            <w:tcW w:w="883"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建设起止年限</w:t>
            </w:r>
          </w:p>
        </w:tc>
        <w:tc>
          <w:tcPr>
            <w:tcW w:w="1200"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总投资</w:t>
            </w:r>
          </w:p>
        </w:tc>
        <w:tc>
          <w:tcPr>
            <w:tcW w:w="1183" w:type="dxa"/>
            <w:vMerge w:val="restart"/>
            <w:shd w:val="clear" w:color="auto" w:fill="auto"/>
            <w:vAlign w:val="center"/>
          </w:tcPr>
          <w:p>
            <w:pPr>
              <w:widowControl/>
              <w:spacing w:line="320"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“十四五”期间投资</w:t>
            </w:r>
          </w:p>
        </w:tc>
        <w:tc>
          <w:tcPr>
            <w:tcW w:w="1882" w:type="dxa"/>
            <w:vMerge w:val="restart"/>
            <w:shd w:val="clear" w:color="auto" w:fill="auto"/>
            <w:vAlign w:val="center"/>
          </w:tcPr>
          <w:p>
            <w:pPr>
              <w:widowControl/>
              <w:spacing w:line="320" w:lineRule="exact"/>
              <w:jc w:val="center"/>
              <w:rPr>
                <w:rFonts w:ascii="Times New Roman" w:hAnsi="Times New Roman" w:eastAsia="仿宋_GB2312" w:cs="宋体"/>
                <w:b/>
                <w:bCs/>
                <w:kern w:val="0"/>
                <w:sz w:val="22"/>
              </w:rPr>
            </w:pPr>
            <w:r>
              <w:rPr>
                <w:rFonts w:hint="eastAsia" w:ascii="Times New Roman" w:hAnsi="Times New Roman" w:eastAsia="仿宋_GB2312" w:cs="宋体"/>
                <w:b/>
                <w:bCs/>
                <w:kern w:val="0"/>
                <w:sz w:val="22"/>
              </w:rPr>
              <w:t>“十四五”期间新增生产能力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85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84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569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883"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200"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183" w:type="dxa"/>
            <w:vMerge w:val="continue"/>
            <w:vAlign w:val="center"/>
          </w:tcPr>
          <w:p>
            <w:pPr>
              <w:widowControl/>
              <w:spacing w:line="400" w:lineRule="exact"/>
              <w:jc w:val="left"/>
              <w:rPr>
                <w:rFonts w:ascii="Times New Roman" w:hAnsi="Times New Roman" w:eastAsia="仿宋_GB2312" w:cs="Times New Roman"/>
                <w:b/>
                <w:bCs/>
                <w:kern w:val="0"/>
                <w:sz w:val="22"/>
              </w:rPr>
            </w:pPr>
          </w:p>
        </w:tc>
        <w:tc>
          <w:tcPr>
            <w:tcW w:w="1882" w:type="dxa"/>
            <w:vMerge w:val="continue"/>
            <w:vAlign w:val="center"/>
          </w:tcPr>
          <w:p>
            <w:pPr>
              <w:widowControl/>
              <w:spacing w:line="400" w:lineRule="exact"/>
              <w:jc w:val="left"/>
              <w:rPr>
                <w:rFonts w:ascii="Times New Roman" w:hAnsi="Times New Roman" w:eastAsia="仿宋_GB2312"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85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84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5692" w:type="dxa"/>
            <w:vMerge w:val="continue"/>
            <w:vAlign w:val="center"/>
          </w:tcPr>
          <w:p>
            <w:pPr>
              <w:widowControl/>
              <w:spacing w:line="400" w:lineRule="exact"/>
              <w:jc w:val="left"/>
              <w:rPr>
                <w:rFonts w:ascii="Times New Roman" w:hAnsi="Times New Roman" w:eastAsia="仿宋_GB2312" w:cs="宋体"/>
                <w:b/>
                <w:bCs/>
                <w:kern w:val="0"/>
                <w:sz w:val="22"/>
              </w:rPr>
            </w:pPr>
          </w:p>
        </w:tc>
        <w:tc>
          <w:tcPr>
            <w:tcW w:w="883"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200" w:type="dxa"/>
            <w:vMerge w:val="continue"/>
            <w:vAlign w:val="center"/>
          </w:tcPr>
          <w:p>
            <w:pPr>
              <w:widowControl/>
              <w:spacing w:line="400" w:lineRule="exact"/>
              <w:jc w:val="left"/>
              <w:rPr>
                <w:rFonts w:ascii="Times New Roman" w:hAnsi="Times New Roman" w:eastAsia="仿宋_GB2312" w:cs="宋体"/>
                <w:b/>
                <w:bCs/>
                <w:kern w:val="0"/>
                <w:sz w:val="22"/>
              </w:rPr>
            </w:pPr>
          </w:p>
        </w:tc>
        <w:tc>
          <w:tcPr>
            <w:tcW w:w="1183" w:type="dxa"/>
            <w:vMerge w:val="continue"/>
            <w:vAlign w:val="center"/>
          </w:tcPr>
          <w:p>
            <w:pPr>
              <w:widowControl/>
              <w:spacing w:line="400" w:lineRule="exact"/>
              <w:jc w:val="left"/>
              <w:rPr>
                <w:rFonts w:ascii="Times New Roman" w:hAnsi="Times New Roman" w:eastAsia="仿宋_GB2312" w:cs="Times New Roman"/>
                <w:b/>
                <w:bCs/>
                <w:kern w:val="0"/>
                <w:sz w:val="22"/>
              </w:rPr>
            </w:pPr>
          </w:p>
        </w:tc>
        <w:tc>
          <w:tcPr>
            <w:tcW w:w="1882" w:type="dxa"/>
            <w:vMerge w:val="continue"/>
            <w:vAlign w:val="center"/>
          </w:tcPr>
          <w:p>
            <w:pPr>
              <w:widowControl/>
              <w:spacing w:line="400" w:lineRule="exact"/>
              <w:jc w:val="left"/>
              <w:rPr>
                <w:rFonts w:ascii="Times New Roman" w:hAnsi="Times New Roman" w:eastAsia="仿宋_GB2312"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852" w:type="dxa"/>
            <w:shd w:val="clear" w:color="auto" w:fill="auto"/>
            <w:vAlign w:val="center"/>
          </w:tcPr>
          <w:p>
            <w:pPr>
              <w:widowControl/>
              <w:spacing w:line="400" w:lineRule="exact"/>
              <w:jc w:val="center"/>
              <w:rPr>
                <w:rFonts w:ascii="Times New Roman" w:hAnsi="Times New Roman" w:eastAsia="仿宋_GB2312" w:cs="宋体"/>
                <w:b/>
                <w:bCs/>
                <w:kern w:val="0"/>
                <w:sz w:val="24"/>
                <w:szCs w:val="24"/>
              </w:rPr>
            </w:pPr>
          </w:p>
        </w:tc>
        <w:tc>
          <w:tcPr>
            <w:tcW w:w="1842" w:type="dxa"/>
            <w:shd w:val="clear" w:color="auto" w:fill="auto"/>
            <w:vAlign w:val="center"/>
          </w:tcPr>
          <w:p>
            <w:pPr>
              <w:widowControl/>
              <w:spacing w:line="400" w:lineRule="exact"/>
              <w:jc w:val="left"/>
              <w:rPr>
                <w:rFonts w:ascii="Times New Roman" w:hAnsi="Times New Roman" w:eastAsia="仿宋_GB2312" w:cs="宋体"/>
                <w:b/>
                <w:bCs/>
                <w:kern w:val="0"/>
                <w:sz w:val="24"/>
                <w:szCs w:val="24"/>
              </w:rPr>
            </w:pPr>
            <w:r>
              <w:rPr>
                <w:rFonts w:hint="eastAsia" w:ascii="Times New Roman" w:hAnsi="Times New Roman" w:eastAsia="仿宋_GB2312" w:cs="宋体"/>
                <w:b/>
                <w:bCs/>
                <w:kern w:val="0"/>
                <w:sz w:val="24"/>
                <w:szCs w:val="24"/>
              </w:rPr>
              <w:t>合计：10</w:t>
            </w:r>
            <w:r>
              <w:rPr>
                <w:rFonts w:ascii="Times New Roman" w:hAnsi="Times New Roman" w:eastAsia="仿宋_GB2312" w:cs="宋体"/>
                <w:b/>
                <w:bCs/>
                <w:kern w:val="0"/>
                <w:sz w:val="24"/>
                <w:szCs w:val="24"/>
              </w:rPr>
              <w:t>8</w:t>
            </w:r>
            <w:r>
              <w:rPr>
                <w:rFonts w:hint="eastAsia" w:ascii="Times New Roman" w:hAnsi="Times New Roman" w:eastAsia="仿宋_GB2312" w:cs="宋体"/>
                <w:b/>
                <w:bCs/>
                <w:kern w:val="0"/>
                <w:sz w:val="24"/>
                <w:szCs w:val="24"/>
              </w:rPr>
              <w:t>项</w:t>
            </w:r>
          </w:p>
        </w:tc>
        <w:tc>
          <w:tcPr>
            <w:tcW w:w="5692" w:type="dxa"/>
            <w:shd w:val="clear" w:color="auto" w:fill="auto"/>
            <w:vAlign w:val="center"/>
          </w:tcPr>
          <w:p>
            <w:pPr>
              <w:widowControl/>
              <w:spacing w:line="400" w:lineRule="exact"/>
              <w:jc w:val="center"/>
              <w:rPr>
                <w:rFonts w:ascii="Times New Roman" w:hAnsi="Times New Roman" w:eastAsia="仿宋_GB2312" w:cs="Times New Roman"/>
                <w:b/>
                <w:bCs/>
                <w:kern w:val="0"/>
                <w:sz w:val="24"/>
                <w:szCs w:val="24"/>
              </w:rPr>
            </w:pP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11650265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7958625</w:t>
            </w:r>
          </w:p>
        </w:tc>
        <w:tc>
          <w:tcPr>
            <w:tcW w:w="1882" w:type="dxa"/>
            <w:shd w:val="clear" w:color="auto" w:fill="auto"/>
            <w:vAlign w:val="center"/>
          </w:tcPr>
          <w:p>
            <w:pPr>
              <w:widowControl/>
              <w:spacing w:line="400" w:lineRule="exact"/>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一、工业工程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珠江钢管集团有限公司高端装备制造产业园项目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大型钢管生产基地、螺纹钢生产基地、钢材构件、水泥构件生产基地，配有内外防腐生产线、水泥配重生产线及复合管线等焊管生产线，预计钢管年产量约300万吨。投产后年产值150亿，每年可为地方增加税收约10亿元。</w:t>
            </w: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p>
            <w:pPr>
              <w:rPr>
                <w:rFonts w:ascii="Times New Roman" w:hAnsi="Times New Roman" w:eastAsia="仿宋_GB2312" w:cs="宋体"/>
                <w:sz w:val="24"/>
                <w:szCs w:val="24"/>
              </w:rPr>
            </w:pP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建成12条焊管生产线，钢管年产量约300万吨，年产值150亿，每年可为地方增加税收约10亿元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3"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华润水泥投资有限公司云浮国家级绿色矿山示范基地与绿色建筑产业园项目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建设石场环保整合项目暨非金属砂石矿国家绿色矿山示范基地、智能化装配式混凝土预构件生产基地、环保商业混凝土生产基地、大型集散综合货运码头、智能化高端环保无机人造石生产基地。</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项目全部建成后年产值约50亿元，年创税收约3亿元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1"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云安（启迪）卓誉环保新材料产业园项目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主要建设中小型智能化工区、高层智慧厂房区、水泥产品加工区、智能物流中心、商业街、生活区设施等。致力于发展高端建筑材料、精细化工材料，以及相关产业链之新材料，新技术应用。</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2021-2028</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576750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项目全部建成后年产值约45亿元，年创税收约2.5亿元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中电建路桥集团有限公司云浮市云安区绿色矿山工业产业园项目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建设特大型建筑石料生产基地、科研研发基地、装配式建筑基地。</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项目全部建成后年产值约45亿元，年创税收约2.5亿元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云浮市信安达环保科技有限公司云浮市工业废物资源循环利用中心项目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分两期建设，一期建设规模为年接收16.4万吨危险废物，建设废物预处理设施（包括污泥减量化设施）、废物综合处理设施、废物焚烧处置设施、废气净化处理设施，以及废物贮存、中转等辅助设施；计划二期建设规模为年接收17万吨危险废物，包括扩建废物预处理设施、扩建废物综合处理设施、扩建废气净化处理设施、扩建废物贮存设施、新建碱铜深加工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108000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88000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年接收处理16.4万吨危险废物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广东科云诚新材料有限公司年产</w:t>
            </w:r>
            <w:r>
              <w:rPr>
                <w:rFonts w:ascii="Times New Roman" w:hAnsi="Times New Roman" w:eastAsia="仿宋_GB2312" w:cs="宋体"/>
                <w:kern w:val="0"/>
                <w:sz w:val="24"/>
                <w:szCs w:val="24"/>
              </w:rPr>
              <w:t>3万吨精细化工材料项目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w:t>
            </w:r>
            <w:r>
              <w:rPr>
                <w:rFonts w:ascii="Times New Roman" w:hAnsi="Times New Roman" w:eastAsia="仿宋_GB2312" w:cs="宋体"/>
                <w:kern w:val="0"/>
                <w:sz w:val="24"/>
                <w:szCs w:val="24"/>
              </w:rPr>
              <w:t>3万吨精细化工材料项目</w:t>
            </w:r>
            <w:r>
              <w:rPr>
                <w:rFonts w:hint="eastAsia" w:ascii="Times New Roman" w:hAnsi="Times New Roman" w:eastAsia="仿宋_GB2312" w:cs="宋体"/>
                <w:kern w:val="0"/>
                <w:sz w:val="24"/>
                <w:szCs w:val="24"/>
              </w:rPr>
              <w:t>。</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w:t>
            </w:r>
            <w:r>
              <w:rPr>
                <w:rFonts w:ascii="Times New Roman" w:hAnsi="Times New Roman" w:eastAsia="仿宋_GB2312" w:cs="宋体"/>
                <w:kern w:val="0"/>
                <w:sz w:val="24"/>
                <w:szCs w:val="24"/>
              </w:rPr>
              <w:t>3万吨精细化工材料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云浮永葆环保科技有限公司云安循环经济环保产业示范基地项目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年综合利用废酸、废碱、含铝</w:t>
            </w:r>
            <w:r>
              <w:rPr>
                <w:rFonts w:ascii="Times New Roman" w:hAnsi="Times New Roman" w:eastAsia="仿宋_GB2312" w:cs="宋体"/>
                <w:kern w:val="0"/>
                <w:sz w:val="24"/>
                <w:szCs w:val="24"/>
              </w:rPr>
              <w:t>/铁废渣、废乳化液等工业废弃物21万吨，资源化生产净水剂等产品约 22万吨/年。项目全部建成后年产值约8亿元，年创税收约7800万元。</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56580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55580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处理工业废弃物21万吨/年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云浮市英达油脂化工有限公司年产60000吨脂肪酸甲脂项目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建设脂肪酸甲酯生产，年产量60000吨，项目分两期建设，主要建设甲类生产车间、甲类储罐区、办公楼等设施。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48000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48000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项目全部建成后年产值约4.8亿元，年创税收约3900万元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广东国鹰新材料有限公司水性家庭清洁用品及合成润滑油、脂相关产品生产项目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主要建设水性家庭清洁用品及合成润滑油、脂相关产品生产项目。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32000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32000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项目建成后年产值约3.5亿元，年创税收约1800万元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2"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广东荣顺科技有限公司3D打印材料及配套项目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建设3D印光固化材料生产线、新一代化妆品表面活性剂CMA衍生物生产线和CMA衍生物产品生产线，年产量6万吨。</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项目全部建成后年产值约3亿元，年创税收约3500万元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广东惠宏科技有限公司20万吨/年水泥窑协同处置飞灰使用水洗工艺脱盐预处理项目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建设水泥窑协同处置飞灰使用水洗工艺脱盐预处理生产线，年处理量20万吨。</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28967</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27967</w:t>
            </w:r>
          </w:p>
        </w:tc>
        <w:tc>
          <w:tcPr>
            <w:tcW w:w="1882" w:type="dxa"/>
            <w:shd w:val="clear" w:color="auto" w:fill="auto"/>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rPr>
              <w:t>项目建成后年产值约33938万元，每年可为地方贡献税收约6600万元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广东惠云钛业股份有限公司硫酸法金红石钛白粉初品技改工程项目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采用国际先进的硫酸法金红石钛白生产工艺，建设一条国际一流的硫酸法金红石钛白生产装置。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27909</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27909</w:t>
            </w:r>
          </w:p>
        </w:tc>
        <w:tc>
          <w:tcPr>
            <w:tcW w:w="1882" w:type="dxa"/>
            <w:shd w:val="clear" w:color="auto" w:fill="auto"/>
            <w:vAlign w:val="center"/>
          </w:tcPr>
          <w:p>
            <w:pPr>
              <w:widowControl/>
              <w:spacing w:line="320" w:lineRule="exact"/>
              <w:rPr>
                <w:rFonts w:ascii="Times New Roman" w:hAnsi="Times New Roman" w:eastAsia="仿宋_GB2312"/>
              </w:rPr>
            </w:pPr>
            <w:r>
              <w:rPr>
                <w:rFonts w:hint="eastAsia" w:ascii="Times New Roman" w:hAnsi="Times New Roman" w:eastAsia="仿宋_GB2312" w:cs="宋体"/>
                <w:kern w:val="0"/>
                <w:sz w:val="24"/>
                <w:szCs w:val="24"/>
              </w:rPr>
              <w:t>年均产值约4.35亿元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国家级大宗固体废弃物综合利用基地--云浮市云安区处置中心建设项目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建设处置中心填埋总容积预计为485万立方米。包括进场道路工程、场区道路工程、管理区工程、电气照明工程、其他配套工程。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27000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建设处置中心填埋总容积预计为485万立方米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东莞市汉维科技股份有限公司年产10万吨橡塑助剂产品项目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主要年产10万吨橡塑助剂产品项目。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25600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25600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项目建成后年产值约8亿元，年创税收约3000万元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青上化工（惠州）有限公司年产12万吨硫酸钾及年产6万吨水溶性新型肥料及相关产品深加工项目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主要建设年产12万吨硫酸钾及年产6万吨水溶性新型肥料及相关产品深加工项目。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23028</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23028</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项目建成后年产值约3.5亿元，年创税收约1800万元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广州市博闻化工科技有限公司年产1万吨固体丙烯酸树脂项目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主要建设年产1万吨固体丙烯酸树脂项目。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项目建成后年产值约2.5亿元，年创税收约2500万元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广东盈美特日化有限公司建设化妆品、人体香水、家具香薰项目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主要建设化妆品、人体香水、家具香薰生产线。</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项目建成后年产值约2亿元，年创税收约3200万元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云浮市云安区创兴科技有限公司年产3万吨纳米级电子元件硅粉项目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建设纳米级电子元件硅粉生产线，年产量3万吨，建设厂房、办公楼、宿舍等。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项目建成后年产值约2亿元，年创税收约800万元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东之美精细化工有限公司年产</w:t>
            </w:r>
            <w:r>
              <w:rPr>
                <w:rFonts w:ascii="Times New Roman" w:hAnsi="Times New Roman" w:eastAsia="仿宋_GB2312" w:cs="宋体"/>
                <w:kern w:val="0"/>
                <w:sz w:val="24"/>
                <w:szCs w:val="24"/>
              </w:rPr>
              <w:t>3000万瓶清洁用品生产项目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w:t>
            </w:r>
            <w:r>
              <w:rPr>
                <w:rFonts w:ascii="Times New Roman" w:hAnsi="Times New Roman" w:eastAsia="仿宋_GB2312" w:cs="宋体"/>
                <w:kern w:val="0"/>
                <w:sz w:val="24"/>
                <w:szCs w:val="24"/>
              </w:rPr>
              <w:t>3000万瓶清洁用品生产项目</w:t>
            </w:r>
            <w:r>
              <w:rPr>
                <w:rFonts w:hint="eastAsia" w:ascii="Times New Roman" w:hAnsi="Times New Roman" w:eastAsia="仿宋_GB2312" w:cs="宋体"/>
                <w:kern w:val="0"/>
                <w:sz w:val="24"/>
                <w:szCs w:val="24"/>
              </w:rPr>
              <w:t>。</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11500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11500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w:t>
            </w:r>
            <w:r>
              <w:rPr>
                <w:rFonts w:ascii="Times New Roman" w:hAnsi="Times New Roman" w:eastAsia="仿宋_GB2312" w:cs="宋体"/>
                <w:kern w:val="0"/>
                <w:sz w:val="24"/>
                <w:szCs w:val="24"/>
              </w:rPr>
              <w:t>1.7亿元，年创税收约2579万元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佛山市南海海丰化工有限公司年产</w:t>
            </w:r>
            <w:r>
              <w:rPr>
                <w:rFonts w:ascii="Times New Roman" w:hAnsi="Times New Roman" w:eastAsia="仿宋_GB2312" w:cs="宋体"/>
                <w:kern w:val="0"/>
                <w:sz w:val="24"/>
                <w:szCs w:val="24"/>
              </w:rPr>
              <w:t>1万吨木质素磺酸盐表面活性剂项目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w:t>
            </w:r>
            <w:r>
              <w:rPr>
                <w:rFonts w:ascii="Times New Roman" w:hAnsi="Times New Roman" w:eastAsia="仿宋_GB2312" w:cs="宋体"/>
                <w:kern w:val="0"/>
                <w:sz w:val="24"/>
                <w:szCs w:val="24"/>
              </w:rPr>
              <w:t>1万吨木质素磺酸盐表面活性剂项目</w:t>
            </w:r>
            <w:r>
              <w:rPr>
                <w:rFonts w:hint="eastAsia" w:ascii="Times New Roman" w:hAnsi="Times New Roman" w:eastAsia="仿宋_GB2312" w:cs="宋体"/>
                <w:kern w:val="0"/>
                <w:sz w:val="24"/>
                <w:szCs w:val="24"/>
              </w:rPr>
              <w:t>。</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9360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9360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w:t>
            </w:r>
            <w:r>
              <w:rPr>
                <w:rFonts w:ascii="Times New Roman" w:hAnsi="Times New Roman" w:eastAsia="仿宋_GB2312" w:cs="宋体"/>
                <w:kern w:val="0"/>
                <w:sz w:val="24"/>
                <w:szCs w:val="24"/>
              </w:rPr>
              <w:t>1亿元，年创税收约800万元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广东优品化学科技有限公司年产1.3万吨功能化学品建设项目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主要建设年产1.3万吨功能化学品建设项目。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5020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5020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项目建成后年产值约1亿元，年创税收约800万元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二、能源</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国家能源集团氢能科技有限公司云浮市云安区可再生能源制氢项目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主要建设2000标方/小时制氢厂，配套光伏项目。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项目建成后年产值约3.55亿元，年创税收约4950万元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5"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广州广钢气体能源股份有限公司云浮氢能、氦气及氦基混合智能充装充装及乙炔制气项目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建设年产385万吨（氢气）、2.4 万瓶含氦气体，36万瓶乙炔项目。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28800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28800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年产385万吨（氢气）、2.4 万瓶含氦气体，36万瓶乙炔项目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中海油粤港能源发展有限公司云浮市云安区LNG船舶加注站工程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建设云浮市云安区LNG船舶加注站工程。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年产1.5万吨液化天然气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云安华润天然气综合站项目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建设天然气门站及LNG应急调峰站一座（占地40亩），供气规模为3万方/时，LNG应急调峰储配量为6*150m</w:t>
            </w:r>
            <w:r>
              <w:rPr>
                <w:rFonts w:ascii="Times New Roman" w:hAnsi="Times New Roman" w:eastAsia="仿宋_GB2312" w:cs="Calibri"/>
                <w:kern w:val="0"/>
                <w:sz w:val="24"/>
                <w:szCs w:val="24"/>
              </w:rPr>
              <w:t>³</w:t>
            </w:r>
            <w:r>
              <w:rPr>
                <w:rFonts w:hint="eastAsia" w:ascii="Times New Roman" w:hAnsi="Times New Roman" w:eastAsia="仿宋_GB2312" w:cs="仿宋_GB2312"/>
                <w:kern w:val="0"/>
                <w:sz w:val="24"/>
                <w:szCs w:val="24"/>
              </w:rPr>
              <w:t>共</w:t>
            </w:r>
            <w:r>
              <w:rPr>
                <w:rFonts w:hint="eastAsia" w:ascii="Times New Roman" w:hAnsi="Times New Roman" w:eastAsia="仿宋_GB2312" w:cs="宋体"/>
                <w:kern w:val="0"/>
                <w:sz w:val="24"/>
                <w:szCs w:val="24"/>
              </w:rPr>
              <w:t>900m</w:t>
            </w:r>
            <w:r>
              <w:rPr>
                <w:rFonts w:ascii="Times New Roman" w:hAnsi="Times New Roman" w:eastAsia="仿宋_GB2312" w:cs="Calibri"/>
                <w:kern w:val="0"/>
                <w:sz w:val="24"/>
                <w:szCs w:val="24"/>
              </w:rPr>
              <w:t>³</w:t>
            </w:r>
            <w:r>
              <w:rPr>
                <w:rFonts w:hint="eastAsia" w:ascii="Times New Roman" w:hAnsi="Times New Roman" w:eastAsia="仿宋_GB2312" w:cs="仿宋_GB2312"/>
                <w:kern w:val="0"/>
                <w:sz w:val="24"/>
                <w:szCs w:val="24"/>
              </w:rPr>
              <w:t>，总投资约</w:t>
            </w:r>
            <w:r>
              <w:rPr>
                <w:rFonts w:hint="eastAsia" w:ascii="Times New Roman" w:hAnsi="Times New Roman" w:eastAsia="仿宋_GB2312" w:cs="宋体"/>
                <w:kern w:val="0"/>
                <w:sz w:val="24"/>
                <w:szCs w:val="24"/>
              </w:rPr>
              <w:t>2亿。</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供气规模为3万方/时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26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天宏国际有限公司云安区富林镇150MWp农光互补光伏发电项目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计划总装机规模约150MWp</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年均16500万KWh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4"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云浮市云安区加油站建设项目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对云安区辖区内的六都开发区油站、南乡加油站、西城二加油站、西城加油站、新中加油加气合建站、六骑加油站、沿江加油站、滨业加油站、东城加油站、高村二加油站、木坑口加油站、中油加油站、镇石加油站、民主加油站、府前加油站、河邦加油站等进行建设。完善加油站配套设施、周边绿化等工程建设。</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新建云安区辖区16个加油站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三、基础设施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新干线公路(通江达海)建设项目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新干线公路（省道S537、S539、S274改建工程），起点都杨镇六塘村广州云浮国际物流港附近，终点富林镇上社村，路线全长约92.32公里，采用一级公路的技术标准，设计速度80公里每小时，双向四车道、路基宽度25.5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2022-2030</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850000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建设云安区新干线公路(省道S537、S539、S274改建工程)，路线全长约92.32公里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29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云安新城综合园区基础设施建设项目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建设云安新城综合园区基础设施，完善园区污水处理、供水、供电、管网等基础设施。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建设云安新城综合园区基础设施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云安区产业园（南园）基础设施项目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开展云安区产业园（南园）基础设施建设，开发工产业园土地约5000亩，建设园区内的道路、供水、供电、供气、污水处理厂等设施。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开发工业用地约1000亩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1</w:t>
            </w:r>
          </w:p>
        </w:tc>
        <w:tc>
          <w:tcPr>
            <w:tcW w:w="184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云浮市云安区中韩陈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文化创意产业园建设项目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修缮六都龙崖陈公祠及兵营遗址；打造六都南乡陈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文化主题公园，建设陈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文化广场、文化展廊、文化服务驿站等项目设施；配套建设游步道、停车场、旅游厕所、景观提升等基础设施；打造全域文化旅游示范村—“云利村”，修缮和开发陈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文化古驿道。</w:t>
            </w:r>
          </w:p>
        </w:tc>
        <w:tc>
          <w:tcPr>
            <w:tcW w:w="883"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2021-2026</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50000</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修缮六都龙崖陈公祠、建设都杨镇陈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文化广场、陈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剧院、陈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湖、陈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雕像、陈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史迹墙、陈</w:t>
            </w:r>
            <w:r>
              <w:rPr>
                <w:rFonts w:hint="eastAsia" w:ascii="微软雅黑" w:hAnsi="微软雅黑" w:eastAsia="微软雅黑" w:cs="微软雅黑"/>
                <w:kern w:val="0"/>
                <w:sz w:val="24"/>
                <w:szCs w:val="24"/>
              </w:rPr>
              <w:t>璘</w:t>
            </w:r>
            <w:r>
              <w:rPr>
                <w:rFonts w:hint="eastAsia" w:ascii="仿宋_GB2312" w:hAnsi="仿宋_GB2312" w:eastAsia="仿宋_GB2312" w:cs="仿宋_GB2312"/>
                <w:kern w:val="0"/>
                <w:sz w:val="24"/>
                <w:szCs w:val="24"/>
              </w:rPr>
              <w:t>战船博物馆、中韩商业文化街、中韩产业园基础设施建设等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云安区西江绿色生态旅游产业走廊建设项目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绿化带、休闲设施及景观小品、水上巴士、内河游轮、娱乐游船、公共游艇码头、流动博物馆等；建设金鱼沙岛、金鱼沙碧道、金鱼沙新村、湾边村、湾边村渔耕文化展馆、猫山抗日遗址、猫山观江台等；建设特色渔家民宿、降水沙滩观光碧道等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2021-2026</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2"/>
              </w:rPr>
              <w:t>建设绿化带、休闲设施及景观小品、水上巴士、内河游轮、娱乐游船、公共游艇码头、流动博物馆等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佛山（云浮）产业转移工业园防洪治涝工程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主干排渠整治（大涌河及其支流</w:t>
            </w:r>
            <w:r>
              <w:rPr>
                <w:rFonts w:hint="eastAsia" w:ascii="Times New Roman" w:hAnsi="Times New Roman" w:eastAsia="微软雅黑" w:cs="微软雅黑"/>
                <w:kern w:val="0"/>
                <w:sz w:val="24"/>
                <w:szCs w:val="24"/>
              </w:rPr>
              <w:t>榃</w:t>
            </w:r>
            <w:r>
              <w:rPr>
                <w:rFonts w:hint="eastAsia" w:ascii="Times New Roman" w:hAnsi="Times New Roman" w:eastAsia="仿宋_GB2312" w:cs="仿宋_GB2312"/>
                <w:kern w:val="0"/>
                <w:sz w:val="24"/>
                <w:szCs w:val="24"/>
              </w:rPr>
              <w:t>容水河道整治、两岸堤防工程和蓄洪区等）、扩建大涌河泵站、重建大涌河水闸、加固西江干堤（大涌河口段）等。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48424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42924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建设佛山（云浮）产业转移工业园防洪治涝工程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都杨至云安公路新建工程连接线项目（西部快线连接线）</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建设路线总长约4公里，公路一级标准，路基宽23米，全线设置大桥1191米/2座，隧道1835米（单洞）/1座，平面交叉2处（其中1处为规划交叉），涵洞7道,通道1道。</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2022-2025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47000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47000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一级标准公路4公里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云安区都杨镇洞坑水库新建工程项目（一期）</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新建水库大坝、放水塔、溢洪道、输水涵管等主要水库建筑物，并建设管养房、进库公路、相关机电设备、告示牌等辅助和配套设施，为西江饮用水水源的备用水源。</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2022-2025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可保障云浮新区10万多人的饮用水，作为西江饮用水水源的备用水源；改造优质良田5000亩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云浮市云安区石城镇至富林环大云雾山公路新建工程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工程项目全长15.953公里，按公路Ⅲ级标准建设，双向两车道，路基宽度为8.5米，路面宽度为7.0米，路面采用水泥砼，设计速度为40Km/h。</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33854</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33854</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37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云安区省级循环经济工业园创新研究院、污水处理中水回用等基础设施建设项目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项目建设在云安区六都镇冬城村委。包括创研中心综合楼首层、二层装修工程，绿色日化产业集聚区孵化器（二期）装修工程，绿色日化产业规划暨经济社会发展成果展厅工程等25个工程。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31700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26300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38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云浮市云安区日化产品工业城二期项目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本项目总用地面积66899.84平方米，建设14栋标准化厂房，建筑面积114851.15平方米；1栋宿舍（首层食堂），建筑面积17300.00平方米，项目总建筑面积为132151.15平方米。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31000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31000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2"/>
              </w:rPr>
              <w:t>建设建设14栋标准化厂房，1栋宿舍（首层食堂）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39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省道</w:t>
            </w:r>
            <w:r>
              <w:rPr>
                <w:rFonts w:ascii="Times New Roman" w:hAnsi="Times New Roman" w:eastAsia="仿宋_GB2312" w:cs="宋体"/>
                <w:kern w:val="0"/>
                <w:sz w:val="24"/>
                <w:szCs w:val="24"/>
              </w:rPr>
              <w:t>S539线云安区云雾山隧道（含连接线）新建工程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路线起点位于国道</w:t>
            </w:r>
            <w:r>
              <w:rPr>
                <w:rFonts w:ascii="Times New Roman" w:hAnsi="Times New Roman" w:eastAsia="仿宋_GB2312" w:cs="宋体"/>
                <w:kern w:val="0"/>
                <w:sz w:val="24"/>
                <w:szCs w:val="24"/>
              </w:rPr>
              <w:t xml:space="preserve"> G324 线岗尾村路段，经社排、枫树脚、岭头营、风门坳、迳村，终于富林镇民主村接省道S539线，路线全长6.845公里（其中云雾山隧道0.9公里）。</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30590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29590</w:t>
            </w:r>
          </w:p>
        </w:tc>
        <w:tc>
          <w:tcPr>
            <w:tcW w:w="1882" w:type="dxa"/>
            <w:shd w:val="clear" w:color="auto" w:fill="auto"/>
            <w:vAlign w:val="center"/>
          </w:tcPr>
          <w:p>
            <w:pPr>
              <w:widowControl/>
              <w:spacing w:line="320" w:lineRule="exact"/>
              <w:jc w:val="center"/>
              <w:rPr>
                <w:rFonts w:ascii="Times New Roman" w:hAnsi="Times New Roman" w:eastAsia="仿宋_GB2312" w:cs="宋体"/>
                <w:kern w:val="0"/>
                <w:sz w:val="22"/>
              </w:rPr>
            </w:pPr>
            <w:r>
              <w:rPr>
                <w:rFonts w:hint="eastAsia" w:ascii="Times New Roman" w:hAnsi="Times New Roman" w:eastAsia="仿宋_GB2312" w:cs="宋体"/>
                <w:kern w:val="0"/>
                <w:sz w:val="24"/>
                <w:szCs w:val="24"/>
              </w:rPr>
              <w:t>新建公路约6.845公里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云安区医联体基础设施配套工程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1、建设9个医疗单位污水处理设施，处理污水144.84吨/日。2、建设富林镇卫生院新建一幢门诊综合楼，总建筑面积为3440.85平方米；在现有2层住院楼加建2层， 加建面积为1600平方米；对现有2层门诊楼进行改造，改造面积约900平方米。3、石城镇卫生院、高村镇卫生院、白石镇卫生院、区中医院建设职工周围房，建设面积23120平方米。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15337</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15337</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建设9个医疗单位污水处理设施，处理污水144.84吨/日；建设富林镇卫生院新建一幢门诊综合楼；石城镇卫生院、高村镇卫生院、白石镇卫生院、区中医院建设职工周围房。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云浮市云安区城区排水防涝设施建设工程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该项目包括对云安区城区（六都镇街道）及白沙塘区的主要城镇路线铺装雨水管及污水管，并完成相关配套设施。项目共铺设安装排水管道17623米，其中铺设雨水排水管道8203米及配套雨水检查井、雨水收集口等；铺设污水管道9420米及配套钢筋混凝土污水检查井及塑料接户井，需要拆除道路、人行道以及恢复道路和绿化树木，并对排涝站改造及建设配套设施，同时包含正在实施建设的四个云安区主要排水工程项目内容。</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13969</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13969</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对云安区城区（六都镇街道）及白沙塘区的主要城镇路线铺装雨水管及污水管，并完成相关配套设施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S368线云安采营至大河段建设工程项目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建设内容：路基工程、路面工程、桥涵工程、平交工程、交通安全设施工程、沿线绿化工程等。</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规模：本改造工程路线全长</w:t>
            </w:r>
            <w:r>
              <w:rPr>
                <w:rFonts w:hint="eastAsia" w:ascii="Times New Roman" w:hAnsi="Times New Roman" w:eastAsia="仿宋_GB2312" w:cs="Times New Roman"/>
                <w:kern w:val="0"/>
                <w:sz w:val="22"/>
              </w:rPr>
              <w:t>23.182</w:t>
            </w:r>
            <w:r>
              <w:rPr>
                <w:rFonts w:hint="eastAsia" w:ascii="Times New Roman" w:hAnsi="Times New Roman" w:eastAsia="仿宋_GB2312" w:cs="宋体"/>
                <w:kern w:val="0"/>
                <w:sz w:val="22"/>
              </w:rPr>
              <w:t>公里。其中</w:t>
            </w:r>
            <w:r>
              <w:rPr>
                <w:rFonts w:hint="eastAsia" w:ascii="Times New Roman" w:hAnsi="Times New Roman" w:eastAsia="仿宋_GB2312" w:cs="Times New Roman"/>
                <w:kern w:val="0"/>
                <w:sz w:val="22"/>
              </w:rPr>
              <w:t>K24+075</w:t>
            </w:r>
            <w:r>
              <w:rPr>
                <w:rFonts w:hint="eastAsia" w:ascii="Times New Roman" w:hAnsi="Times New Roman" w:eastAsia="仿宋_GB2312" w:cs="宋体"/>
                <w:kern w:val="0"/>
                <w:sz w:val="22"/>
              </w:rPr>
              <w:t>－</w:t>
            </w:r>
            <w:r>
              <w:rPr>
                <w:rFonts w:hint="eastAsia" w:ascii="Times New Roman" w:hAnsi="Times New Roman" w:eastAsia="仿宋_GB2312" w:cs="Times New Roman"/>
                <w:kern w:val="0"/>
                <w:sz w:val="22"/>
              </w:rPr>
              <w:t>K33+900</w:t>
            </w:r>
            <w:r>
              <w:rPr>
                <w:rFonts w:hint="eastAsia" w:ascii="Times New Roman" w:hAnsi="Times New Roman" w:eastAsia="仿宋_GB2312" w:cs="宋体"/>
                <w:kern w:val="0"/>
                <w:sz w:val="22"/>
              </w:rPr>
              <w:t>（采营至六都）段为一级公路，长</w:t>
            </w:r>
            <w:r>
              <w:rPr>
                <w:rFonts w:hint="eastAsia" w:ascii="Times New Roman" w:hAnsi="Times New Roman" w:eastAsia="仿宋_GB2312" w:cs="Times New Roman"/>
                <w:kern w:val="0"/>
                <w:sz w:val="22"/>
              </w:rPr>
              <w:t>9.825</w:t>
            </w:r>
            <w:r>
              <w:rPr>
                <w:rFonts w:hint="eastAsia" w:ascii="Times New Roman" w:hAnsi="Times New Roman" w:eastAsia="仿宋_GB2312" w:cs="宋体"/>
                <w:kern w:val="0"/>
                <w:sz w:val="22"/>
              </w:rPr>
              <w:t>公里，设计车速</w:t>
            </w:r>
            <w:r>
              <w:rPr>
                <w:rFonts w:hint="eastAsia" w:ascii="Times New Roman" w:hAnsi="Times New Roman" w:eastAsia="仿宋_GB2312" w:cs="Times New Roman"/>
                <w:kern w:val="0"/>
                <w:sz w:val="22"/>
              </w:rPr>
              <w:t>60km/h</w:t>
            </w:r>
            <w:r>
              <w:rPr>
                <w:rFonts w:hint="eastAsia" w:ascii="Times New Roman" w:hAnsi="Times New Roman" w:eastAsia="仿宋_GB2312" w:cs="宋体"/>
                <w:kern w:val="0"/>
                <w:sz w:val="22"/>
              </w:rPr>
              <w:t>，为双向四车道；</w:t>
            </w:r>
            <w:r>
              <w:rPr>
                <w:rFonts w:hint="eastAsia" w:ascii="Times New Roman" w:hAnsi="Times New Roman" w:eastAsia="仿宋_GB2312" w:cs="Times New Roman"/>
                <w:kern w:val="0"/>
                <w:sz w:val="22"/>
              </w:rPr>
              <w:t>K33+900.00</w:t>
            </w:r>
            <w:r>
              <w:rPr>
                <w:rFonts w:hint="eastAsia" w:ascii="Times New Roman" w:hAnsi="Times New Roman" w:eastAsia="仿宋_GB2312" w:cs="宋体"/>
                <w:kern w:val="0"/>
                <w:sz w:val="22"/>
              </w:rPr>
              <w:t>－</w:t>
            </w:r>
            <w:r>
              <w:rPr>
                <w:rFonts w:hint="eastAsia" w:ascii="Times New Roman" w:hAnsi="Times New Roman" w:eastAsia="仿宋_GB2312" w:cs="Times New Roman"/>
                <w:kern w:val="0"/>
                <w:sz w:val="22"/>
              </w:rPr>
              <w:t>K46+000.00</w:t>
            </w:r>
            <w:r>
              <w:rPr>
                <w:rFonts w:hint="eastAsia" w:ascii="Times New Roman" w:hAnsi="Times New Roman" w:eastAsia="仿宋_GB2312" w:cs="宋体"/>
                <w:kern w:val="0"/>
                <w:sz w:val="22"/>
              </w:rPr>
              <w:t>（六都至大河）段为二级公路，长</w:t>
            </w:r>
            <w:r>
              <w:rPr>
                <w:rFonts w:hint="eastAsia" w:ascii="Times New Roman" w:hAnsi="Times New Roman" w:eastAsia="仿宋_GB2312" w:cs="Times New Roman"/>
                <w:kern w:val="0"/>
                <w:sz w:val="22"/>
              </w:rPr>
              <w:t>12.1</w:t>
            </w:r>
            <w:r>
              <w:rPr>
                <w:rFonts w:hint="eastAsia" w:ascii="Times New Roman" w:hAnsi="Times New Roman" w:eastAsia="仿宋_GB2312" w:cs="宋体"/>
                <w:kern w:val="0"/>
                <w:sz w:val="22"/>
              </w:rPr>
              <w:t>公里，设计车速</w:t>
            </w:r>
            <w:r>
              <w:rPr>
                <w:rFonts w:hint="eastAsia" w:ascii="Times New Roman" w:hAnsi="Times New Roman" w:eastAsia="仿宋_GB2312" w:cs="Times New Roman"/>
                <w:kern w:val="0"/>
                <w:sz w:val="22"/>
              </w:rPr>
              <w:t>40km/h</w:t>
            </w:r>
            <w:r>
              <w:rPr>
                <w:rFonts w:hint="eastAsia" w:ascii="Times New Roman" w:hAnsi="Times New Roman" w:eastAsia="仿宋_GB2312" w:cs="宋体"/>
                <w:kern w:val="0"/>
                <w:sz w:val="22"/>
              </w:rPr>
              <w:t>，为双向两车道。</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2024-2025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13000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13000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23.182</w:t>
            </w:r>
            <w:r>
              <w:rPr>
                <w:rFonts w:hint="eastAsia" w:ascii="Times New Roman" w:hAnsi="Times New Roman" w:eastAsia="仿宋_GB2312" w:cs="宋体"/>
                <w:kern w:val="0"/>
                <w:sz w:val="22"/>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省道S537线（云安区段）凤凰坳到细友石场段改建工程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路线全长9.45公里，采用一级公路标准建设，设计速度60公里每小时，双向4车道，路基宽度21.5米。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建设一级标准公路9.45公里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云浮市云安区建筑科学研究检测中心</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规划总用地面积20亩（约13340平方米），总建筑面积为16200平米，项目建设2幢建筑物，分别为研发与检测中心大楼、培训与管理综合楼。1.研发与检测中心大楼建筑面积7000平方米，基底面积1400平方米，高5层，地下室面积1400平方米；2.培训与管理综合楼建筑面积6500平方米，基底面积1300平方米，高5层，地下室面积1300平方米。并完成室外工程及配套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11485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11485</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建设2幢建筑物，分别为研发与检测中心大楼、培训与管理综合楼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云浮市云安区疾病预防控制中心易地新建项目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总建筑面积6150平方米，包括：业务楼一栋，实验楼一，配电房以及门岗、垃圾房、污水池等附属设施，绿化、道路、广场等相关设施，配套购置实验室所需仪器设备一批</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10010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10010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总建筑面积6150平方米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云安区城区管网污水分流改造项目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在云安区城区内新建污水管网57696米，主要建设内容有污水主干管、若干个配套钢筋混凝土污水检查井、污水支次管 、若干个配套钢筋混凝土污水检查井、塑料接户井及新建一体化泵站一座等。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8350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8350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新建污水管网57696米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47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云安区物资储备仓库和粮食加工厂建设项目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项目建设在石巷、都骑。（1）石巷库区拆除原有建筑工程875m2、新建粮食加工标准厂房一座（三层、2300 m2）、新建智能粮食仓库一个（三层、1350 m2）、配套绿化、道路、广场、水渠等公用辅助工程，购置生产加工和仓储、信息化一批。</w:t>
            </w:r>
            <w:r>
              <w:rPr>
                <w:rFonts w:hint="eastAsia" w:ascii="Times New Roman" w:hAnsi="Times New Roman" w:eastAsia="仿宋_GB2312" w:cs="宋体"/>
                <w:kern w:val="0"/>
                <w:sz w:val="24"/>
                <w:szCs w:val="24"/>
              </w:rPr>
              <w:br w:type="textWrapping"/>
            </w:r>
            <w:r>
              <w:rPr>
                <w:rFonts w:hint="eastAsia" w:ascii="Times New Roman" w:hAnsi="Times New Roman" w:eastAsia="仿宋_GB2312" w:cs="宋体"/>
                <w:kern w:val="0"/>
                <w:sz w:val="24"/>
                <w:szCs w:val="24"/>
              </w:rPr>
              <w:t>（2）都骑库区拆除原有建筑工程1834m2、新建粮食和应急物资仓库一个（二层、1600 m2）、新建信息化监控大楼一座（八层、4000 m2）、配套绿化、道路、广场等公用辅助工程，购置仓储运输设备一批、信息化管理系统一套。</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8200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8200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48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云浮市云安区公共实训基地项目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1栋实训楼用地面积为4133.13平方米（合6.1997亩）。新建1栋实训楼的总建筑面积12376平方米（地上建筑面积12376平方米），集实训场地、实训车间、食堂及行政后勤办公、信息发布和咨询、教研室、机房、档案室及会议室为一体的实训综合楼及配套设备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7500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7500</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49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云安区农副产品冷链物流加工中心（含电子商务冷链物流服务中心）建设项目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选址位于云浮新区汕湛高速出入口南侧，溢康通正对面。项目分三期实施，一期建设农产品冷链物流加工车间2400平方米，建设冷库土建工程10656立方米。二期建设农产品综合楼2000平方米，建设农产品冷链物流加工车间6000平方米，建设冷库土建工程31968立方米。三期建设农产品冷链物流加工车间1400平方米，建设冷库土建工程10656立方米。形成冷链服务覆盖广、冷链运输效率高，有效保障农产品市场稳定的冷链物流加工体系。</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7237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7237</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云浮市云安区云雾山绿色生态创意产业园基础设施项目-过境公路新建工程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项目建设在富林。全长1.665公里，按公路二级标准建设，双向两车道，路基宽度10米，路面宽度为7.5米。提升云雾山旅游开发潜力，配套相关基础设施建设。</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4955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4955</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51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云安绿色日化集聚区道路（创富路）工程</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创富路规划红线宽度为24 米，本项目近期设计宽度为15.5 米，其中主线长为0.655km，平面交叉辅线长0.36km，共长1.025km。道路整体走向呈东南方向。道路主路等级为城市次干路，双向 2车道，设计行车速度为40Km/h。建设内容包括有：路基、路面工程：1.025km；交通配套设施：1.025km；市政雨水 1.025km、污水 1.025km、给水 1.025 km；照明工程：1.025km；景观绿化：1.025k。</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3008.25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3008.25</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云安区六都镇冬城村茅坪垌地块土方平整工程</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该工程场平面积共计549.29亩；项目场地平整内容包括排水防护、边坡修整在内，其中挖方约209.22万立方米，填方约196.49万立方米；边坡防护约40106.3平方米。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6319.45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6319.45</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云浮循环经济工业园青洲大道东道路工程</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本工程道路设计起点位于现状青洲大道尾端，青洲水泥厂大门处，路线向东延伸，直至终点处，与西部快线及三条规划路相交，路线全长 0.767 公里。采用城市道路次干路标准建设，设计速度40km/h。横断面形式：2.0m 人行+0.5m 路缘带+2×3.5m 行车道+0.5m 路缘带+6m 中央分隔带+0.5m 路缘带+2×3.5m 行车道+0.5m 路缘带+2.0m 人行道（行车道+路缘带+ 中央分隔带共计 22m，与现有青洲大道行车道断面保持一致）。</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6875.72</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6875.72</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云安区生态环境治理智慧化项目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项目建设在园区、矿山、码头、重点企业、建筑（建设）工地、江河、饮用水源、交通重要路段及各镇镇中心与镇周边区域等进行监控管理(安装监控点约250处)。</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4500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4500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55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云安区云六大道升级改造项目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现368线双向4车道改造为双向8车道</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四、民生工程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云浮市云安区中医院综合能力提升工程项目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发热门诊及肠道门诊，面积800平方米，不低于三个分区发热门诊，功能分区符合规范的门诊部；改造1层传染病隔离区，建筑面积为800平方米，设有普通病房及负压病房；装修消毒供应室，建筑面积230平方米；购置CT、DR、特种救护车；建设数字化医院，完善现有信息系统；建设市级体检中心；设备配置；改造3个名医工作室；医用制氧系统建设；污物处置间建设。</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14983.29</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14983.29</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提升医疗服务能力及提高信息化管理水平两大方面，完善中医院的服务设施、购置及建设安装相关的配套设备。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云安区人居环境系统性提升改造项目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开展对云安区辖区范围内的105个行政村和9个涉农社区进行人居环境综合整治提升改造，开展老旧村落 “美丽化”改造工程，开展农房管控和乡村风貌提升工作，建立完善农村“厕所革命”等长效管护机制。</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114000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106000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105个行政村和9个涉农社区人居环境综合整治提升改造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云浮市实验学校项目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建设一所十二年一贯制学校，包含小学、初中及高中学制，主要建设教学楼、宿舍、办公楼及配套基础设施等。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78000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建设一所十二年一贯制学校，包含小学、初中及高中学制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59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云安区推进基础教育现代化建设项目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主要建设石城镇中心小学（高潭校区）新建教学楼等工程，高村镇中心小学工程；都杨镇中心幼儿园、镇安镇中心幼儿园；石城镇幼儿园、富林中学等建设工程。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25106</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24106</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建设石城镇中心小学（高潭校区）新建教学楼等工程，高村镇中心小学工程；都杨镇中心幼儿园、镇安镇中心幼儿园；石城镇幼儿园、富林中学等建设工程。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云浮云安区整区推进生活污水处理及社会主义新农村示范村建设工程PPP项目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建设全区生活污水收集处理工程和新农村工程，覆盖全区80%以上村庄的生活污水收集处理工程和35个行政村及自然村的新农村示范村建设工程。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2018-2021</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71994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21994</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建设全区生活污水收集处理工程和新农村工程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云浮市云安区富林镇污水处理厂管网配套截污扩建工程</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项目建设在富林镇新街至南洋村委。建设镇内居民生活区及富林镇新街至南洋村委段雨、污水管网，铺设DN200-DN500雨、污水管道，管线总长约18千米。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3900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3900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云安区全域自然村集中供水（城乡供水一体化）镇级工程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新建设计规模远期2万m3/d，近期1.4万m3/d东风水厂，包括新建混凝沉淀池、超滤膜处理车间、清水池、出水泵房等；白石镇白石水厂、富林镇东升水厂、高村镇高村水厂改造； 敷设石城、白石、镇安镇DN300-DN500 PE 管联合供水管道共约 35.6km。</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15595.18</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15595.18</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全域自然村集中供水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63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云安区全域自然村集中供水（城乡供水一体化）村级工程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敷设镇至行政村DN100~DN150PE供水管道共约137.78km；敷设行政村至自然村DN40~DN80PE管供水管道共约170.4km；自然村到户供水管道共约693.58km，管径DN15~DN32，管材采用 PPR管；安装智能水表73918个；新建小型一体化净水设施 139 座。</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23902.35</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23902.35</w:t>
            </w:r>
          </w:p>
        </w:tc>
        <w:tc>
          <w:tcPr>
            <w:tcW w:w="188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全域自然村集中供水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云浮市云安区第二人民医院建设项目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按照县级综合医院标准建设，建筑面积2.63万平方米，包括门急诊综合楼、医技综合楼、住院综合楼、职工周转房、发热门诊楼、门卫房、连廊、垃圾站及附属用房；配套建设规范化手术室、消毒供应室、净水系统、污水处理系统等，购置医疗器械、耗材、医疗设备。</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23139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18159</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建设标准综合医院,可提供200多个床位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云浮市云安区中心城区六都镇及南乡片区老旧小区改造配套基础设施建设工程项目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对云安区中心城区六都镇及南乡片区老旧小区内的道路雨水工程设施改造、排污工程设施建设;修复破损路面工程、人行道改造工程、路面铺设沥青砼工程、旧路贯通工程、河涌护栏加固工程、绿化改造工程；增设垃圾回收设施；开展危旧建筑整治工程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23000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18000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对云安区中心城区六都镇及南乡片区进行环境提升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云浮市云安区垃圾收运处理设施项目</w:t>
            </w:r>
          </w:p>
        </w:tc>
        <w:tc>
          <w:tcPr>
            <w:tcW w:w="569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设在云安片区。本项目共包括云安区6座垃圾分类处理站和1000座垃圾分类收集点的建设，项目总建设用地面积约为22500平方米，总建筑面积约为3000平方米。购置主要收运处理设备93台套。每座垃圾分类处理站主要包括有垃圾压缩车间、厨余垃圾车间、垃圾分拣区、中控间、除尘、除臭设备间、休息间、污水收集池、化粪池、排水沟、进出道路、停车位、垃圾箱停放位、绿化带等建筑及配套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7843</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7843</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云浮市云安区体育馆项目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云浮市云安区体育馆，体育馆主体采用钢筋混凝土框架结构，楼高3层，总高19米（含5米高钢结构网架），首层占地面积3360平方米，总建筑面积约6920平方米，内设3000个座位、一个篮球场及配套的会议室、办公室、设备室、器材室、医务室、休息室等功能室。</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4255.62</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3878.18</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云安区旧城区农贸市场升级改造工程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本项目分两期建设。第一期建设内容：（1）摊位交易区：总建筑面积5180</w:t>
            </w:r>
            <w:r>
              <w:rPr>
                <w:rFonts w:hint="eastAsia" w:ascii="Times New Roman" w:hAnsi="Times New Roman"/>
                <w:kern w:val="0"/>
                <w:sz w:val="24"/>
                <w:szCs w:val="24"/>
              </w:rPr>
              <w:t>㎡</w:t>
            </w:r>
            <w:r>
              <w:rPr>
                <w:rFonts w:hint="eastAsia" w:ascii="Times New Roman" w:hAnsi="Times New Roman" w:eastAsia="仿宋_GB2312" w:cs="仿宋_GB2312"/>
                <w:kern w:val="0"/>
                <w:sz w:val="24"/>
                <w:szCs w:val="24"/>
              </w:rPr>
              <w:t>。（</w:t>
            </w:r>
            <w:r>
              <w:rPr>
                <w:rFonts w:hint="eastAsia" w:ascii="Times New Roman" w:hAnsi="Times New Roman" w:eastAsia="仿宋_GB2312" w:cs="宋体"/>
                <w:kern w:val="0"/>
                <w:sz w:val="24"/>
                <w:szCs w:val="24"/>
              </w:rPr>
              <w:t>2）日用成衣类交易区：总建筑面积5138</w:t>
            </w:r>
            <w:r>
              <w:rPr>
                <w:rFonts w:hint="eastAsia" w:ascii="Times New Roman" w:hAnsi="Times New Roman"/>
                <w:kern w:val="0"/>
                <w:sz w:val="24"/>
                <w:szCs w:val="24"/>
              </w:rPr>
              <w:t>㎡</w:t>
            </w:r>
            <w:r>
              <w:rPr>
                <w:rFonts w:hint="eastAsia" w:ascii="Times New Roman" w:hAnsi="Times New Roman" w:eastAsia="仿宋_GB2312" w:cs="仿宋_GB2312"/>
                <w:kern w:val="0"/>
                <w:sz w:val="24"/>
                <w:szCs w:val="24"/>
              </w:rPr>
              <w:t>。（</w:t>
            </w:r>
            <w:r>
              <w:rPr>
                <w:rFonts w:hint="eastAsia" w:ascii="Times New Roman" w:hAnsi="Times New Roman" w:eastAsia="仿宋_GB2312" w:cs="宋体"/>
                <w:kern w:val="0"/>
                <w:sz w:val="24"/>
                <w:szCs w:val="24"/>
              </w:rPr>
              <w:t>3）商铺：总建筑面积2922</w:t>
            </w:r>
            <w:r>
              <w:rPr>
                <w:rFonts w:hint="eastAsia" w:ascii="Times New Roman" w:hAnsi="Times New Roman"/>
                <w:kern w:val="0"/>
                <w:sz w:val="24"/>
                <w:szCs w:val="24"/>
              </w:rPr>
              <w:t>㎡</w:t>
            </w:r>
            <w:r>
              <w:rPr>
                <w:rFonts w:hint="eastAsia" w:ascii="Times New Roman" w:hAnsi="Times New Roman" w:eastAsia="仿宋_GB2312" w:cs="仿宋_GB2312"/>
                <w:kern w:val="0"/>
                <w:sz w:val="24"/>
                <w:szCs w:val="24"/>
              </w:rPr>
              <w:t>。（</w:t>
            </w:r>
            <w:r>
              <w:rPr>
                <w:rFonts w:hint="eastAsia" w:ascii="Times New Roman" w:hAnsi="Times New Roman" w:eastAsia="仿宋_GB2312" w:cs="宋体"/>
                <w:kern w:val="0"/>
                <w:sz w:val="24"/>
                <w:szCs w:val="24"/>
              </w:rPr>
              <w:t>4）监控管理及办公用房：总建筑面积516</w:t>
            </w:r>
            <w:r>
              <w:rPr>
                <w:rFonts w:hint="eastAsia" w:ascii="Times New Roman" w:hAnsi="Times New Roman"/>
                <w:kern w:val="0"/>
                <w:sz w:val="24"/>
                <w:szCs w:val="24"/>
              </w:rPr>
              <w:t>㎡</w:t>
            </w:r>
            <w:r>
              <w:rPr>
                <w:rFonts w:hint="eastAsia" w:ascii="Times New Roman" w:hAnsi="Times New Roman" w:eastAsia="仿宋_GB2312" w:cs="仿宋_GB2312"/>
                <w:kern w:val="0"/>
                <w:sz w:val="24"/>
                <w:szCs w:val="24"/>
              </w:rPr>
              <w:t>。（</w:t>
            </w:r>
            <w:r>
              <w:rPr>
                <w:rFonts w:hint="eastAsia" w:ascii="Times New Roman" w:hAnsi="Times New Roman" w:eastAsia="仿宋_GB2312" w:cs="宋体"/>
                <w:kern w:val="0"/>
                <w:sz w:val="24"/>
                <w:szCs w:val="24"/>
              </w:rPr>
              <w:t>5）农副产品信息中心。二期建设内容：（1）建设农产品冷链物流终端服务站点。包括在6个旧城区农贸市场：六都市场、南乡市场、石城茶洞市场、石城市场、镇安市场和白石市场建设农产品冷链物流终端服务站点。（2）供水管网。（3）配电设施。建设地址如下：</w:t>
            </w:r>
            <w:r>
              <w:rPr>
                <w:rFonts w:hint="eastAsia" w:ascii="Times New Roman" w:hAnsi="Times New Roman" w:eastAsia="仿宋_GB2312" w:cs="宋体"/>
                <w:kern w:val="0"/>
                <w:sz w:val="24"/>
                <w:szCs w:val="24"/>
              </w:rPr>
              <w:br w:type="page"/>
            </w:r>
            <w:r>
              <w:rPr>
                <w:rFonts w:hint="eastAsia" w:ascii="Times New Roman" w:hAnsi="Times New Roman" w:eastAsia="仿宋_GB2312" w:cs="宋体"/>
                <w:kern w:val="0"/>
                <w:sz w:val="24"/>
                <w:szCs w:val="24"/>
              </w:rPr>
              <w:t>1、 六都市场：云浮市云安区六都镇府前二路；2、 南乡市场：云浮市云安区河堤路19号；3、 茶洞市场：云浮市云安区石城镇324国道附近地块；4、 石城市场：云浮市云安区石城镇托洞旧街196号；5、 镇安市场：云浮市云安区镇安镇沿江路爱婴卫生院对面地块；6、 白石市场：云浮市云安区白石镇镇政府西北地块。</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3999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3999</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6</w:t>
            </w: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云浮市云安区图书馆新建项目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采用钢筋混凝土框架结构，楼高2层，建筑总高度约11米，首层占地面积约1810平方米，总建筑面积约3620平方米。内设多功能报告厅、展览厅、借阅室、自习室、电子阅览室、地方文献收藏室、资料室、期刊室、档案室、采编室等功能室。</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2288.36</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2280.47</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五、农林业</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70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云浮云安区现代花卉苗木产业园</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主要建设七大功能区：种植基地、科研教育培训基地、商务办公区、现代花卉苗木主题生态旅游区、代花卉苗木博览展销及电子商务中心、仓储物流中心、休闲特色生活区。</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项目建成后推广种植花卉约2万亩，年产值3亿元以上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71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云浮市温氏（云安）一体化生猪养殖项目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年出栏60万头生猪，主要配套建设1个年产30万吨饲料厂、3个高效化种猪、3个技术服务中心、行政中心等工程。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95000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年出栏60万头生猪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云浮市京基智农时代有限公司生猪养殖全产业链项目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建设现代化生猪养殖基地，规模为年出栏200万头生猪，采用聚落式楼房养猪；主要建设公猪站、分娩舍、妊娠舍、育肥舍、隔离舍、环保处理站、员工宿舍及规模猪场必备附属建筑等</w:t>
            </w:r>
          </w:p>
        </w:tc>
        <w:tc>
          <w:tcPr>
            <w:tcW w:w="883"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年出栏200万头生猪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云浮云安区现代优质草畜产业园项目（含食品加工园区项目）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生态牧草种植区、集中育肥区、养殖废弃物资源化综合利用区、生态放牧区、良种繁育区、屠宰加工区、田园牧乐区、优质黄牛交易区等八大功能区，项目建成后年出栏肉牛1万头，屠宰能力年屠牛10万头，屠羊15万头，并配套建设田园观光、放牧体验、特色餐饮及牛文化主题酒店等旅游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55000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年出栏肉牛1万头，屠宰能力年屠牛10万头，屠羊15万头，并配套建设田园观光、放牧体验、特色餐饮及牛文化主题酒店等旅游项目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云安区市级农业龙头企业综合园区（含白山西瓜、发财树、兰花、油茶加工基地和松针鸡屠宰冷库基地等）综合基础设施建设项目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乡村农业旅游基础设施，建设80亩发财树大棚深加工基地，建设松针鸡养殖基地、兰花、油茶、葛根种植加工基地，升级改造园区路桥、路灯、给排水、污水处理系统；建设2.5公里道路硬底化工程，0.3万平方米仓储仓库基础设施；建设0.3万平方米家禽屠宰场、0.3万平方米冷库、1万平方米仓库、0.4万平方米仓储中心。</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33200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28200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2"/>
              </w:rPr>
              <w:t>建设乡村农业旅游基础设施，建设80亩发财树大棚深加工基地，建设松针鸡养殖基地、兰花、油茶、葛根种植加工基地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广东盛世樱桃生态观光农业发展有限公司现代生态观光农业项目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建设现代生态观光农业园和及养生养老产业项目等，主要设施有道路、交通桥、民宿、游泳池等康体项目，以及餐饮、停车场、园区围蔽安防、绿化、照明。</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建设现代生态观光农业园和及养生养老产业项目等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云浮市云安筠诚牧业有限公司云安区富林镇肉牛饲养项目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项目总投资约2亿元，其中，固定资产投资5000万元，生物资产投资1.5亿元。项目规划建设肉牛饲养栏位15000个，满负荷生产后将成为广东省规模最大的肉牛养殖牧场，年产值可达3亿元以上。</w:t>
            </w:r>
          </w:p>
        </w:tc>
        <w:tc>
          <w:tcPr>
            <w:tcW w:w="883"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项目规划建设肉牛饲养栏位15000个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六、其他</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云浮云安区中云石文化旅游产业中心</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建设装饰板材及石材工艺产业园，配套生产、销售、石文化展览及旅游、石文化博物馆等功能综合项目，建成后年加工大理石板材约100万平方米。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年加工大理石板材约100万平方米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云雾山周边旅游综合开发及基础设施项目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建设云雾山景区周边的道路、停车场等配套基础设施建设；整合云雾山周边的历史文化和自然风光等旅游项目；建设花海基地等。</w:t>
            </w:r>
          </w:p>
        </w:tc>
        <w:tc>
          <w:tcPr>
            <w:tcW w:w="883"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整合云雾山周边的历史文化和自然风光等旅游项目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7</w:t>
            </w: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云安区高村镇大金山康体项目</w:t>
            </w:r>
          </w:p>
        </w:tc>
        <w:tc>
          <w:tcPr>
            <w:tcW w:w="569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停车场约4个，建设森林环山公路约20公里，建设森林氧吧观景台约2000平方，建设森林度假村民宿、烧烤区约3000平方，建设森林氧吧人行栈道5公里，梨花园，自行车绿道和速降道20公里，游客服务中心，旅游公厕6座，</w:t>
            </w:r>
            <w:r>
              <w:rPr>
                <w:rFonts w:hint="eastAsia" w:ascii="微软雅黑" w:hAnsi="微软雅黑" w:eastAsia="微软雅黑" w:cs="微软雅黑"/>
                <w:kern w:val="0"/>
                <w:sz w:val="24"/>
                <w:szCs w:val="24"/>
              </w:rPr>
              <w:t>瞭</w:t>
            </w:r>
            <w:r>
              <w:rPr>
                <w:rFonts w:hint="eastAsia" w:ascii="仿宋_GB2312" w:hAnsi="仿宋_GB2312" w:eastAsia="仿宋_GB2312" w:cs="仿宋_GB2312"/>
                <w:kern w:val="0"/>
                <w:sz w:val="24"/>
                <w:szCs w:val="24"/>
              </w:rPr>
              <w:t>望台</w:t>
            </w:r>
            <w:r>
              <w:rPr>
                <w:rFonts w:hint="eastAsia" w:ascii="Times New Roman" w:hAnsi="Times New Roman" w:eastAsia="仿宋_GB2312" w:cs="宋体"/>
                <w:kern w:val="0"/>
                <w:sz w:val="24"/>
                <w:szCs w:val="24"/>
              </w:rPr>
              <w:t>5座。</w:t>
            </w:r>
          </w:p>
        </w:tc>
        <w:tc>
          <w:tcPr>
            <w:tcW w:w="883"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2021-2027</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12000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建设森林环山公路约20公里，建设森林氧吧观景台约2000平方，建设森林度假村民宿、烧烤区约3000平方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80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禅宗文化与旅游养生养老产业示范基地项目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建设大型养生养老基地，主要建设四合院、养老中心、老人活动中心、宿舍大楼约1000个床位、饭堂、餐饮及相关配套设施；建筑面积2.09万平方米。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14500</w:t>
            </w:r>
          </w:p>
        </w:tc>
        <w:tc>
          <w:tcPr>
            <w:tcW w:w="1882" w:type="dxa"/>
            <w:shd w:val="clear" w:color="auto" w:fill="auto"/>
            <w:vAlign w:val="center"/>
          </w:tcPr>
          <w:p>
            <w:pPr>
              <w:widowControl/>
              <w:spacing w:line="32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建设大型养生养老基地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c>
          <w:tcPr>
            <w:tcW w:w="1842"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c>
          <w:tcPr>
            <w:tcW w:w="5692" w:type="dxa"/>
            <w:shd w:val="clear" w:color="auto" w:fill="auto"/>
            <w:vAlign w:val="center"/>
          </w:tcPr>
          <w:p>
            <w:pPr>
              <w:widowControl/>
              <w:spacing w:line="320" w:lineRule="exact"/>
              <w:rPr>
                <w:rFonts w:ascii="Times New Roman" w:hAnsi="Times New Roman" w:eastAsia="仿宋_GB2312" w:cs="宋体"/>
                <w:b/>
                <w:bCs/>
                <w:kern w:val="0"/>
                <w:sz w:val="22"/>
              </w:rPr>
            </w:pPr>
            <w:r>
              <w:rPr>
                <w:rFonts w:hint="eastAsia" w:ascii="Times New Roman" w:hAnsi="Times New Roman" w:eastAsia="仿宋_GB2312" w:cs="宋体"/>
                <w:b/>
                <w:bCs/>
                <w:kern w:val="0"/>
                <w:sz w:val="22"/>
              </w:rPr>
              <w:t>云浮新区项目</w:t>
            </w:r>
          </w:p>
        </w:tc>
        <w:tc>
          <w:tcPr>
            <w:tcW w:w="883"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c>
          <w:tcPr>
            <w:tcW w:w="1200"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c>
          <w:tcPr>
            <w:tcW w:w="1183" w:type="dxa"/>
            <w:shd w:val="clear" w:color="auto" w:fill="auto"/>
            <w:vAlign w:val="center"/>
          </w:tcPr>
          <w:p>
            <w:pPr>
              <w:widowControl/>
              <w:spacing w:line="320" w:lineRule="exact"/>
              <w:jc w:val="center"/>
              <w:rPr>
                <w:rFonts w:ascii="Times New Roman" w:hAnsi="Times New Roman" w:eastAsia="仿宋_GB2312" w:cs="Times New Roman"/>
                <w:b/>
                <w:bCs/>
                <w:kern w:val="0"/>
                <w:sz w:val="22"/>
              </w:rPr>
            </w:pPr>
          </w:p>
        </w:tc>
        <w:tc>
          <w:tcPr>
            <w:tcW w:w="1882" w:type="dxa"/>
            <w:shd w:val="clear" w:color="auto" w:fill="auto"/>
            <w:vAlign w:val="center"/>
          </w:tcPr>
          <w:p>
            <w:pPr>
              <w:widowControl/>
              <w:spacing w:line="320" w:lineRule="exact"/>
              <w:jc w:val="center"/>
              <w:rPr>
                <w:rFonts w:ascii="Times New Roman" w:hAnsi="Times New Roman" w:eastAsia="仿宋_GB2312" w:cs="宋体"/>
                <w:b/>
                <w:bCs/>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81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新区云联小镇</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云浮云计算数据中心集聚区项目，位于云浮省市共建信息技术应用创新产业园（云谷）内，规划建设折合标准机架数约26000个。第一阶段2020-2022年，规划建设折合标准机架数累计约12000个；第二阶段2023-2025年，规划建设折合标准机架数累计约26000个。</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200000</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161200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广东风华高新科技股份有限公司超级电容项目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计划研发信创计算机周边电容产品，配套信创产业链。</w:t>
            </w:r>
          </w:p>
        </w:tc>
        <w:tc>
          <w:tcPr>
            <w:tcW w:w="883" w:type="dxa"/>
            <w:shd w:val="clear" w:color="auto" w:fill="auto"/>
          </w:tcPr>
          <w:p>
            <w:pPr>
              <w:widowControl/>
              <w:spacing w:line="320" w:lineRule="exact"/>
              <w:jc w:val="center"/>
              <w:rPr>
                <w:rFonts w:ascii="Times New Roman" w:hAnsi="Times New Roman" w:eastAsia="仿宋_GB2312" w:cs="宋体"/>
                <w:kern w:val="0"/>
                <w:sz w:val="24"/>
                <w:szCs w:val="24"/>
              </w:rPr>
            </w:pPr>
          </w:p>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tcPr>
          <w:p>
            <w:pPr>
              <w:widowControl/>
              <w:spacing w:line="320" w:lineRule="exact"/>
              <w:jc w:val="center"/>
              <w:rPr>
                <w:rFonts w:ascii="Times New Roman" w:hAnsi="Times New Roman" w:eastAsia="仿宋_GB2312" w:cs="宋体"/>
                <w:kern w:val="0"/>
                <w:sz w:val="24"/>
                <w:szCs w:val="24"/>
              </w:rPr>
            </w:pPr>
          </w:p>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35000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33800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云宏信创研发中心项目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机房及配套环境建设、办公室装修、设备采购、研发环境搭建、信创适配、信创产品研发生产等。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5200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广东省信创适配研发基地项目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开展信创产品研发、适配实验室建设运营、信创产业课题研究以及打造法律服务平台等。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9400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云浮省市共建信息技术应用创新产业园项目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建设通用厂房、产业配套服务大楼及文华路、管网、供水、电力、场地平整、绿化、河道整治工程等产业配套基础设施。</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158398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136898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高丘六和（云浮）工业有限公司扩建项目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主要生产盘式制动器总成、驱动桥总成、自动变速箱及汽车用铸、锻毛胚件等汽车零部件，主要配套广汽丰田、广汽本田。计划投资4亿元，在厂区旁边购置土地75亩，进行厂房扩建。</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18000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项目达产后预计总产值约10亿元，税收约1.1亿元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爱德克斯（云浮）汽车零部件有限公司二期扩建项目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主要生产卡钳，年生产能力达到130万个，主要设备是加工设备，电镀锌设备。</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2019-2022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60000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23635</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年产130万个卡钳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广崎汽车线束项目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主要生产配套丰田汽车线束。</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15000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14000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8</w:t>
            </w: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广东仁创砂产业基地项目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主要建设厂房及砂线配套的附属设施设备，两期建设，第一期建设约1万平方米专用厂房及研发办公楼，引入一条5吨/小时再生线、一条7吨/小时覆膜砂线及配套的水电气、叉车铲车等附属设施设备；第二期建设约0.5万平方米标准厂房，引入一条年处理30000吨粉尘的再生陶粒生产线及一条陶粒透水砖线。</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9000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项目建成投产后，可实现年产值1亿元以上，年纳税600万元以上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90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广东新灏元科技有限公司水性体育新材料项目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投资建设水性体育新材料项目，建成后将生产经营水性塑胶跑道PU材料、水性硅PU球场材料、EPDM彩色橡胶颗粒、预制型橡胶跑道。</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15000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项目预计年产值达不低于3亿元、纳税不低于1280万元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91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广东恰好时体育有限公司云浮产业基地项目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投资建设体育设施产业项目，建成后将生产经营运动场围网系统、专业赛事配套设施、体育照明以及智慧球场系统。</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25000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25000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投产后，预计年产值达不低于4亿元、纳税不低于1800万元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卓和药业华南研发、运营中心项目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建设集团公司华南新药研发、运营中心及推进1.1类新药JAK1抑制剂等新药产业化；建设年产30亿片口服固体制剂生产线及配套制剂综合原料药车间；建设3000万盒现代中药丸剂生产线及配套提取车间等。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2022-2025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100000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年产30亿片口服固体制剂；3000万盒现代中药丸剂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云高新天地项目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一类高层公共建筑，其中建设1幢19层公寓，1幢20层酒店公寓综合楼，底部裙房共两层；总建筑面积8.44万平方米。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2018-2022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42000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17641</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云浮新区广州国际物流港临港经济物流园项目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项目位于云浮西江新城沿江片区，主要建设内容包含水系综合治理、生态景观工程、交通市政基础设施、园区公共服务配套设施、产业园区综合办公楼及标准厂房开发建设等5个子项目。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607454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607454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云浮新区万洋众创城项目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总建筑面积约55万平方米，以引入信息技术创新应用产业为主，建设产业集聚平台，打造成为集制造研发、电子商务、科技孵化、生产生活配套、金融服务和智慧园区管理于一体的信息技术创新应用产业基地。</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2020-2025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200000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 xml:space="preserve">179000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年产值约15亿元，年创税收约7400万，可容纳超200家企业，提供近1万个就业岗位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云浮西江新城智能制造园基础设施项目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包括场地平整工程、道路工程、给排水工程、交通工程、照明工程、综合管线工程、排水渠改造及厂房建设等。</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2021-2025</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79997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79997</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广东华润西江发电厂2×660MW“上大压小”燃煤发电项目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新建2台66万千瓦超超临界燃煤发电机组，同步安装高效静电除尘、脱硫、脱硝和在线烟气连续监测装置，配套建设专用码头工程。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543900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453900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装机容量132万千瓦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广东华润西江发电厂二期扩建2×660MW燃煤发电项目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扩建2台66万千瓦超超临界燃煤发电机组。</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2023-2026</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500000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装机容量132万千瓦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9</w:t>
            </w:r>
            <w:r>
              <w:rPr>
                <w:rFonts w:ascii="Times New Roman" w:hAnsi="Times New Roman" w:eastAsia="仿宋_GB2312" w:cs="宋体"/>
                <w:kern w:val="0"/>
                <w:sz w:val="24"/>
                <w:szCs w:val="24"/>
              </w:rPr>
              <w:t>9</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云浮西江新城给排水基础设施项目工程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该工程包括云浮西江新城西片区（云杨二期、西部快线沿线）给排水管网工程和云浮西江新城沿江片区给水管网工程两个子项。</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2020-2022</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34000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29500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100</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云浮西江新城市政排水项目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建成区周边城镇水系整治工程和建成区市政排水（云祥大道、广盛路、强盛路等）工程共11个工程。</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2021-2023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22782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22782</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ascii="Times New Roman" w:hAnsi="Times New Roman" w:eastAsia="仿宋_GB2312" w:cs="宋体"/>
                <w:kern w:val="0"/>
                <w:sz w:val="24"/>
                <w:szCs w:val="24"/>
              </w:rPr>
              <w:t>101</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云浮新区基础设施项目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建设西江新城强盛路东段工程、云杨公路新建工程第二期、都杨至云安公路新建工程(西部快线）、佛山（云浮）产业转移工业园基础设施建设工程（四期）项目。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2017-2023</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280700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171700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2</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云浮市西江新城强盛路东段工程</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该项目全长约3.8公里，采用的等级标谁为公路一级兼城市道路功能，双向六车道，路基宽度36米。</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2019-2024</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37300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35300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3</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华润热电冷联产产业园</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依托华润西江发电厂2台66万千瓦热电冷循环利用发电项目，规划建设面积5000亩。园区分两阶段实施，第一阶段（一期）为2023-2025年，先行建成制造加工、食药、饮料、包装、新型材料等，第二阶段（二期）为2026-2028年，建成商品交易区和仓储物流（含冷链物流）区，同步建设集中供热管网二期工程项目。</w:t>
            </w:r>
          </w:p>
        </w:tc>
        <w:tc>
          <w:tcPr>
            <w:tcW w:w="8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2023-2028</w:t>
            </w:r>
          </w:p>
        </w:tc>
        <w:tc>
          <w:tcPr>
            <w:tcW w:w="1200"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 xml:space="preserve">1000000 </w:t>
            </w:r>
          </w:p>
        </w:tc>
        <w:tc>
          <w:tcPr>
            <w:tcW w:w="1183"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rPr>
              <w:t>600000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4</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大涌河周边市政工程建设项目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大涌河周边水系支流整治20公里；建设沿河市政路18公里；建设城市碧道54公里；建设南湖蓄洪区1.9平方公里。</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2022-2025</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275700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275700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5</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云浮华立大学附属中学项目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教学楼、实验楼、宿舍楼、食堂、运动场等约28万平方米。</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2021-2025</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100000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100000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6</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广州华立科技职业学院云浮校区扩建工程（提升为本科学历教育）</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教学楼、实验楼、宿舍楼、图书馆、食堂等，建筑面积共69万平方米。</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2021-2025</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280000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280000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rPr>
              <w:t>提升为本科学历教育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7</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东山森林公园建设项目</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利用现有山地、水体景观等地形地貌以及天然氧吧资源，开发适合大众的户外有氧活动；针对春、夏、秋季，提供户外拓展、户外露营、养生运动、徒步、骑行、探险等户外康体养生项目，打造生态康养森林公园示范性项目；打造粤西地区花卉苗木交易中心绿色展会项目。分五期完成基础设施建设、林相改造、景观优化、展会展厅建设等。</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2021-2026</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250000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150000</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jc w:val="center"/>
        </w:trPr>
        <w:tc>
          <w:tcPr>
            <w:tcW w:w="852" w:type="dxa"/>
            <w:shd w:val="clear" w:color="auto" w:fill="auto"/>
            <w:vAlign w:val="center"/>
          </w:tcPr>
          <w:p>
            <w:pPr>
              <w:widowControl/>
              <w:spacing w:line="320" w:lineRule="exact"/>
              <w:jc w:val="center"/>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10</w:t>
            </w:r>
            <w:r>
              <w:rPr>
                <w:rFonts w:ascii="Times New Roman" w:hAnsi="Times New Roman" w:eastAsia="仿宋_GB2312" w:cs="宋体"/>
                <w:kern w:val="0"/>
                <w:sz w:val="24"/>
                <w:szCs w:val="24"/>
              </w:rPr>
              <w:t>8</w:t>
            </w:r>
          </w:p>
        </w:tc>
        <w:tc>
          <w:tcPr>
            <w:tcW w:w="1842" w:type="dxa"/>
            <w:shd w:val="clear" w:color="auto" w:fill="auto"/>
            <w:vAlign w:val="center"/>
          </w:tcPr>
          <w:p>
            <w:pPr>
              <w:widowControl/>
              <w:spacing w:line="32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云浮新区农民集中安置区</w:t>
            </w:r>
          </w:p>
        </w:tc>
        <w:tc>
          <w:tcPr>
            <w:tcW w:w="5692" w:type="dxa"/>
            <w:shd w:val="clear" w:color="auto" w:fill="auto"/>
            <w:vAlign w:val="center"/>
          </w:tcPr>
          <w:p>
            <w:pPr>
              <w:widowControl/>
              <w:spacing w:line="320" w:lineRule="exact"/>
              <w:jc w:val="lef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项目包括道路工程、土方平整工程、给排水工程、挡土护坡、绿化工程及电力线路迁改工程等。</w:t>
            </w:r>
          </w:p>
        </w:tc>
        <w:tc>
          <w:tcPr>
            <w:tcW w:w="8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2020-2022</w:t>
            </w:r>
          </w:p>
        </w:tc>
        <w:tc>
          <w:tcPr>
            <w:tcW w:w="1200"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10000 </w:t>
            </w:r>
          </w:p>
        </w:tc>
        <w:tc>
          <w:tcPr>
            <w:tcW w:w="1183" w:type="dxa"/>
            <w:shd w:val="clear" w:color="auto" w:fill="auto"/>
            <w:vAlign w:val="center"/>
          </w:tcPr>
          <w:p>
            <w:pPr>
              <w:widowControl/>
              <w:spacing w:line="320" w:lineRule="exact"/>
              <w:jc w:val="center"/>
              <w:rPr>
                <w:rFonts w:ascii="Times New Roman" w:hAnsi="Times New Roman" w:eastAsia="仿宋_GB2312"/>
              </w:rPr>
            </w:pPr>
            <w:r>
              <w:rPr>
                <w:rFonts w:hint="eastAsia" w:ascii="Times New Roman" w:hAnsi="Times New Roman" w:eastAsia="仿宋_GB2312"/>
              </w:rPr>
              <w:t xml:space="preserve">9000 </w:t>
            </w:r>
          </w:p>
        </w:tc>
        <w:tc>
          <w:tcPr>
            <w:tcW w:w="1882" w:type="dxa"/>
            <w:shd w:val="clear" w:color="auto" w:fill="auto"/>
            <w:vAlign w:val="center"/>
          </w:tcPr>
          <w:p>
            <w:pPr>
              <w:widowControl/>
              <w:spacing w:line="320" w:lineRule="exact"/>
              <w:rPr>
                <w:rFonts w:ascii="Times New Roman" w:hAnsi="Times New Roman" w:eastAsia="仿宋_GB2312" w:cs="宋体"/>
                <w:kern w:val="0"/>
                <w:sz w:val="24"/>
                <w:szCs w:val="24"/>
              </w:rPr>
            </w:pPr>
          </w:p>
        </w:tc>
      </w:tr>
    </w:tbl>
    <w:p>
      <w:pPr>
        <w:rPr>
          <w:rFonts w:ascii="Times New Roman" w:hAnsi="Times New Roman"/>
        </w:rPr>
      </w:pPr>
    </w:p>
    <w:p>
      <w:pPr>
        <w:pStyle w:val="2"/>
        <w:sectPr>
          <w:pgSz w:w="16838" w:h="11906" w:orient="landscape"/>
          <w:pgMar w:top="1588" w:right="1418" w:bottom="1588" w:left="1418" w:header="851" w:footer="992" w:gutter="0"/>
          <w:cols w:space="425" w:num="1"/>
          <w:docGrid w:type="lines" w:linePitch="600" w:charSpace="0"/>
        </w:sectPr>
      </w:pPr>
    </w:p>
    <w:p>
      <w:pPr>
        <w:widowControl/>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附件2：</w:t>
      </w:r>
    </w:p>
    <w:p>
      <w:pPr>
        <w:jc w:val="center"/>
        <w:rPr>
          <w:rFonts w:ascii="Times New Roman" w:hAnsi="Times New Roman" w:eastAsia="黑体"/>
          <w:bCs/>
          <w:sz w:val="32"/>
        </w:rPr>
      </w:pPr>
      <w:r>
        <w:rPr>
          <w:rFonts w:hint="eastAsia" w:ascii="Times New Roman" w:hAnsi="Times New Roman" w:eastAsia="黑体"/>
          <w:bCs/>
          <w:sz w:val="32"/>
        </w:rPr>
        <w:t>名 词 解 释</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农业“接二连三”：</w:t>
      </w:r>
      <w:r>
        <w:rPr>
          <w:rFonts w:ascii="Times New Roman" w:hAnsi="Times New Roman" w:eastAsia="仿宋_GB2312"/>
          <w:bCs/>
          <w:sz w:val="32"/>
        </w:rPr>
        <w:t>农业产业通过纵深推进向第二、三产业融合发展。</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新港保税仓“倍增计划”：推动新港保税仓实现规模和效益的倍增。</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两区：云安区和云浮新区。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一江五道：西江、国道、省道、县道、铁路、高速公路。农业科技创新创业服务平台。</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双区：粤港澳大湾区、深圳中国特色社会主义先行示范区。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双城联动：广州、深圳联动发展。</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一核一带一区：“一核”指珠三角核心区，“一带”指沿海经济带，“一区”指北部生态发展区。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“五园争辉”：省市共建信息技术应用创新园、智能制造产业园、华润工业园、绿色矿山园、临港物流园。</w:t>
      </w:r>
    </w:p>
    <w:p>
      <w:pPr>
        <w:spacing w:line="600" w:lineRule="exact"/>
        <w:ind w:firstLine="640" w:firstLineChars="200"/>
        <w:rPr>
          <w:rFonts w:ascii="Times New Roman" w:hAnsi="Times New Roman" w:eastAsia="仿宋_GB2312" w:cs="仿宋_GB2312"/>
          <w:bCs/>
          <w:sz w:val="32"/>
        </w:rPr>
      </w:pPr>
      <w:r>
        <w:rPr>
          <w:rFonts w:hint="eastAsia" w:ascii="Times New Roman" w:hAnsi="Times New Roman" w:eastAsia="仿宋_GB2312"/>
          <w:bCs/>
          <w:sz w:val="32"/>
        </w:rPr>
        <w:t>“两山一水一田园一人一文化”文旅发展格局：“两山”：云雾山、大金山；“一水”：西江，“一田园”：整合南部片区的生态、农业、文化资源，打造具有云安特色的“醉美乡村”田园综合体；“一人”：陈</w:t>
      </w:r>
      <w:r>
        <w:rPr>
          <w:rFonts w:hint="eastAsia" w:ascii="Times New Roman" w:hAnsi="Times New Roman" w:eastAsia="微软雅黑" w:cs="微软雅黑"/>
          <w:bCs/>
          <w:sz w:val="32"/>
        </w:rPr>
        <w:t>璘</w:t>
      </w:r>
      <w:r>
        <w:rPr>
          <w:rFonts w:hint="eastAsia" w:ascii="Times New Roman" w:hAnsi="Times New Roman" w:eastAsia="仿宋_GB2312" w:cs="仿宋_GB2312"/>
          <w:bCs/>
          <w:sz w:val="32"/>
        </w:rPr>
        <w:t>；“一文化”：红色文化。</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工业企业“上云上平台”：指企业通过网络，将企业的基础系统、管理及业务部署到云端，利用网络便捷地获取云服务商提供的计算、存储、软件、数据等服务，以此提高资源配置效率、降低信息化建设成本、促进共享经济发展、加快新旧动能转换。</w:t>
      </w:r>
    </w:p>
    <w:p>
      <w:pPr>
        <w:spacing w:line="600" w:lineRule="exact"/>
        <w:ind w:firstLine="640" w:firstLineChars="200"/>
        <w:rPr>
          <w:rFonts w:ascii="Times New Roman" w:hAnsi="Times New Roman" w:eastAsia="仿宋_GB2312"/>
          <w:bCs/>
          <w:sz w:val="32"/>
        </w:rPr>
      </w:pPr>
      <w:r>
        <w:rPr>
          <w:rFonts w:ascii="Times New Roman" w:hAnsi="Times New Roman" w:eastAsia="仿宋_GB2312"/>
          <w:bCs/>
          <w:sz w:val="32"/>
        </w:rPr>
        <w:t>RCEP</w:t>
      </w:r>
      <w:r>
        <w:rPr>
          <w:rFonts w:hint="eastAsia" w:ascii="Times New Roman" w:hAnsi="Times New Roman" w:eastAsia="仿宋_GB2312"/>
          <w:bCs/>
          <w:sz w:val="32"/>
        </w:rPr>
        <w:t>：区域全面经济伙伴关系协定。</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三品一标：无公害农产品、绿色食品、有机农产品和农产品地理标志。</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“一统筹四统一”：即统筹行政执法工作，负责组织实施对镇街综合行政执法工作的统一部署、统一培训、统一指导、统一监督。</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农村集体“三资”：农村集体所有的资金、资产和资源。</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三区四线：城镇空间、农业空间、生态空间、城镇开发边界和永久基本农田保护红线、生态保护红线、水域岸线。</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河湖“清四乱”：乱占、乱采、乱堆、乱建。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“五清”专项行动：</w:t>
      </w:r>
      <w:r>
        <w:rPr>
          <w:rFonts w:ascii="Times New Roman" w:hAnsi="Times New Roman" w:eastAsia="仿宋_GB2312"/>
          <w:bCs/>
          <w:sz w:val="32"/>
        </w:rPr>
        <w:t>清污（清理非法排污口）清源（清理水面漂浮物）、清淤（清理底泥污染物）、清障（清理河湖障碍物）、清违（清理涉河湖违法违建）。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“两网融合”：指的是融合城市环卫系统和再生资源系统，对垃圾进行统筹规划、统一管理。</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“三留”人员：留守儿童、留守妇女、留守老人。</w:t>
      </w:r>
    </w:p>
    <w:p>
      <w:pPr>
        <w:spacing w:line="600" w:lineRule="exact"/>
        <w:ind w:firstLine="640" w:firstLineChars="200"/>
        <w:rPr>
          <w:rFonts w:ascii="Times New Roman" w:hAnsi="Times New Roman" w:eastAsia="仿宋_GB2312"/>
          <w:bCs/>
          <w:sz w:val="32"/>
        </w:rPr>
      </w:pPr>
      <w:r>
        <w:rPr>
          <w:rFonts w:hint="eastAsia" w:ascii="Times New Roman" w:hAnsi="Times New Roman" w:eastAsia="仿宋_GB2312"/>
          <w:bCs/>
          <w:sz w:val="32"/>
        </w:rPr>
        <w:t>“八五”普法：指中央宣传部、司法部关于在公民中开展法治宣传教育的第八个五年规划（</w:t>
      </w:r>
      <w:r>
        <w:rPr>
          <w:rFonts w:ascii="Times New Roman" w:hAnsi="Times New Roman" w:eastAsia="仿宋_GB2312"/>
          <w:bCs/>
          <w:sz w:val="32"/>
        </w:rPr>
        <w:t>20</w:t>
      </w:r>
      <w:r>
        <w:rPr>
          <w:rFonts w:hint="eastAsia" w:ascii="Times New Roman" w:hAnsi="Times New Roman" w:eastAsia="仿宋_GB2312"/>
          <w:bCs/>
          <w:sz w:val="32"/>
        </w:rPr>
        <w:t>21</w:t>
      </w:r>
      <w:r>
        <w:rPr>
          <w:rFonts w:ascii="Times New Roman" w:hAnsi="Times New Roman" w:eastAsia="仿宋_GB2312"/>
          <w:bCs/>
          <w:sz w:val="32"/>
        </w:rPr>
        <w:t>－202</w:t>
      </w:r>
      <w:r>
        <w:rPr>
          <w:rFonts w:hint="eastAsia" w:ascii="Times New Roman" w:hAnsi="Times New Roman" w:eastAsia="仿宋_GB2312"/>
          <w:bCs/>
          <w:sz w:val="32"/>
        </w:rPr>
        <w:t>5</w:t>
      </w:r>
      <w:r>
        <w:rPr>
          <w:rFonts w:ascii="Times New Roman" w:hAnsi="Times New Roman" w:eastAsia="仿宋_GB2312"/>
          <w:bCs/>
          <w:sz w:val="32"/>
        </w:rPr>
        <w:t>年）</w:t>
      </w:r>
      <w:r>
        <w:rPr>
          <w:rFonts w:hint="eastAsia" w:ascii="Times New Roman" w:hAnsi="Times New Roman" w:eastAsia="仿宋_GB2312"/>
          <w:bCs/>
          <w:sz w:val="32"/>
        </w:rPr>
        <w:t>。</w:t>
      </w:r>
    </w:p>
    <w:p>
      <w:pPr>
        <w:pStyle w:val="2"/>
      </w:pPr>
    </w:p>
    <w:p>
      <w:pPr>
        <w:rPr>
          <w:rFonts w:ascii="Times New Roman" w:hAnsi="Times New Roman"/>
        </w:rPr>
      </w:pPr>
    </w:p>
    <w:p>
      <w:pPr>
        <w:pStyle w:val="2"/>
      </w:pPr>
    </w:p>
    <w:sectPr>
      <w:pgSz w:w="11906" w:h="16838"/>
      <w:pgMar w:top="1418" w:right="1588" w:bottom="1418" w:left="1588" w:header="851" w:footer="992" w:gutter="0"/>
      <w:cols w:space="425"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方正大标宋简体"/>
    <w:panose1 w:val="02010600030101010101"/>
    <w:charset w:val="86"/>
    <w:family w:val="auto"/>
    <w:pitch w:val="default"/>
    <w:sig w:usb0="00000000" w:usb1="00000000" w:usb2="00000016" w:usb3="00000000" w:csb0="0004000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0842538"/>
    </w:sdtPr>
    <w:sdtContent>
      <w:p>
        <w:pPr>
          <w:pStyle w:val="14"/>
          <w:jc w:val="center"/>
        </w:pPr>
        <w:r>
          <w:fldChar w:fldCharType="begin"/>
        </w:r>
        <w:r>
          <w:instrText xml:space="preserve">PAGE   \* MERGEFORMAT</w:instrText>
        </w:r>
        <w:r>
          <w:fldChar w:fldCharType="separate"/>
        </w:r>
        <w:r>
          <w:rPr>
            <w:lang w:val="zh-CN"/>
          </w:rPr>
          <w:t>17</w:t>
        </w:r>
        <w:r>
          <w:fldChar w:fldCharType="end"/>
        </w:r>
      </w:p>
    </w:sdtContent>
  </w:sdt>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30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7B"/>
    <w:rsid w:val="0000084B"/>
    <w:rsid w:val="0000206C"/>
    <w:rsid w:val="00003078"/>
    <w:rsid w:val="0000349E"/>
    <w:rsid w:val="00005B8B"/>
    <w:rsid w:val="00007D03"/>
    <w:rsid w:val="00012506"/>
    <w:rsid w:val="00014234"/>
    <w:rsid w:val="00014698"/>
    <w:rsid w:val="0001643A"/>
    <w:rsid w:val="00016C6D"/>
    <w:rsid w:val="0001754B"/>
    <w:rsid w:val="00017877"/>
    <w:rsid w:val="0002028C"/>
    <w:rsid w:val="00021C26"/>
    <w:rsid w:val="0002380C"/>
    <w:rsid w:val="00023936"/>
    <w:rsid w:val="0002421D"/>
    <w:rsid w:val="00025088"/>
    <w:rsid w:val="00025C1B"/>
    <w:rsid w:val="00025ED2"/>
    <w:rsid w:val="000272CC"/>
    <w:rsid w:val="00033CF7"/>
    <w:rsid w:val="00036655"/>
    <w:rsid w:val="00036708"/>
    <w:rsid w:val="00036BAC"/>
    <w:rsid w:val="00036CD1"/>
    <w:rsid w:val="00036D07"/>
    <w:rsid w:val="00037BAB"/>
    <w:rsid w:val="000449B9"/>
    <w:rsid w:val="0004538F"/>
    <w:rsid w:val="00045C19"/>
    <w:rsid w:val="00046575"/>
    <w:rsid w:val="00046DB4"/>
    <w:rsid w:val="000476E6"/>
    <w:rsid w:val="00047AF7"/>
    <w:rsid w:val="00050DB3"/>
    <w:rsid w:val="00051154"/>
    <w:rsid w:val="00052D54"/>
    <w:rsid w:val="000539D0"/>
    <w:rsid w:val="00054FD7"/>
    <w:rsid w:val="0005682E"/>
    <w:rsid w:val="0005783D"/>
    <w:rsid w:val="00057CCE"/>
    <w:rsid w:val="000600A9"/>
    <w:rsid w:val="00060567"/>
    <w:rsid w:val="00060D4F"/>
    <w:rsid w:val="00063269"/>
    <w:rsid w:val="00064105"/>
    <w:rsid w:val="000646F0"/>
    <w:rsid w:val="00064BE0"/>
    <w:rsid w:val="0006667B"/>
    <w:rsid w:val="00066B43"/>
    <w:rsid w:val="000733AF"/>
    <w:rsid w:val="00074F57"/>
    <w:rsid w:val="00075CBC"/>
    <w:rsid w:val="00076178"/>
    <w:rsid w:val="0007650D"/>
    <w:rsid w:val="0007680C"/>
    <w:rsid w:val="000803BA"/>
    <w:rsid w:val="0008145A"/>
    <w:rsid w:val="000825AD"/>
    <w:rsid w:val="00083063"/>
    <w:rsid w:val="00083BBE"/>
    <w:rsid w:val="00084635"/>
    <w:rsid w:val="00084804"/>
    <w:rsid w:val="000848E2"/>
    <w:rsid w:val="000876C8"/>
    <w:rsid w:val="00091B28"/>
    <w:rsid w:val="0009272C"/>
    <w:rsid w:val="00093D25"/>
    <w:rsid w:val="000942AB"/>
    <w:rsid w:val="00094F43"/>
    <w:rsid w:val="00096E73"/>
    <w:rsid w:val="00097075"/>
    <w:rsid w:val="000970F7"/>
    <w:rsid w:val="0009722A"/>
    <w:rsid w:val="000978A3"/>
    <w:rsid w:val="00097A1E"/>
    <w:rsid w:val="000A1A1D"/>
    <w:rsid w:val="000A24A3"/>
    <w:rsid w:val="000A5328"/>
    <w:rsid w:val="000A7248"/>
    <w:rsid w:val="000A7AB4"/>
    <w:rsid w:val="000B02A8"/>
    <w:rsid w:val="000B0BE6"/>
    <w:rsid w:val="000B3491"/>
    <w:rsid w:val="000B4817"/>
    <w:rsid w:val="000B5D3A"/>
    <w:rsid w:val="000B5F2B"/>
    <w:rsid w:val="000B69ED"/>
    <w:rsid w:val="000B6DB6"/>
    <w:rsid w:val="000B6E24"/>
    <w:rsid w:val="000C55F8"/>
    <w:rsid w:val="000C5B77"/>
    <w:rsid w:val="000C5FE4"/>
    <w:rsid w:val="000C791B"/>
    <w:rsid w:val="000C7B45"/>
    <w:rsid w:val="000D0198"/>
    <w:rsid w:val="000D0AB8"/>
    <w:rsid w:val="000D3839"/>
    <w:rsid w:val="000D398F"/>
    <w:rsid w:val="000D4C99"/>
    <w:rsid w:val="000D54D9"/>
    <w:rsid w:val="000D5E34"/>
    <w:rsid w:val="000D713D"/>
    <w:rsid w:val="000E035C"/>
    <w:rsid w:val="000E0643"/>
    <w:rsid w:val="000E1195"/>
    <w:rsid w:val="000E12A8"/>
    <w:rsid w:val="000E1FB0"/>
    <w:rsid w:val="000E28E8"/>
    <w:rsid w:val="000E2FED"/>
    <w:rsid w:val="000E3C69"/>
    <w:rsid w:val="000E43BA"/>
    <w:rsid w:val="000F04DD"/>
    <w:rsid w:val="000F0876"/>
    <w:rsid w:val="000F2517"/>
    <w:rsid w:val="000F3AD2"/>
    <w:rsid w:val="000F3D53"/>
    <w:rsid w:val="000F610C"/>
    <w:rsid w:val="000F6A0A"/>
    <w:rsid w:val="000F7EF9"/>
    <w:rsid w:val="00100C00"/>
    <w:rsid w:val="00101773"/>
    <w:rsid w:val="0010188B"/>
    <w:rsid w:val="0010398C"/>
    <w:rsid w:val="00103D80"/>
    <w:rsid w:val="001041D1"/>
    <w:rsid w:val="00104D5A"/>
    <w:rsid w:val="0010543E"/>
    <w:rsid w:val="00105DC5"/>
    <w:rsid w:val="0010604B"/>
    <w:rsid w:val="001062A6"/>
    <w:rsid w:val="00107128"/>
    <w:rsid w:val="0010751A"/>
    <w:rsid w:val="00107B65"/>
    <w:rsid w:val="00111257"/>
    <w:rsid w:val="00112DA5"/>
    <w:rsid w:val="001136F2"/>
    <w:rsid w:val="00113F46"/>
    <w:rsid w:val="0012131B"/>
    <w:rsid w:val="00121945"/>
    <w:rsid w:val="001220D3"/>
    <w:rsid w:val="001238A8"/>
    <w:rsid w:val="0012561F"/>
    <w:rsid w:val="0012598B"/>
    <w:rsid w:val="00125A0D"/>
    <w:rsid w:val="00126ECD"/>
    <w:rsid w:val="00127961"/>
    <w:rsid w:val="00127EC2"/>
    <w:rsid w:val="001304AA"/>
    <w:rsid w:val="00130E9E"/>
    <w:rsid w:val="001324D2"/>
    <w:rsid w:val="00133FEA"/>
    <w:rsid w:val="0013510B"/>
    <w:rsid w:val="00135419"/>
    <w:rsid w:val="00135D9B"/>
    <w:rsid w:val="0013698D"/>
    <w:rsid w:val="001373E9"/>
    <w:rsid w:val="00137C91"/>
    <w:rsid w:val="00143666"/>
    <w:rsid w:val="00143960"/>
    <w:rsid w:val="00143C32"/>
    <w:rsid w:val="001450B9"/>
    <w:rsid w:val="00145245"/>
    <w:rsid w:val="001510F0"/>
    <w:rsid w:val="0015111E"/>
    <w:rsid w:val="00152467"/>
    <w:rsid w:val="00152880"/>
    <w:rsid w:val="00152AB6"/>
    <w:rsid w:val="00153289"/>
    <w:rsid w:val="0015443D"/>
    <w:rsid w:val="00154EEE"/>
    <w:rsid w:val="00155473"/>
    <w:rsid w:val="00155D77"/>
    <w:rsid w:val="001576A7"/>
    <w:rsid w:val="00157F71"/>
    <w:rsid w:val="0016471D"/>
    <w:rsid w:val="001667CB"/>
    <w:rsid w:val="001668ED"/>
    <w:rsid w:val="00166C03"/>
    <w:rsid w:val="001705E3"/>
    <w:rsid w:val="00174A7C"/>
    <w:rsid w:val="00174CC8"/>
    <w:rsid w:val="001771B8"/>
    <w:rsid w:val="001776D3"/>
    <w:rsid w:val="001779EB"/>
    <w:rsid w:val="00180CB8"/>
    <w:rsid w:val="0018287A"/>
    <w:rsid w:val="00184082"/>
    <w:rsid w:val="00184943"/>
    <w:rsid w:val="001856FB"/>
    <w:rsid w:val="00191972"/>
    <w:rsid w:val="00193A68"/>
    <w:rsid w:val="00193EBC"/>
    <w:rsid w:val="00194437"/>
    <w:rsid w:val="001951D3"/>
    <w:rsid w:val="00195619"/>
    <w:rsid w:val="0019594A"/>
    <w:rsid w:val="00197291"/>
    <w:rsid w:val="00197E86"/>
    <w:rsid w:val="001A49F9"/>
    <w:rsid w:val="001A54A8"/>
    <w:rsid w:val="001A5CCF"/>
    <w:rsid w:val="001A6E68"/>
    <w:rsid w:val="001A737C"/>
    <w:rsid w:val="001A76E0"/>
    <w:rsid w:val="001B1B99"/>
    <w:rsid w:val="001B3B88"/>
    <w:rsid w:val="001B3CE6"/>
    <w:rsid w:val="001B44AF"/>
    <w:rsid w:val="001C1B2A"/>
    <w:rsid w:val="001C1F5F"/>
    <w:rsid w:val="001C2697"/>
    <w:rsid w:val="001C26B8"/>
    <w:rsid w:val="001C271C"/>
    <w:rsid w:val="001C5085"/>
    <w:rsid w:val="001C5436"/>
    <w:rsid w:val="001C7105"/>
    <w:rsid w:val="001C71E0"/>
    <w:rsid w:val="001C71E6"/>
    <w:rsid w:val="001D0430"/>
    <w:rsid w:val="001D10BE"/>
    <w:rsid w:val="001D25A9"/>
    <w:rsid w:val="001D36D2"/>
    <w:rsid w:val="001D3F3B"/>
    <w:rsid w:val="001D5D00"/>
    <w:rsid w:val="001D6A81"/>
    <w:rsid w:val="001D7C41"/>
    <w:rsid w:val="001E3C18"/>
    <w:rsid w:val="001E674E"/>
    <w:rsid w:val="001E6BD7"/>
    <w:rsid w:val="001E6E61"/>
    <w:rsid w:val="001F1C48"/>
    <w:rsid w:val="001F22D8"/>
    <w:rsid w:val="001F2772"/>
    <w:rsid w:val="001F3F86"/>
    <w:rsid w:val="001F778E"/>
    <w:rsid w:val="002032ED"/>
    <w:rsid w:val="00203781"/>
    <w:rsid w:val="002042B2"/>
    <w:rsid w:val="00204AF3"/>
    <w:rsid w:val="0020726C"/>
    <w:rsid w:val="00210F61"/>
    <w:rsid w:val="00211617"/>
    <w:rsid w:val="00212015"/>
    <w:rsid w:val="00213013"/>
    <w:rsid w:val="00215935"/>
    <w:rsid w:val="00215E62"/>
    <w:rsid w:val="00216598"/>
    <w:rsid w:val="00216F16"/>
    <w:rsid w:val="0022056D"/>
    <w:rsid w:val="00221302"/>
    <w:rsid w:val="00222E4C"/>
    <w:rsid w:val="00225E34"/>
    <w:rsid w:val="00226EC1"/>
    <w:rsid w:val="00227096"/>
    <w:rsid w:val="00230BC1"/>
    <w:rsid w:val="00235C17"/>
    <w:rsid w:val="00240EE9"/>
    <w:rsid w:val="002415B3"/>
    <w:rsid w:val="00244CDC"/>
    <w:rsid w:val="00246F96"/>
    <w:rsid w:val="00247790"/>
    <w:rsid w:val="00250122"/>
    <w:rsid w:val="00251264"/>
    <w:rsid w:val="002518FC"/>
    <w:rsid w:val="0025283C"/>
    <w:rsid w:val="00253BD9"/>
    <w:rsid w:val="00254436"/>
    <w:rsid w:val="00254469"/>
    <w:rsid w:val="0025536F"/>
    <w:rsid w:val="002573B4"/>
    <w:rsid w:val="00257BD5"/>
    <w:rsid w:val="00261F3D"/>
    <w:rsid w:val="00263909"/>
    <w:rsid w:val="00264751"/>
    <w:rsid w:val="0026551A"/>
    <w:rsid w:val="0026769D"/>
    <w:rsid w:val="00270088"/>
    <w:rsid w:val="00270599"/>
    <w:rsid w:val="00270EB6"/>
    <w:rsid w:val="00272F87"/>
    <w:rsid w:val="00273952"/>
    <w:rsid w:val="0027497F"/>
    <w:rsid w:val="00275E15"/>
    <w:rsid w:val="00276528"/>
    <w:rsid w:val="002803AC"/>
    <w:rsid w:val="00281D93"/>
    <w:rsid w:val="0028378E"/>
    <w:rsid w:val="002846A1"/>
    <w:rsid w:val="00284AB8"/>
    <w:rsid w:val="002850A0"/>
    <w:rsid w:val="00286A2E"/>
    <w:rsid w:val="00290787"/>
    <w:rsid w:val="0029175E"/>
    <w:rsid w:val="00294A48"/>
    <w:rsid w:val="00294FAA"/>
    <w:rsid w:val="002950FD"/>
    <w:rsid w:val="002951F6"/>
    <w:rsid w:val="00296570"/>
    <w:rsid w:val="002966DF"/>
    <w:rsid w:val="002A1429"/>
    <w:rsid w:val="002A2059"/>
    <w:rsid w:val="002A244F"/>
    <w:rsid w:val="002A2BF7"/>
    <w:rsid w:val="002A533E"/>
    <w:rsid w:val="002A70A3"/>
    <w:rsid w:val="002A74EC"/>
    <w:rsid w:val="002B1450"/>
    <w:rsid w:val="002B345D"/>
    <w:rsid w:val="002B4FAF"/>
    <w:rsid w:val="002B5825"/>
    <w:rsid w:val="002B5ADE"/>
    <w:rsid w:val="002B624D"/>
    <w:rsid w:val="002B7919"/>
    <w:rsid w:val="002C07B7"/>
    <w:rsid w:val="002C0F08"/>
    <w:rsid w:val="002C2D8D"/>
    <w:rsid w:val="002C2EB0"/>
    <w:rsid w:val="002C3439"/>
    <w:rsid w:val="002C3912"/>
    <w:rsid w:val="002C4212"/>
    <w:rsid w:val="002C5346"/>
    <w:rsid w:val="002C53BE"/>
    <w:rsid w:val="002C5C50"/>
    <w:rsid w:val="002C654B"/>
    <w:rsid w:val="002C6561"/>
    <w:rsid w:val="002C6A00"/>
    <w:rsid w:val="002D03B8"/>
    <w:rsid w:val="002D08F6"/>
    <w:rsid w:val="002D1099"/>
    <w:rsid w:val="002D3643"/>
    <w:rsid w:val="002D3B7D"/>
    <w:rsid w:val="002D4CBF"/>
    <w:rsid w:val="002D57EB"/>
    <w:rsid w:val="002D6275"/>
    <w:rsid w:val="002E0E53"/>
    <w:rsid w:val="002E1969"/>
    <w:rsid w:val="002E2751"/>
    <w:rsid w:val="002E6891"/>
    <w:rsid w:val="002F0196"/>
    <w:rsid w:val="002F0FF7"/>
    <w:rsid w:val="002F12ED"/>
    <w:rsid w:val="002F17ED"/>
    <w:rsid w:val="002F266D"/>
    <w:rsid w:val="002F3228"/>
    <w:rsid w:val="002F3355"/>
    <w:rsid w:val="002F3941"/>
    <w:rsid w:val="002F3BB0"/>
    <w:rsid w:val="002F416B"/>
    <w:rsid w:val="002F4510"/>
    <w:rsid w:val="002F7019"/>
    <w:rsid w:val="002F739F"/>
    <w:rsid w:val="002F7659"/>
    <w:rsid w:val="00302466"/>
    <w:rsid w:val="00304B6C"/>
    <w:rsid w:val="00305121"/>
    <w:rsid w:val="0030526A"/>
    <w:rsid w:val="00305338"/>
    <w:rsid w:val="0030582D"/>
    <w:rsid w:val="00306584"/>
    <w:rsid w:val="0030749F"/>
    <w:rsid w:val="00307617"/>
    <w:rsid w:val="003077E5"/>
    <w:rsid w:val="0031027C"/>
    <w:rsid w:val="003153CA"/>
    <w:rsid w:val="0031615B"/>
    <w:rsid w:val="00316544"/>
    <w:rsid w:val="00316821"/>
    <w:rsid w:val="00316AB3"/>
    <w:rsid w:val="0031760E"/>
    <w:rsid w:val="00317D57"/>
    <w:rsid w:val="00317F1E"/>
    <w:rsid w:val="0032126C"/>
    <w:rsid w:val="00324A33"/>
    <w:rsid w:val="00325985"/>
    <w:rsid w:val="003261F1"/>
    <w:rsid w:val="00326FBC"/>
    <w:rsid w:val="00327D19"/>
    <w:rsid w:val="00331370"/>
    <w:rsid w:val="00331781"/>
    <w:rsid w:val="00332D9B"/>
    <w:rsid w:val="00333E8B"/>
    <w:rsid w:val="00334594"/>
    <w:rsid w:val="003346DC"/>
    <w:rsid w:val="003361E0"/>
    <w:rsid w:val="00336486"/>
    <w:rsid w:val="003372F7"/>
    <w:rsid w:val="0033753C"/>
    <w:rsid w:val="00340C31"/>
    <w:rsid w:val="003412A4"/>
    <w:rsid w:val="00341408"/>
    <w:rsid w:val="00342CBD"/>
    <w:rsid w:val="00343C55"/>
    <w:rsid w:val="003454AE"/>
    <w:rsid w:val="0034674E"/>
    <w:rsid w:val="003473E5"/>
    <w:rsid w:val="003504D7"/>
    <w:rsid w:val="00351353"/>
    <w:rsid w:val="00353707"/>
    <w:rsid w:val="00353F30"/>
    <w:rsid w:val="00354556"/>
    <w:rsid w:val="00354DEA"/>
    <w:rsid w:val="00354ECF"/>
    <w:rsid w:val="00355A04"/>
    <w:rsid w:val="00355C2E"/>
    <w:rsid w:val="0036009E"/>
    <w:rsid w:val="0036459F"/>
    <w:rsid w:val="00370F70"/>
    <w:rsid w:val="00371998"/>
    <w:rsid w:val="00371E21"/>
    <w:rsid w:val="00373167"/>
    <w:rsid w:val="00373B14"/>
    <w:rsid w:val="003742E5"/>
    <w:rsid w:val="003744B6"/>
    <w:rsid w:val="00374B2C"/>
    <w:rsid w:val="00375AA6"/>
    <w:rsid w:val="00375E28"/>
    <w:rsid w:val="00377CD5"/>
    <w:rsid w:val="003803E0"/>
    <w:rsid w:val="00381A6E"/>
    <w:rsid w:val="00381DC5"/>
    <w:rsid w:val="00381F49"/>
    <w:rsid w:val="00382F9D"/>
    <w:rsid w:val="00384CD7"/>
    <w:rsid w:val="00386C20"/>
    <w:rsid w:val="0038755E"/>
    <w:rsid w:val="00390A40"/>
    <w:rsid w:val="00391396"/>
    <w:rsid w:val="00393A61"/>
    <w:rsid w:val="00396B37"/>
    <w:rsid w:val="003A022E"/>
    <w:rsid w:val="003A125A"/>
    <w:rsid w:val="003A2261"/>
    <w:rsid w:val="003A25CB"/>
    <w:rsid w:val="003A2A61"/>
    <w:rsid w:val="003A4EB7"/>
    <w:rsid w:val="003A5386"/>
    <w:rsid w:val="003A6558"/>
    <w:rsid w:val="003A6BCC"/>
    <w:rsid w:val="003A795A"/>
    <w:rsid w:val="003A7CA1"/>
    <w:rsid w:val="003B0295"/>
    <w:rsid w:val="003B0602"/>
    <w:rsid w:val="003B3A37"/>
    <w:rsid w:val="003B58F8"/>
    <w:rsid w:val="003B66CF"/>
    <w:rsid w:val="003C0263"/>
    <w:rsid w:val="003C0AE6"/>
    <w:rsid w:val="003C1249"/>
    <w:rsid w:val="003C12E0"/>
    <w:rsid w:val="003C1506"/>
    <w:rsid w:val="003C42D5"/>
    <w:rsid w:val="003C6010"/>
    <w:rsid w:val="003C631C"/>
    <w:rsid w:val="003D04C6"/>
    <w:rsid w:val="003D18C8"/>
    <w:rsid w:val="003D4716"/>
    <w:rsid w:val="003D473C"/>
    <w:rsid w:val="003D555A"/>
    <w:rsid w:val="003D5AB6"/>
    <w:rsid w:val="003D5F89"/>
    <w:rsid w:val="003D624F"/>
    <w:rsid w:val="003D75C3"/>
    <w:rsid w:val="003D7632"/>
    <w:rsid w:val="003E0092"/>
    <w:rsid w:val="003E0AAD"/>
    <w:rsid w:val="003E110F"/>
    <w:rsid w:val="003E1CD7"/>
    <w:rsid w:val="003E2414"/>
    <w:rsid w:val="003E2A94"/>
    <w:rsid w:val="003E4B6A"/>
    <w:rsid w:val="003E73B5"/>
    <w:rsid w:val="003F23CD"/>
    <w:rsid w:val="003F2B89"/>
    <w:rsid w:val="003F2FC3"/>
    <w:rsid w:val="003F390B"/>
    <w:rsid w:val="003F3E2D"/>
    <w:rsid w:val="003F5563"/>
    <w:rsid w:val="003F570A"/>
    <w:rsid w:val="004013FF"/>
    <w:rsid w:val="00402728"/>
    <w:rsid w:val="00404267"/>
    <w:rsid w:val="00404BEF"/>
    <w:rsid w:val="00405186"/>
    <w:rsid w:val="00407188"/>
    <w:rsid w:val="004118C5"/>
    <w:rsid w:val="00411CA0"/>
    <w:rsid w:val="004138D4"/>
    <w:rsid w:val="00414DC6"/>
    <w:rsid w:val="00416CF1"/>
    <w:rsid w:val="00416FFC"/>
    <w:rsid w:val="004171BF"/>
    <w:rsid w:val="00421E94"/>
    <w:rsid w:val="00422344"/>
    <w:rsid w:val="00422D89"/>
    <w:rsid w:val="00423314"/>
    <w:rsid w:val="00423DEE"/>
    <w:rsid w:val="00423ECC"/>
    <w:rsid w:val="004243DE"/>
    <w:rsid w:val="004245F4"/>
    <w:rsid w:val="00425511"/>
    <w:rsid w:val="00425ED9"/>
    <w:rsid w:val="004269CC"/>
    <w:rsid w:val="00427C5C"/>
    <w:rsid w:val="0043161F"/>
    <w:rsid w:val="004326E2"/>
    <w:rsid w:val="00433CBC"/>
    <w:rsid w:val="00434010"/>
    <w:rsid w:val="004348C6"/>
    <w:rsid w:val="004366A6"/>
    <w:rsid w:val="00436965"/>
    <w:rsid w:val="00436CD4"/>
    <w:rsid w:val="004373F9"/>
    <w:rsid w:val="0044035B"/>
    <w:rsid w:val="00440C6E"/>
    <w:rsid w:val="00442AC9"/>
    <w:rsid w:val="00443835"/>
    <w:rsid w:val="00444294"/>
    <w:rsid w:val="00444C75"/>
    <w:rsid w:val="00445C8B"/>
    <w:rsid w:val="0044729F"/>
    <w:rsid w:val="004475D7"/>
    <w:rsid w:val="00447848"/>
    <w:rsid w:val="00452791"/>
    <w:rsid w:val="00452F0E"/>
    <w:rsid w:val="00456707"/>
    <w:rsid w:val="00457444"/>
    <w:rsid w:val="00457C14"/>
    <w:rsid w:val="00461032"/>
    <w:rsid w:val="00462580"/>
    <w:rsid w:val="00464920"/>
    <w:rsid w:val="00464F5B"/>
    <w:rsid w:val="00467326"/>
    <w:rsid w:val="00467364"/>
    <w:rsid w:val="004704ED"/>
    <w:rsid w:val="00471872"/>
    <w:rsid w:val="004721CE"/>
    <w:rsid w:val="00472E11"/>
    <w:rsid w:val="00472FE4"/>
    <w:rsid w:val="00473B57"/>
    <w:rsid w:val="00474CD6"/>
    <w:rsid w:val="00480159"/>
    <w:rsid w:val="00480408"/>
    <w:rsid w:val="004805A0"/>
    <w:rsid w:val="00482432"/>
    <w:rsid w:val="00482EF0"/>
    <w:rsid w:val="00485939"/>
    <w:rsid w:val="004919F7"/>
    <w:rsid w:val="00491D86"/>
    <w:rsid w:val="00493381"/>
    <w:rsid w:val="00493392"/>
    <w:rsid w:val="004939D8"/>
    <w:rsid w:val="00495161"/>
    <w:rsid w:val="0049729D"/>
    <w:rsid w:val="004A06E7"/>
    <w:rsid w:val="004A1C4D"/>
    <w:rsid w:val="004A1E41"/>
    <w:rsid w:val="004A3005"/>
    <w:rsid w:val="004A54B6"/>
    <w:rsid w:val="004A60C0"/>
    <w:rsid w:val="004A7E97"/>
    <w:rsid w:val="004B0379"/>
    <w:rsid w:val="004B0675"/>
    <w:rsid w:val="004B0D41"/>
    <w:rsid w:val="004B24DC"/>
    <w:rsid w:val="004B2C43"/>
    <w:rsid w:val="004B3022"/>
    <w:rsid w:val="004B4621"/>
    <w:rsid w:val="004C4C5E"/>
    <w:rsid w:val="004C5D96"/>
    <w:rsid w:val="004C69D3"/>
    <w:rsid w:val="004C74BD"/>
    <w:rsid w:val="004D1117"/>
    <w:rsid w:val="004D1F37"/>
    <w:rsid w:val="004D2C48"/>
    <w:rsid w:val="004D3AB9"/>
    <w:rsid w:val="004D43CC"/>
    <w:rsid w:val="004D531F"/>
    <w:rsid w:val="004D5AF0"/>
    <w:rsid w:val="004D5BFA"/>
    <w:rsid w:val="004D7F18"/>
    <w:rsid w:val="004E149C"/>
    <w:rsid w:val="004E2A64"/>
    <w:rsid w:val="004E30B2"/>
    <w:rsid w:val="004E3F98"/>
    <w:rsid w:val="004E52B4"/>
    <w:rsid w:val="004E7673"/>
    <w:rsid w:val="004F1507"/>
    <w:rsid w:val="004F31EE"/>
    <w:rsid w:val="004F3675"/>
    <w:rsid w:val="004F473A"/>
    <w:rsid w:val="004F49D2"/>
    <w:rsid w:val="004F526A"/>
    <w:rsid w:val="004F6211"/>
    <w:rsid w:val="005005AB"/>
    <w:rsid w:val="0050334D"/>
    <w:rsid w:val="00504801"/>
    <w:rsid w:val="005055D0"/>
    <w:rsid w:val="00505947"/>
    <w:rsid w:val="00506292"/>
    <w:rsid w:val="00506B8B"/>
    <w:rsid w:val="00506EA7"/>
    <w:rsid w:val="00510CAD"/>
    <w:rsid w:val="00511226"/>
    <w:rsid w:val="005118EF"/>
    <w:rsid w:val="00511AEB"/>
    <w:rsid w:val="00511F64"/>
    <w:rsid w:val="00512069"/>
    <w:rsid w:val="005130DF"/>
    <w:rsid w:val="0051365C"/>
    <w:rsid w:val="00513FFE"/>
    <w:rsid w:val="0051427C"/>
    <w:rsid w:val="0052190A"/>
    <w:rsid w:val="00522DAA"/>
    <w:rsid w:val="00530251"/>
    <w:rsid w:val="005313CC"/>
    <w:rsid w:val="00532C5B"/>
    <w:rsid w:val="005352EF"/>
    <w:rsid w:val="00540A2C"/>
    <w:rsid w:val="005412B0"/>
    <w:rsid w:val="00542226"/>
    <w:rsid w:val="0054225D"/>
    <w:rsid w:val="00542E37"/>
    <w:rsid w:val="005434DE"/>
    <w:rsid w:val="00543590"/>
    <w:rsid w:val="00543B2A"/>
    <w:rsid w:val="0054458F"/>
    <w:rsid w:val="00545997"/>
    <w:rsid w:val="00546E6C"/>
    <w:rsid w:val="00551B4E"/>
    <w:rsid w:val="00551BAB"/>
    <w:rsid w:val="0055220A"/>
    <w:rsid w:val="00555BDF"/>
    <w:rsid w:val="00562430"/>
    <w:rsid w:val="0056284F"/>
    <w:rsid w:val="005634E4"/>
    <w:rsid w:val="00563CDC"/>
    <w:rsid w:val="005650EA"/>
    <w:rsid w:val="00565613"/>
    <w:rsid w:val="00566C6C"/>
    <w:rsid w:val="00567F37"/>
    <w:rsid w:val="00570780"/>
    <w:rsid w:val="00572CD5"/>
    <w:rsid w:val="00573A4C"/>
    <w:rsid w:val="005766FD"/>
    <w:rsid w:val="00576CFD"/>
    <w:rsid w:val="005773DE"/>
    <w:rsid w:val="005777A4"/>
    <w:rsid w:val="00577A31"/>
    <w:rsid w:val="00577D28"/>
    <w:rsid w:val="00580C17"/>
    <w:rsid w:val="005840B9"/>
    <w:rsid w:val="005843AF"/>
    <w:rsid w:val="005848C3"/>
    <w:rsid w:val="00585213"/>
    <w:rsid w:val="00586504"/>
    <w:rsid w:val="00586693"/>
    <w:rsid w:val="0058761A"/>
    <w:rsid w:val="005877CB"/>
    <w:rsid w:val="00590244"/>
    <w:rsid w:val="005914DB"/>
    <w:rsid w:val="00592089"/>
    <w:rsid w:val="0059293E"/>
    <w:rsid w:val="005974C6"/>
    <w:rsid w:val="00597F45"/>
    <w:rsid w:val="005A0211"/>
    <w:rsid w:val="005A099B"/>
    <w:rsid w:val="005A4C5F"/>
    <w:rsid w:val="005A590F"/>
    <w:rsid w:val="005A6008"/>
    <w:rsid w:val="005A6196"/>
    <w:rsid w:val="005A6E6D"/>
    <w:rsid w:val="005A7096"/>
    <w:rsid w:val="005A7E53"/>
    <w:rsid w:val="005B07DA"/>
    <w:rsid w:val="005B1F38"/>
    <w:rsid w:val="005B56BF"/>
    <w:rsid w:val="005B5D4F"/>
    <w:rsid w:val="005B7F26"/>
    <w:rsid w:val="005C10BD"/>
    <w:rsid w:val="005C1CA9"/>
    <w:rsid w:val="005C257A"/>
    <w:rsid w:val="005C2D21"/>
    <w:rsid w:val="005C6165"/>
    <w:rsid w:val="005C74E2"/>
    <w:rsid w:val="005D0EE1"/>
    <w:rsid w:val="005D1871"/>
    <w:rsid w:val="005D2AAD"/>
    <w:rsid w:val="005D2B37"/>
    <w:rsid w:val="005D5DD9"/>
    <w:rsid w:val="005D6007"/>
    <w:rsid w:val="005E1D94"/>
    <w:rsid w:val="005E20EC"/>
    <w:rsid w:val="005E3CB4"/>
    <w:rsid w:val="005E5249"/>
    <w:rsid w:val="005E6036"/>
    <w:rsid w:val="005E60A6"/>
    <w:rsid w:val="005E6C4A"/>
    <w:rsid w:val="005E6C60"/>
    <w:rsid w:val="005E735D"/>
    <w:rsid w:val="005F167A"/>
    <w:rsid w:val="005F26B2"/>
    <w:rsid w:val="005F313E"/>
    <w:rsid w:val="005F3590"/>
    <w:rsid w:val="005F4FE3"/>
    <w:rsid w:val="005F5292"/>
    <w:rsid w:val="005F55B5"/>
    <w:rsid w:val="005F6137"/>
    <w:rsid w:val="005F7475"/>
    <w:rsid w:val="006001F6"/>
    <w:rsid w:val="0060251B"/>
    <w:rsid w:val="00602E83"/>
    <w:rsid w:val="00603B47"/>
    <w:rsid w:val="00604053"/>
    <w:rsid w:val="006047B1"/>
    <w:rsid w:val="006048D3"/>
    <w:rsid w:val="00605AF2"/>
    <w:rsid w:val="00607D12"/>
    <w:rsid w:val="00607D8A"/>
    <w:rsid w:val="006101C8"/>
    <w:rsid w:val="00610919"/>
    <w:rsid w:val="006109D2"/>
    <w:rsid w:val="00612A66"/>
    <w:rsid w:val="006166E7"/>
    <w:rsid w:val="00617026"/>
    <w:rsid w:val="00617B45"/>
    <w:rsid w:val="00621CA9"/>
    <w:rsid w:val="0062326E"/>
    <w:rsid w:val="006251C1"/>
    <w:rsid w:val="00625E43"/>
    <w:rsid w:val="006263A3"/>
    <w:rsid w:val="006324A5"/>
    <w:rsid w:val="006332C1"/>
    <w:rsid w:val="00635E0A"/>
    <w:rsid w:val="00636DFE"/>
    <w:rsid w:val="006405D7"/>
    <w:rsid w:val="00642177"/>
    <w:rsid w:val="00642F02"/>
    <w:rsid w:val="00643180"/>
    <w:rsid w:val="00643283"/>
    <w:rsid w:val="00645EE4"/>
    <w:rsid w:val="00646331"/>
    <w:rsid w:val="0065027E"/>
    <w:rsid w:val="00652785"/>
    <w:rsid w:val="0065305C"/>
    <w:rsid w:val="0065731D"/>
    <w:rsid w:val="00660806"/>
    <w:rsid w:val="00661896"/>
    <w:rsid w:val="0066332A"/>
    <w:rsid w:val="00664BC5"/>
    <w:rsid w:val="00664EC4"/>
    <w:rsid w:val="006668F6"/>
    <w:rsid w:val="00667571"/>
    <w:rsid w:val="0067123F"/>
    <w:rsid w:val="006746EA"/>
    <w:rsid w:val="00675747"/>
    <w:rsid w:val="00675CC1"/>
    <w:rsid w:val="006762F4"/>
    <w:rsid w:val="00676D61"/>
    <w:rsid w:val="00676E04"/>
    <w:rsid w:val="00677042"/>
    <w:rsid w:val="00680B4E"/>
    <w:rsid w:val="00684AEB"/>
    <w:rsid w:val="00686D41"/>
    <w:rsid w:val="00687973"/>
    <w:rsid w:val="00687BEB"/>
    <w:rsid w:val="00690B0B"/>
    <w:rsid w:val="00692500"/>
    <w:rsid w:val="0069260D"/>
    <w:rsid w:val="00694FCD"/>
    <w:rsid w:val="00695011"/>
    <w:rsid w:val="00697337"/>
    <w:rsid w:val="006973D7"/>
    <w:rsid w:val="006A34A8"/>
    <w:rsid w:val="006A3E84"/>
    <w:rsid w:val="006A3EFB"/>
    <w:rsid w:val="006A63F6"/>
    <w:rsid w:val="006A6787"/>
    <w:rsid w:val="006A6CE6"/>
    <w:rsid w:val="006A75FC"/>
    <w:rsid w:val="006A7908"/>
    <w:rsid w:val="006B0961"/>
    <w:rsid w:val="006B1E6E"/>
    <w:rsid w:val="006B2299"/>
    <w:rsid w:val="006B24DF"/>
    <w:rsid w:val="006B40B8"/>
    <w:rsid w:val="006B4977"/>
    <w:rsid w:val="006C0B0B"/>
    <w:rsid w:val="006C0D17"/>
    <w:rsid w:val="006C0F04"/>
    <w:rsid w:val="006C101B"/>
    <w:rsid w:val="006C341B"/>
    <w:rsid w:val="006C5393"/>
    <w:rsid w:val="006C61A2"/>
    <w:rsid w:val="006C6FE7"/>
    <w:rsid w:val="006D0832"/>
    <w:rsid w:val="006D340D"/>
    <w:rsid w:val="006D4B64"/>
    <w:rsid w:val="006D71A0"/>
    <w:rsid w:val="006D7C5E"/>
    <w:rsid w:val="006E0009"/>
    <w:rsid w:val="006E3D16"/>
    <w:rsid w:val="006E3DBB"/>
    <w:rsid w:val="006E4ADD"/>
    <w:rsid w:val="006E5457"/>
    <w:rsid w:val="006F03BE"/>
    <w:rsid w:val="006F0E0A"/>
    <w:rsid w:val="006F7137"/>
    <w:rsid w:val="00700439"/>
    <w:rsid w:val="0070213B"/>
    <w:rsid w:val="007021AE"/>
    <w:rsid w:val="0070227A"/>
    <w:rsid w:val="007049A4"/>
    <w:rsid w:val="0070554B"/>
    <w:rsid w:val="007062AF"/>
    <w:rsid w:val="00706A03"/>
    <w:rsid w:val="007078F2"/>
    <w:rsid w:val="00707F5F"/>
    <w:rsid w:val="00710241"/>
    <w:rsid w:val="00710A2F"/>
    <w:rsid w:val="00710BAE"/>
    <w:rsid w:val="007123DB"/>
    <w:rsid w:val="00712A33"/>
    <w:rsid w:val="007140D7"/>
    <w:rsid w:val="00716F4F"/>
    <w:rsid w:val="007200F8"/>
    <w:rsid w:val="007205A4"/>
    <w:rsid w:val="00720B42"/>
    <w:rsid w:val="00720D75"/>
    <w:rsid w:val="007215A1"/>
    <w:rsid w:val="007230F3"/>
    <w:rsid w:val="00723609"/>
    <w:rsid w:val="00726BE9"/>
    <w:rsid w:val="0073000D"/>
    <w:rsid w:val="007321E4"/>
    <w:rsid w:val="00732386"/>
    <w:rsid w:val="00734FB3"/>
    <w:rsid w:val="00735078"/>
    <w:rsid w:val="00735B80"/>
    <w:rsid w:val="0073742C"/>
    <w:rsid w:val="0073744D"/>
    <w:rsid w:val="00737FE4"/>
    <w:rsid w:val="00740851"/>
    <w:rsid w:val="00740C3F"/>
    <w:rsid w:val="007452F1"/>
    <w:rsid w:val="0074575A"/>
    <w:rsid w:val="00745A10"/>
    <w:rsid w:val="00745E96"/>
    <w:rsid w:val="007467FD"/>
    <w:rsid w:val="00747C0D"/>
    <w:rsid w:val="00747F33"/>
    <w:rsid w:val="0075035D"/>
    <w:rsid w:val="00750C89"/>
    <w:rsid w:val="0075180B"/>
    <w:rsid w:val="00753CBF"/>
    <w:rsid w:val="00753E1C"/>
    <w:rsid w:val="0075588D"/>
    <w:rsid w:val="00757927"/>
    <w:rsid w:val="00757FC6"/>
    <w:rsid w:val="007632CA"/>
    <w:rsid w:val="00764363"/>
    <w:rsid w:val="00765E05"/>
    <w:rsid w:val="00773D34"/>
    <w:rsid w:val="007743C9"/>
    <w:rsid w:val="007760C9"/>
    <w:rsid w:val="00776E63"/>
    <w:rsid w:val="007800D9"/>
    <w:rsid w:val="00780741"/>
    <w:rsid w:val="00780BFD"/>
    <w:rsid w:val="00780FB8"/>
    <w:rsid w:val="0078222E"/>
    <w:rsid w:val="00782635"/>
    <w:rsid w:val="007829D1"/>
    <w:rsid w:val="007843CB"/>
    <w:rsid w:val="0078686F"/>
    <w:rsid w:val="00790708"/>
    <w:rsid w:val="00791D41"/>
    <w:rsid w:val="007934E4"/>
    <w:rsid w:val="00794E69"/>
    <w:rsid w:val="007A0584"/>
    <w:rsid w:val="007A2FE5"/>
    <w:rsid w:val="007A3D65"/>
    <w:rsid w:val="007A4A92"/>
    <w:rsid w:val="007A51FC"/>
    <w:rsid w:val="007A5859"/>
    <w:rsid w:val="007A6262"/>
    <w:rsid w:val="007A6A0F"/>
    <w:rsid w:val="007A7B8E"/>
    <w:rsid w:val="007B0961"/>
    <w:rsid w:val="007B0E9D"/>
    <w:rsid w:val="007B301F"/>
    <w:rsid w:val="007B3192"/>
    <w:rsid w:val="007B32DE"/>
    <w:rsid w:val="007B5A07"/>
    <w:rsid w:val="007B5D9F"/>
    <w:rsid w:val="007B5E76"/>
    <w:rsid w:val="007B64E8"/>
    <w:rsid w:val="007B6A2F"/>
    <w:rsid w:val="007B78D9"/>
    <w:rsid w:val="007C498D"/>
    <w:rsid w:val="007C4A43"/>
    <w:rsid w:val="007C4AB3"/>
    <w:rsid w:val="007C4FB8"/>
    <w:rsid w:val="007C5B46"/>
    <w:rsid w:val="007C65F2"/>
    <w:rsid w:val="007C66AF"/>
    <w:rsid w:val="007C76EE"/>
    <w:rsid w:val="007D1550"/>
    <w:rsid w:val="007D2556"/>
    <w:rsid w:val="007D2A1B"/>
    <w:rsid w:val="007D55AA"/>
    <w:rsid w:val="007D6364"/>
    <w:rsid w:val="007D7763"/>
    <w:rsid w:val="007E3000"/>
    <w:rsid w:val="007E3099"/>
    <w:rsid w:val="007E33F1"/>
    <w:rsid w:val="007E39EC"/>
    <w:rsid w:val="007E6F66"/>
    <w:rsid w:val="007F039B"/>
    <w:rsid w:val="007F126C"/>
    <w:rsid w:val="007F142D"/>
    <w:rsid w:val="007F22BE"/>
    <w:rsid w:val="007F3F71"/>
    <w:rsid w:val="007F59E2"/>
    <w:rsid w:val="007F6346"/>
    <w:rsid w:val="00802D26"/>
    <w:rsid w:val="00803F69"/>
    <w:rsid w:val="00804635"/>
    <w:rsid w:val="00806A9F"/>
    <w:rsid w:val="00806DBD"/>
    <w:rsid w:val="0081055F"/>
    <w:rsid w:val="00810DEB"/>
    <w:rsid w:val="00812C6F"/>
    <w:rsid w:val="00812C85"/>
    <w:rsid w:val="00813B3A"/>
    <w:rsid w:val="00813BEA"/>
    <w:rsid w:val="0081538C"/>
    <w:rsid w:val="0081714A"/>
    <w:rsid w:val="00817182"/>
    <w:rsid w:val="008204FA"/>
    <w:rsid w:val="00820FD6"/>
    <w:rsid w:val="0082154A"/>
    <w:rsid w:val="00821D13"/>
    <w:rsid w:val="00821D41"/>
    <w:rsid w:val="00821E0C"/>
    <w:rsid w:val="0082214C"/>
    <w:rsid w:val="0082214E"/>
    <w:rsid w:val="0082405E"/>
    <w:rsid w:val="00824384"/>
    <w:rsid w:val="00824E22"/>
    <w:rsid w:val="0082665B"/>
    <w:rsid w:val="00830AAE"/>
    <w:rsid w:val="00832D8F"/>
    <w:rsid w:val="00832E94"/>
    <w:rsid w:val="008357E8"/>
    <w:rsid w:val="00836664"/>
    <w:rsid w:val="008406C4"/>
    <w:rsid w:val="008425E5"/>
    <w:rsid w:val="00843594"/>
    <w:rsid w:val="0084376B"/>
    <w:rsid w:val="008442C7"/>
    <w:rsid w:val="008448B9"/>
    <w:rsid w:val="00844EAA"/>
    <w:rsid w:val="00845D1C"/>
    <w:rsid w:val="008467B7"/>
    <w:rsid w:val="00846B1F"/>
    <w:rsid w:val="00846EC1"/>
    <w:rsid w:val="00847B53"/>
    <w:rsid w:val="00847DAD"/>
    <w:rsid w:val="00851C95"/>
    <w:rsid w:val="00851F52"/>
    <w:rsid w:val="00852561"/>
    <w:rsid w:val="00852EEF"/>
    <w:rsid w:val="00853136"/>
    <w:rsid w:val="0085329D"/>
    <w:rsid w:val="008546A0"/>
    <w:rsid w:val="00854E90"/>
    <w:rsid w:val="0085570B"/>
    <w:rsid w:val="00855939"/>
    <w:rsid w:val="00855EED"/>
    <w:rsid w:val="008573AB"/>
    <w:rsid w:val="00857EED"/>
    <w:rsid w:val="0086151D"/>
    <w:rsid w:val="00861FF0"/>
    <w:rsid w:val="0086401A"/>
    <w:rsid w:val="00864C6A"/>
    <w:rsid w:val="00864E94"/>
    <w:rsid w:val="00865E05"/>
    <w:rsid w:val="008661AE"/>
    <w:rsid w:val="00866831"/>
    <w:rsid w:val="008676F7"/>
    <w:rsid w:val="008716D8"/>
    <w:rsid w:val="008729B6"/>
    <w:rsid w:val="00872BE9"/>
    <w:rsid w:val="00873149"/>
    <w:rsid w:val="00881AB2"/>
    <w:rsid w:val="00885697"/>
    <w:rsid w:val="00885CC1"/>
    <w:rsid w:val="00885FBA"/>
    <w:rsid w:val="0088676B"/>
    <w:rsid w:val="008870C4"/>
    <w:rsid w:val="00887C60"/>
    <w:rsid w:val="00887CA5"/>
    <w:rsid w:val="00891099"/>
    <w:rsid w:val="00891C8A"/>
    <w:rsid w:val="00891FC5"/>
    <w:rsid w:val="0089202E"/>
    <w:rsid w:val="008920DC"/>
    <w:rsid w:val="00893337"/>
    <w:rsid w:val="00893D35"/>
    <w:rsid w:val="008940D1"/>
    <w:rsid w:val="008953CD"/>
    <w:rsid w:val="008A340B"/>
    <w:rsid w:val="008A4531"/>
    <w:rsid w:val="008A51EC"/>
    <w:rsid w:val="008A6169"/>
    <w:rsid w:val="008A6455"/>
    <w:rsid w:val="008A7036"/>
    <w:rsid w:val="008B133D"/>
    <w:rsid w:val="008B18D0"/>
    <w:rsid w:val="008B3E58"/>
    <w:rsid w:val="008B47CA"/>
    <w:rsid w:val="008B4C3F"/>
    <w:rsid w:val="008B5999"/>
    <w:rsid w:val="008B74FC"/>
    <w:rsid w:val="008C0AC5"/>
    <w:rsid w:val="008C1417"/>
    <w:rsid w:val="008C254C"/>
    <w:rsid w:val="008C41C5"/>
    <w:rsid w:val="008C5B6F"/>
    <w:rsid w:val="008C6873"/>
    <w:rsid w:val="008C79D1"/>
    <w:rsid w:val="008D2BFC"/>
    <w:rsid w:val="008D3A9D"/>
    <w:rsid w:val="008D45AE"/>
    <w:rsid w:val="008D5D2C"/>
    <w:rsid w:val="008D5DD6"/>
    <w:rsid w:val="008D725C"/>
    <w:rsid w:val="008D7A9A"/>
    <w:rsid w:val="008E177D"/>
    <w:rsid w:val="008E1C47"/>
    <w:rsid w:val="008E1D2B"/>
    <w:rsid w:val="008E3F67"/>
    <w:rsid w:val="008E48BF"/>
    <w:rsid w:val="008E55E8"/>
    <w:rsid w:val="008F05AB"/>
    <w:rsid w:val="008F09EF"/>
    <w:rsid w:val="008F0F05"/>
    <w:rsid w:val="008F12AD"/>
    <w:rsid w:val="008F155E"/>
    <w:rsid w:val="008F17AC"/>
    <w:rsid w:val="008F5388"/>
    <w:rsid w:val="008F54B2"/>
    <w:rsid w:val="008F55D3"/>
    <w:rsid w:val="008F6D2F"/>
    <w:rsid w:val="00901C71"/>
    <w:rsid w:val="00901D76"/>
    <w:rsid w:val="00902A05"/>
    <w:rsid w:val="00902B96"/>
    <w:rsid w:val="00904AA4"/>
    <w:rsid w:val="00905A85"/>
    <w:rsid w:val="00905FCA"/>
    <w:rsid w:val="00911E20"/>
    <w:rsid w:val="0091307E"/>
    <w:rsid w:val="00913E2B"/>
    <w:rsid w:val="0091527B"/>
    <w:rsid w:val="0091793F"/>
    <w:rsid w:val="00917F88"/>
    <w:rsid w:val="00920F9F"/>
    <w:rsid w:val="009227AC"/>
    <w:rsid w:val="00926E25"/>
    <w:rsid w:val="009303B4"/>
    <w:rsid w:val="00930C08"/>
    <w:rsid w:val="00931DB2"/>
    <w:rsid w:val="00932568"/>
    <w:rsid w:val="009332B8"/>
    <w:rsid w:val="00934987"/>
    <w:rsid w:val="00935142"/>
    <w:rsid w:val="0094221D"/>
    <w:rsid w:val="00943C7B"/>
    <w:rsid w:val="00943F0D"/>
    <w:rsid w:val="009446FB"/>
    <w:rsid w:val="00946DBA"/>
    <w:rsid w:val="009478A2"/>
    <w:rsid w:val="00947A01"/>
    <w:rsid w:val="009511A1"/>
    <w:rsid w:val="00952388"/>
    <w:rsid w:val="00952FC9"/>
    <w:rsid w:val="009544BD"/>
    <w:rsid w:val="00955535"/>
    <w:rsid w:val="00956A72"/>
    <w:rsid w:val="00960AAC"/>
    <w:rsid w:val="00961CC7"/>
    <w:rsid w:val="00962DE1"/>
    <w:rsid w:val="00963F1F"/>
    <w:rsid w:val="009644D5"/>
    <w:rsid w:val="00964862"/>
    <w:rsid w:val="00974009"/>
    <w:rsid w:val="009748DB"/>
    <w:rsid w:val="0097534D"/>
    <w:rsid w:val="009754E1"/>
    <w:rsid w:val="00975E36"/>
    <w:rsid w:val="00977345"/>
    <w:rsid w:val="00977DDC"/>
    <w:rsid w:val="00981635"/>
    <w:rsid w:val="00981833"/>
    <w:rsid w:val="00982AEB"/>
    <w:rsid w:val="00983F42"/>
    <w:rsid w:val="00984414"/>
    <w:rsid w:val="00986A85"/>
    <w:rsid w:val="00986F4A"/>
    <w:rsid w:val="009905FF"/>
    <w:rsid w:val="00991035"/>
    <w:rsid w:val="00992D55"/>
    <w:rsid w:val="00993C0F"/>
    <w:rsid w:val="0099569B"/>
    <w:rsid w:val="00996A32"/>
    <w:rsid w:val="00996BB6"/>
    <w:rsid w:val="00996BC9"/>
    <w:rsid w:val="00997A3E"/>
    <w:rsid w:val="009A0F67"/>
    <w:rsid w:val="009A32CF"/>
    <w:rsid w:val="009A3E1D"/>
    <w:rsid w:val="009A55DF"/>
    <w:rsid w:val="009A60C7"/>
    <w:rsid w:val="009A64A6"/>
    <w:rsid w:val="009A7183"/>
    <w:rsid w:val="009B0079"/>
    <w:rsid w:val="009B0507"/>
    <w:rsid w:val="009B0E4C"/>
    <w:rsid w:val="009B2930"/>
    <w:rsid w:val="009B2C9A"/>
    <w:rsid w:val="009B3FD5"/>
    <w:rsid w:val="009B467E"/>
    <w:rsid w:val="009B4FB0"/>
    <w:rsid w:val="009B597C"/>
    <w:rsid w:val="009B5A22"/>
    <w:rsid w:val="009B5D80"/>
    <w:rsid w:val="009B6DD5"/>
    <w:rsid w:val="009B7914"/>
    <w:rsid w:val="009C16FE"/>
    <w:rsid w:val="009C26D0"/>
    <w:rsid w:val="009C2760"/>
    <w:rsid w:val="009C2763"/>
    <w:rsid w:val="009C50A6"/>
    <w:rsid w:val="009C53DE"/>
    <w:rsid w:val="009C5C80"/>
    <w:rsid w:val="009C610A"/>
    <w:rsid w:val="009C654D"/>
    <w:rsid w:val="009D0A55"/>
    <w:rsid w:val="009D1A4B"/>
    <w:rsid w:val="009D2065"/>
    <w:rsid w:val="009D3B35"/>
    <w:rsid w:val="009D3BCC"/>
    <w:rsid w:val="009D465F"/>
    <w:rsid w:val="009D5502"/>
    <w:rsid w:val="009D6A82"/>
    <w:rsid w:val="009D746F"/>
    <w:rsid w:val="009D7B5E"/>
    <w:rsid w:val="009E0128"/>
    <w:rsid w:val="009E0376"/>
    <w:rsid w:val="009E072C"/>
    <w:rsid w:val="009E073F"/>
    <w:rsid w:val="009E0A41"/>
    <w:rsid w:val="009E0F33"/>
    <w:rsid w:val="009E0F5D"/>
    <w:rsid w:val="009E1A7D"/>
    <w:rsid w:val="009E233C"/>
    <w:rsid w:val="009E305E"/>
    <w:rsid w:val="009E5705"/>
    <w:rsid w:val="009E61AF"/>
    <w:rsid w:val="009E65DB"/>
    <w:rsid w:val="009E671B"/>
    <w:rsid w:val="009F0C99"/>
    <w:rsid w:val="009F23B5"/>
    <w:rsid w:val="009F23B8"/>
    <w:rsid w:val="009F5554"/>
    <w:rsid w:val="009F55B1"/>
    <w:rsid w:val="009F6052"/>
    <w:rsid w:val="009F6D26"/>
    <w:rsid w:val="00A016E5"/>
    <w:rsid w:val="00A03105"/>
    <w:rsid w:val="00A03D14"/>
    <w:rsid w:val="00A062D9"/>
    <w:rsid w:val="00A1009F"/>
    <w:rsid w:val="00A10D9A"/>
    <w:rsid w:val="00A11ED7"/>
    <w:rsid w:val="00A13B2C"/>
    <w:rsid w:val="00A13DE2"/>
    <w:rsid w:val="00A14770"/>
    <w:rsid w:val="00A15435"/>
    <w:rsid w:val="00A15601"/>
    <w:rsid w:val="00A1650B"/>
    <w:rsid w:val="00A168C8"/>
    <w:rsid w:val="00A1755E"/>
    <w:rsid w:val="00A17E40"/>
    <w:rsid w:val="00A206D4"/>
    <w:rsid w:val="00A21991"/>
    <w:rsid w:val="00A22AED"/>
    <w:rsid w:val="00A2310C"/>
    <w:rsid w:val="00A2349A"/>
    <w:rsid w:val="00A23932"/>
    <w:rsid w:val="00A244BE"/>
    <w:rsid w:val="00A24717"/>
    <w:rsid w:val="00A24DC3"/>
    <w:rsid w:val="00A258C0"/>
    <w:rsid w:val="00A25FFB"/>
    <w:rsid w:val="00A26151"/>
    <w:rsid w:val="00A2715D"/>
    <w:rsid w:val="00A271CD"/>
    <w:rsid w:val="00A2770F"/>
    <w:rsid w:val="00A279F0"/>
    <w:rsid w:val="00A30FC1"/>
    <w:rsid w:val="00A310C3"/>
    <w:rsid w:val="00A328C5"/>
    <w:rsid w:val="00A3430B"/>
    <w:rsid w:val="00A358BD"/>
    <w:rsid w:val="00A35D3E"/>
    <w:rsid w:val="00A3764E"/>
    <w:rsid w:val="00A4104E"/>
    <w:rsid w:val="00A44FCF"/>
    <w:rsid w:val="00A45747"/>
    <w:rsid w:val="00A47209"/>
    <w:rsid w:val="00A47D9A"/>
    <w:rsid w:val="00A51966"/>
    <w:rsid w:val="00A51D05"/>
    <w:rsid w:val="00A520A0"/>
    <w:rsid w:val="00A520C9"/>
    <w:rsid w:val="00A521C1"/>
    <w:rsid w:val="00A53127"/>
    <w:rsid w:val="00A5368A"/>
    <w:rsid w:val="00A5450F"/>
    <w:rsid w:val="00A54AA4"/>
    <w:rsid w:val="00A54CE0"/>
    <w:rsid w:val="00A6106B"/>
    <w:rsid w:val="00A61B6D"/>
    <w:rsid w:val="00A6452D"/>
    <w:rsid w:val="00A64FEA"/>
    <w:rsid w:val="00A65D32"/>
    <w:rsid w:val="00A67109"/>
    <w:rsid w:val="00A67832"/>
    <w:rsid w:val="00A70755"/>
    <w:rsid w:val="00A71FD4"/>
    <w:rsid w:val="00A74987"/>
    <w:rsid w:val="00A74FA0"/>
    <w:rsid w:val="00A76835"/>
    <w:rsid w:val="00A76A17"/>
    <w:rsid w:val="00A77266"/>
    <w:rsid w:val="00A7784B"/>
    <w:rsid w:val="00A810CC"/>
    <w:rsid w:val="00A82599"/>
    <w:rsid w:val="00A8309D"/>
    <w:rsid w:val="00A872E4"/>
    <w:rsid w:val="00A900FF"/>
    <w:rsid w:val="00A909BA"/>
    <w:rsid w:val="00A92820"/>
    <w:rsid w:val="00A9321D"/>
    <w:rsid w:val="00A94DA0"/>
    <w:rsid w:val="00A9550F"/>
    <w:rsid w:val="00A97386"/>
    <w:rsid w:val="00A973C3"/>
    <w:rsid w:val="00AA0D1D"/>
    <w:rsid w:val="00AA2A89"/>
    <w:rsid w:val="00AA3962"/>
    <w:rsid w:val="00AA47E2"/>
    <w:rsid w:val="00AB0C9D"/>
    <w:rsid w:val="00AB16FF"/>
    <w:rsid w:val="00AB2511"/>
    <w:rsid w:val="00AB340A"/>
    <w:rsid w:val="00AB3627"/>
    <w:rsid w:val="00AB3F99"/>
    <w:rsid w:val="00AB43DD"/>
    <w:rsid w:val="00AB4A70"/>
    <w:rsid w:val="00AB6C9A"/>
    <w:rsid w:val="00AB6EA7"/>
    <w:rsid w:val="00AB7CD3"/>
    <w:rsid w:val="00AB7FC6"/>
    <w:rsid w:val="00AC0637"/>
    <w:rsid w:val="00AC1E21"/>
    <w:rsid w:val="00AC2459"/>
    <w:rsid w:val="00AC284B"/>
    <w:rsid w:val="00AC4EAE"/>
    <w:rsid w:val="00AC58D3"/>
    <w:rsid w:val="00AC5ECD"/>
    <w:rsid w:val="00AD022C"/>
    <w:rsid w:val="00AD352D"/>
    <w:rsid w:val="00AD4965"/>
    <w:rsid w:val="00AD4F1A"/>
    <w:rsid w:val="00AD7F74"/>
    <w:rsid w:val="00AE0181"/>
    <w:rsid w:val="00AE1234"/>
    <w:rsid w:val="00AE266A"/>
    <w:rsid w:val="00AE2BFE"/>
    <w:rsid w:val="00AE43ED"/>
    <w:rsid w:val="00AE5A1E"/>
    <w:rsid w:val="00AE797F"/>
    <w:rsid w:val="00AE7F13"/>
    <w:rsid w:val="00AF132C"/>
    <w:rsid w:val="00AF2857"/>
    <w:rsid w:val="00AF302D"/>
    <w:rsid w:val="00AF3576"/>
    <w:rsid w:val="00AF3F35"/>
    <w:rsid w:val="00B002BD"/>
    <w:rsid w:val="00B004EB"/>
    <w:rsid w:val="00B00BCB"/>
    <w:rsid w:val="00B01118"/>
    <w:rsid w:val="00B024CC"/>
    <w:rsid w:val="00B037C6"/>
    <w:rsid w:val="00B0384A"/>
    <w:rsid w:val="00B039BA"/>
    <w:rsid w:val="00B03A8E"/>
    <w:rsid w:val="00B04A8A"/>
    <w:rsid w:val="00B04C21"/>
    <w:rsid w:val="00B0555F"/>
    <w:rsid w:val="00B07404"/>
    <w:rsid w:val="00B07D81"/>
    <w:rsid w:val="00B07E55"/>
    <w:rsid w:val="00B102CB"/>
    <w:rsid w:val="00B1033E"/>
    <w:rsid w:val="00B104DE"/>
    <w:rsid w:val="00B10B46"/>
    <w:rsid w:val="00B10F8D"/>
    <w:rsid w:val="00B132A7"/>
    <w:rsid w:val="00B16575"/>
    <w:rsid w:val="00B16F47"/>
    <w:rsid w:val="00B20722"/>
    <w:rsid w:val="00B210EF"/>
    <w:rsid w:val="00B21697"/>
    <w:rsid w:val="00B22388"/>
    <w:rsid w:val="00B226E3"/>
    <w:rsid w:val="00B243CB"/>
    <w:rsid w:val="00B31443"/>
    <w:rsid w:val="00B33F3F"/>
    <w:rsid w:val="00B35888"/>
    <w:rsid w:val="00B35AE6"/>
    <w:rsid w:val="00B35DCB"/>
    <w:rsid w:val="00B37B33"/>
    <w:rsid w:val="00B40197"/>
    <w:rsid w:val="00B401F4"/>
    <w:rsid w:val="00B41291"/>
    <w:rsid w:val="00B43887"/>
    <w:rsid w:val="00B47448"/>
    <w:rsid w:val="00B47FD1"/>
    <w:rsid w:val="00B50FE3"/>
    <w:rsid w:val="00B51EFA"/>
    <w:rsid w:val="00B51FD9"/>
    <w:rsid w:val="00B52A9A"/>
    <w:rsid w:val="00B54377"/>
    <w:rsid w:val="00B54757"/>
    <w:rsid w:val="00B54C95"/>
    <w:rsid w:val="00B55116"/>
    <w:rsid w:val="00B55259"/>
    <w:rsid w:val="00B55955"/>
    <w:rsid w:val="00B56967"/>
    <w:rsid w:val="00B57846"/>
    <w:rsid w:val="00B57D74"/>
    <w:rsid w:val="00B57DF8"/>
    <w:rsid w:val="00B63F99"/>
    <w:rsid w:val="00B71569"/>
    <w:rsid w:val="00B71678"/>
    <w:rsid w:val="00B71F54"/>
    <w:rsid w:val="00B745CF"/>
    <w:rsid w:val="00B77AEA"/>
    <w:rsid w:val="00B81412"/>
    <w:rsid w:val="00B81EC3"/>
    <w:rsid w:val="00B82B0F"/>
    <w:rsid w:val="00B84DFD"/>
    <w:rsid w:val="00B84FE8"/>
    <w:rsid w:val="00B85C93"/>
    <w:rsid w:val="00B86A27"/>
    <w:rsid w:val="00B86C9A"/>
    <w:rsid w:val="00B86F11"/>
    <w:rsid w:val="00B86FE0"/>
    <w:rsid w:val="00B8732E"/>
    <w:rsid w:val="00B87AB3"/>
    <w:rsid w:val="00B87C95"/>
    <w:rsid w:val="00B90015"/>
    <w:rsid w:val="00B909FD"/>
    <w:rsid w:val="00B90D52"/>
    <w:rsid w:val="00B91771"/>
    <w:rsid w:val="00B92699"/>
    <w:rsid w:val="00B92B22"/>
    <w:rsid w:val="00B93578"/>
    <w:rsid w:val="00B94AA4"/>
    <w:rsid w:val="00B9774F"/>
    <w:rsid w:val="00BA18C1"/>
    <w:rsid w:val="00BA1E26"/>
    <w:rsid w:val="00BA3215"/>
    <w:rsid w:val="00BA44E5"/>
    <w:rsid w:val="00BA4907"/>
    <w:rsid w:val="00BA4CB2"/>
    <w:rsid w:val="00BA5016"/>
    <w:rsid w:val="00BA742A"/>
    <w:rsid w:val="00BB0F37"/>
    <w:rsid w:val="00BB1772"/>
    <w:rsid w:val="00BB1EF5"/>
    <w:rsid w:val="00BB2074"/>
    <w:rsid w:val="00BB2A9B"/>
    <w:rsid w:val="00BB3ABB"/>
    <w:rsid w:val="00BB64BA"/>
    <w:rsid w:val="00BB7220"/>
    <w:rsid w:val="00BB7AAB"/>
    <w:rsid w:val="00BC0C68"/>
    <w:rsid w:val="00BC109A"/>
    <w:rsid w:val="00BC10F1"/>
    <w:rsid w:val="00BC115C"/>
    <w:rsid w:val="00BC2686"/>
    <w:rsid w:val="00BC3C2D"/>
    <w:rsid w:val="00BC410D"/>
    <w:rsid w:val="00BC5227"/>
    <w:rsid w:val="00BC67E6"/>
    <w:rsid w:val="00BC6DF3"/>
    <w:rsid w:val="00BC7D23"/>
    <w:rsid w:val="00BD43D8"/>
    <w:rsid w:val="00BD49C3"/>
    <w:rsid w:val="00BD5330"/>
    <w:rsid w:val="00BD53FB"/>
    <w:rsid w:val="00BD72BF"/>
    <w:rsid w:val="00BE0540"/>
    <w:rsid w:val="00BE1C34"/>
    <w:rsid w:val="00BE3B70"/>
    <w:rsid w:val="00BE587C"/>
    <w:rsid w:val="00BE61BB"/>
    <w:rsid w:val="00BE67F1"/>
    <w:rsid w:val="00BE6D35"/>
    <w:rsid w:val="00BE6D95"/>
    <w:rsid w:val="00BE7E81"/>
    <w:rsid w:val="00BF08A0"/>
    <w:rsid w:val="00BF3238"/>
    <w:rsid w:val="00BF3C62"/>
    <w:rsid w:val="00BF5B01"/>
    <w:rsid w:val="00BF6173"/>
    <w:rsid w:val="00BF6C52"/>
    <w:rsid w:val="00C0161A"/>
    <w:rsid w:val="00C03823"/>
    <w:rsid w:val="00C06ADE"/>
    <w:rsid w:val="00C106C2"/>
    <w:rsid w:val="00C21922"/>
    <w:rsid w:val="00C22547"/>
    <w:rsid w:val="00C227EB"/>
    <w:rsid w:val="00C25195"/>
    <w:rsid w:val="00C25E6F"/>
    <w:rsid w:val="00C30D0E"/>
    <w:rsid w:val="00C321E4"/>
    <w:rsid w:val="00C3410A"/>
    <w:rsid w:val="00C343E0"/>
    <w:rsid w:val="00C35F73"/>
    <w:rsid w:val="00C4074A"/>
    <w:rsid w:val="00C4074B"/>
    <w:rsid w:val="00C40AEB"/>
    <w:rsid w:val="00C42C85"/>
    <w:rsid w:val="00C45A0C"/>
    <w:rsid w:val="00C45A6C"/>
    <w:rsid w:val="00C46773"/>
    <w:rsid w:val="00C50964"/>
    <w:rsid w:val="00C53A89"/>
    <w:rsid w:val="00C55871"/>
    <w:rsid w:val="00C55BCC"/>
    <w:rsid w:val="00C55EC9"/>
    <w:rsid w:val="00C563A9"/>
    <w:rsid w:val="00C56557"/>
    <w:rsid w:val="00C5754C"/>
    <w:rsid w:val="00C61CC4"/>
    <w:rsid w:val="00C6219C"/>
    <w:rsid w:val="00C62388"/>
    <w:rsid w:val="00C62AFC"/>
    <w:rsid w:val="00C62E8E"/>
    <w:rsid w:val="00C630B3"/>
    <w:rsid w:val="00C644C5"/>
    <w:rsid w:val="00C66080"/>
    <w:rsid w:val="00C66700"/>
    <w:rsid w:val="00C66856"/>
    <w:rsid w:val="00C72CFF"/>
    <w:rsid w:val="00C73846"/>
    <w:rsid w:val="00C74392"/>
    <w:rsid w:val="00C74B2E"/>
    <w:rsid w:val="00C75556"/>
    <w:rsid w:val="00C75599"/>
    <w:rsid w:val="00C76CB8"/>
    <w:rsid w:val="00C80DEC"/>
    <w:rsid w:val="00C83029"/>
    <w:rsid w:val="00C830E0"/>
    <w:rsid w:val="00C8339F"/>
    <w:rsid w:val="00C83B40"/>
    <w:rsid w:val="00C83CF2"/>
    <w:rsid w:val="00C84885"/>
    <w:rsid w:val="00C86E88"/>
    <w:rsid w:val="00C94876"/>
    <w:rsid w:val="00C94B00"/>
    <w:rsid w:val="00C95289"/>
    <w:rsid w:val="00CA07FA"/>
    <w:rsid w:val="00CA1335"/>
    <w:rsid w:val="00CA188E"/>
    <w:rsid w:val="00CA383B"/>
    <w:rsid w:val="00CA495C"/>
    <w:rsid w:val="00CA497F"/>
    <w:rsid w:val="00CA4FFF"/>
    <w:rsid w:val="00CA5113"/>
    <w:rsid w:val="00CA5BD8"/>
    <w:rsid w:val="00CB284F"/>
    <w:rsid w:val="00CB2BC0"/>
    <w:rsid w:val="00CB2DF2"/>
    <w:rsid w:val="00CB438F"/>
    <w:rsid w:val="00CB4F1D"/>
    <w:rsid w:val="00CB5105"/>
    <w:rsid w:val="00CB5910"/>
    <w:rsid w:val="00CB797D"/>
    <w:rsid w:val="00CC061C"/>
    <w:rsid w:val="00CC1EBC"/>
    <w:rsid w:val="00CC2113"/>
    <w:rsid w:val="00CC295D"/>
    <w:rsid w:val="00CC2E44"/>
    <w:rsid w:val="00CC3748"/>
    <w:rsid w:val="00CC37BA"/>
    <w:rsid w:val="00CC4698"/>
    <w:rsid w:val="00CC48E8"/>
    <w:rsid w:val="00CC5E5B"/>
    <w:rsid w:val="00CC7088"/>
    <w:rsid w:val="00CD43A9"/>
    <w:rsid w:val="00CD52B0"/>
    <w:rsid w:val="00CD5B81"/>
    <w:rsid w:val="00CD6122"/>
    <w:rsid w:val="00CD6ECD"/>
    <w:rsid w:val="00CE13C1"/>
    <w:rsid w:val="00CE45F3"/>
    <w:rsid w:val="00CE66B3"/>
    <w:rsid w:val="00CE6726"/>
    <w:rsid w:val="00CE7A60"/>
    <w:rsid w:val="00CF2A84"/>
    <w:rsid w:val="00CF2CBB"/>
    <w:rsid w:val="00CF57B9"/>
    <w:rsid w:val="00CF7D28"/>
    <w:rsid w:val="00D002DA"/>
    <w:rsid w:val="00D0106F"/>
    <w:rsid w:val="00D03F1A"/>
    <w:rsid w:val="00D05000"/>
    <w:rsid w:val="00D067F6"/>
    <w:rsid w:val="00D06927"/>
    <w:rsid w:val="00D06ECC"/>
    <w:rsid w:val="00D0790F"/>
    <w:rsid w:val="00D1064A"/>
    <w:rsid w:val="00D11093"/>
    <w:rsid w:val="00D1253E"/>
    <w:rsid w:val="00D12F40"/>
    <w:rsid w:val="00D130D9"/>
    <w:rsid w:val="00D13820"/>
    <w:rsid w:val="00D1587D"/>
    <w:rsid w:val="00D16EAB"/>
    <w:rsid w:val="00D1796D"/>
    <w:rsid w:val="00D20DD6"/>
    <w:rsid w:val="00D224A5"/>
    <w:rsid w:val="00D2257F"/>
    <w:rsid w:val="00D22EE7"/>
    <w:rsid w:val="00D235F2"/>
    <w:rsid w:val="00D23679"/>
    <w:rsid w:val="00D24476"/>
    <w:rsid w:val="00D2484E"/>
    <w:rsid w:val="00D24A96"/>
    <w:rsid w:val="00D24AC3"/>
    <w:rsid w:val="00D2672F"/>
    <w:rsid w:val="00D27213"/>
    <w:rsid w:val="00D30182"/>
    <w:rsid w:val="00D33389"/>
    <w:rsid w:val="00D333A7"/>
    <w:rsid w:val="00D34396"/>
    <w:rsid w:val="00D3489B"/>
    <w:rsid w:val="00D35023"/>
    <w:rsid w:val="00D350D0"/>
    <w:rsid w:val="00D36F8C"/>
    <w:rsid w:val="00D37825"/>
    <w:rsid w:val="00D37CBF"/>
    <w:rsid w:val="00D37F2A"/>
    <w:rsid w:val="00D43345"/>
    <w:rsid w:val="00D43E06"/>
    <w:rsid w:val="00D4545A"/>
    <w:rsid w:val="00D46B2E"/>
    <w:rsid w:val="00D46C44"/>
    <w:rsid w:val="00D53BCD"/>
    <w:rsid w:val="00D5469D"/>
    <w:rsid w:val="00D550E0"/>
    <w:rsid w:val="00D60550"/>
    <w:rsid w:val="00D6071F"/>
    <w:rsid w:val="00D61584"/>
    <w:rsid w:val="00D62860"/>
    <w:rsid w:val="00D661FA"/>
    <w:rsid w:val="00D66CEB"/>
    <w:rsid w:val="00D66D4C"/>
    <w:rsid w:val="00D74B82"/>
    <w:rsid w:val="00D75445"/>
    <w:rsid w:val="00D757BA"/>
    <w:rsid w:val="00D75C24"/>
    <w:rsid w:val="00D779E6"/>
    <w:rsid w:val="00D80353"/>
    <w:rsid w:val="00D81487"/>
    <w:rsid w:val="00D842DF"/>
    <w:rsid w:val="00D84823"/>
    <w:rsid w:val="00D84CD0"/>
    <w:rsid w:val="00D85F64"/>
    <w:rsid w:val="00D91AE3"/>
    <w:rsid w:val="00D932CA"/>
    <w:rsid w:val="00D94A98"/>
    <w:rsid w:val="00D95433"/>
    <w:rsid w:val="00D964E0"/>
    <w:rsid w:val="00DA1147"/>
    <w:rsid w:val="00DA188C"/>
    <w:rsid w:val="00DA2347"/>
    <w:rsid w:val="00DA4100"/>
    <w:rsid w:val="00DA4780"/>
    <w:rsid w:val="00DA4810"/>
    <w:rsid w:val="00DA4ABE"/>
    <w:rsid w:val="00DA51EC"/>
    <w:rsid w:val="00DA5891"/>
    <w:rsid w:val="00DA7139"/>
    <w:rsid w:val="00DA777D"/>
    <w:rsid w:val="00DB0877"/>
    <w:rsid w:val="00DB2216"/>
    <w:rsid w:val="00DB2D1E"/>
    <w:rsid w:val="00DB2F42"/>
    <w:rsid w:val="00DB4F3D"/>
    <w:rsid w:val="00DB5A0C"/>
    <w:rsid w:val="00DB5FE7"/>
    <w:rsid w:val="00DB61F7"/>
    <w:rsid w:val="00DB751E"/>
    <w:rsid w:val="00DB7CA2"/>
    <w:rsid w:val="00DC0B5D"/>
    <w:rsid w:val="00DC11F3"/>
    <w:rsid w:val="00DC493D"/>
    <w:rsid w:val="00DC4E3A"/>
    <w:rsid w:val="00DC540E"/>
    <w:rsid w:val="00DC5460"/>
    <w:rsid w:val="00DC6CA8"/>
    <w:rsid w:val="00DD016B"/>
    <w:rsid w:val="00DD04BC"/>
    <w:rsid w:val="00DD08E9"/>
    <w:rsid w:val="00DD120D"/>
    <w:rsid w:val="00DD2424"/>
    <w:rsid w:val="00DD2AD7"/>
    <w:rsid w:val="00DD53E2"/>
    <w:rsid w:val="00DD588D"/>
    <w:rsid w:val="00DD5D49"/>
    <w:rsid w:val="00DD5EFF"/>
    <w:rsid w:val="00DD6457"/>
    <w:rsid w:val="00DD7442"/>
    <w:rsid w:val="00DD7989"/>
    <w:rsid w:val="00DE193B"/>
    <w:rsid w:val="00DE2D4E"/>
    <w:rsid w:val="00DE3771"/>
    <w:rsid w:val="00DE4244"/>
    <w:rsid w:val="00DE4888"/>
    <w:rsid w:val="00DE6987"/>
    <w:rsid w:val="00DE6C78"/>
    <w:rsid w:val="00DE785E"/>
    <w:rsid w:val="00DE7FCE"/>
    <w:rsid w:val="00DF17D0"/>
    <w:rsid w:val="00DF1B59"/>
    <w:rsid w:val="00DF1DAB"/>
    <w:rsid w:val="00DF2D8C"/>
    <w:rsid w:val="00DF3287"/>
    <w:rsid w:val="00DF4581"/>
    <w:rsid w:val="00DF7D12"/>
    <w:rsid w:val="00DF7FCD"/>
    <w:rsid w:val="00E001B8"/>
    <w:rsid w:val="00E024CA"/>
    <w:rsid w:val="00E02A72"/>
    <w:rsid w:val="00E02C88"/>
    <w:rsid w:val="00E032C4"/>
    <w:rsid w:val="00E058A6"/>
    <w:rsid w:val="00E101AD"/>
    <w:rsid w:val="00E10548"/>
    <w:rsid w:val="00E113E4"/>
    <w:rsid w:val="00E116BC"/>
    <w:rsid w:val="00E12E51"/>
    <w:rsid w:val="00E1399A"/>
    <w:rsid w:val="00E14D8D"/>
    <w:rsid w:val="00E171E0"/>
    <w:rsid w:val="00E17922"/>
    <w:rsid w:val="00E17E55"/>
    <w:rsid w:val="00E20079"/>
    <w:rsid w:val="00E200EA"/>
    <w:rsid w:val="00E206F8"/>
    <w:rsid w:val="00E20DA7"/>
    <w:rsid w:val="00E24F5C"/>
    <w:rsid w:val="00E2585B"/>
    <w:rsid w:val="00E25E0A"/>
    <w:rsid w:val="00E2645B"/>
    <w:rsid w:val="00E27F63"/>
    <w:rsid w:val="00E303DE"/>
    <w:rsid w:val="00E307ED"/>
    <w:rsid w:val="00E30D79"/>
    <w:rsid w:val="00E319A9"/>
    <w:rsid w:val="00E31A3E"/>
    <w:rsid w:val="00E31EAA"/>
    <w:rsid w:val="00E31FA7"/>
    <w:rsid w:val="00E32056"/>
    <w:rsid w:val="00E3422A"/>
    <w:rsid w:val="00E37642"/>
    <w:rsid w:val="00E40354"/>
    <w:rsid w:val="00E4368F"/>
    <w:rsid w:val="00E446C5"/>
    <w:rsid w:val="00E449F5"/>
    <w:rsid w:val="00E47849"/>
    <w:rsid w:val="00E5023B"/>
    <w:rsid w:val="00E51B69"/>
    <w:rsid w:val="00E60B0C"/>
    <w:rsid w:val="00E62D7C"/>
    <w:rsid w:val="00E63449"/>
    <w:rsid w:val="00E64792"/>
    <w:rsid w:val="00E65826"/>
    <w:rsid w:val="00E668A4"/>
    <w:rsid w:val="00E67152"/>
    <w:rsid w:val="00E71B0F"/>
    <w:rsid w:val="00E7282D"/>
    <w:rsid w:val="00E72DB3"/>
    <w:rsid w:val="00E73116"/>
    <w:rsid w:val="00E748E9"/>
    <w:rsid w:val="00E76175"/>
    <w:rsid w:val="00E76E82"/>
    <w:rsid w:val="00E77AFB"/>
    <w:rsid w:val="00E77E9F"/>
    <w:rsid w:val="00E82C84"/>
    <w:rsid w:val="00E84CAB"/>
    <w:rsid w:val="00E84CF0"/>
    <w:rsid w:val="00E862DF"/>
    <w:rsid w:val="00E87723"/>
    <w:rsid w:val="00E90C48"/>
    <w:rsid w:val="00E915F5"/>
    <w:rsid w:val="00E91E25"/>
    <w:rsid w:val="00E92724"/>
    <w:rsid w:val="00E9313C"/>
    <w:rsid w:val="00E9456B"/>
    <w:rsid w:val="00E95205"/>
    <w:rsid w:val="00E9654E"/>
    <w:rsid w:val="00EA0480"/>
    <w:rsid w:val="00EA0776"/>
    <w:rsid w:val="00EA07BF"/>
    <w:rsid w:val="00EA1763"/>
    <w:rsid w:val="00EA20C8"/>
    <w:rsid w:val="00EA3BB5"/>
    <w:rsid w:val="00EA4C4C"/>
    <w:rsid w:val="00EA4D5E"/>
    <w:rsid w:val="00EA588D"/>
    <w:rsid w:val="00EA5D96"/>
    <w:rsid w:val="00EA6273"/>
    <w:rsid w:val="00EA6B51"/>
    <w:rsid w:val="00EA6DBB"/>
    <w:rsid w:val="00EA6E55"/>
    <w:rsid w:val="00EA7213"/>
    <w:rsid w:val="00EA7CC0"/>
    <w:rsid w:val="00EB14F8"/>
    <w:rsid w:val="00EB44DD"/>
    <w:rsid w:val="00EB6EAB"/>
    <w:rsid w:val="00EB72D8"/>
    <w:rsid w:val="00EC3823"/>
    <w:rsid w:val="00EC3BB0"/>
    <w:rsid w:val="00EC4625"/>
    <w:rsid w:val="00EC4A57"/>
    <w:rsid w:val="00EC5130"/>
    <w:rsid w:val="00EC6DB6"/>
    <w:rsid w:val="00ED2479"/>
    <w:rsid w:val="00ED26E3"/>
    <w:rsid w:val="00ED3612"/>
    <w:rsid w:val="00ED44B9"/>
    <w:rsid w:val="00ED54F5"/>
    <w:rsid w:val="00ED7999"/>
    <w:rsid w:val="00ED79EE"/>
    <w:rsid w:val="00EE09AA"/>
    <w:rsid w:val="00EE1964"/>
    <w:rsid w:val="00EE3DE6"/>
    <w:rsid w:val="00EE4B15"/>
    <w:rsid w:val="00EE51E5"/>
    <w:rsid w:val="00EE5493"/>
    <w:rsid w:val="00EE5ACD"/>
    <w:rsid w:val="00EE6E5D"/>
    <w:rsid w:val="00EE6FA7"/>
    <w:rsid w:val="00EE79E8"/>
    <w:rsid w:val="00EE7B57"/>
    <w:rsid w:val="00EF292A"/>
    <w:rsid w:val="00EF2979"/>
    <w:rsid w:val="00EF307E"/>
    <w:rsid w:val="00EF5F00"/>
    <w:rsid w:val="00EF6504"/>
    <w:rsid w:val="00EF6600"/>
    <w:rsid w:val="00EF68B0"/>
    <w:rsid w:val="00EF7A50"/>
    <w:rsid w:val="00EF7FEC"/>
    <w:rsid w:val="00F00286"/>
    <w:rsid w:val="00F004EA"/>
    <w:rsid w:val="00F00B04"/>
    <w:rsid w:val="00F019B8"/>
    <w:rsid w:val="00F02936"/>
    <w:rsid w:val="00F0358A"/>
    <w:rsid w:val="00F040BD"/>
    <w:rsid w:val="00F06306"/>
    <w:rsid w:val="00F07BFF"/>
    <w:rsid w:val="00F10B31"/>
    <w:rsid w:val="00F110D6"/>
    <w:rsid w:val="00F146F9"/>
    <w:rsid w:val="00F14C92"/>
    <w:rsid w:val="00F15220"/>
    <w:rsid w:val="00F166B0"/>
    <w:rsid w:val="00F227EB"/>
    <w:rsid w:val="00F234F6"/>
    <w:rsid w:val="00F2361B"/>
    <w:rsid w:val="00F260D7"/>
    <w:rsid w:val="00F263D6"/>
    <w:rsid w:val="00F26E31"/>
    <w:rsid w:val="00F27AAE"/>
    <w:rsid w:val="00F30223"/>
    <w:rsid w:val="00F30289"/>
    <w:rsid w:val="00F32576"/>
    <w:rsid w:val="00F32789"/>
    <w:rsid w:val="00F334E8"/>
    <w:rsid w:val="00F34151"/>
    <w:rsid w:val="00F3637F"/>
    <w:rsid w:val="00F36B20"/>
    <w:rsid w:val="00F405A4"/>
    <w:rsid w:val="00F41D57"/>
    <w:rsid w:val="00F42549"/>
    <w:rsid w:val="00F43EFF"/>
    <w:rsid w:val="00F454C7"/>
    <w:rsid w:val="00F45F3C"/>
    <w:rsid w:val="00F4610B"/>
    <w:rsid w:val="00F46981"/>
    <w:rsid w:val="00F470B1"/>
    <w:rsid w:val="00F514F5"/>
    <w:rsid w:val="00F5218D"/>
    <w:rsid w:val="00F563A2"/>
    <w:rsid w:val="00F56428"/>
    <w:rsid w:val="00F57556"/>
    <w:rsid w:val="00F60026"/>
    <w:rsid w:val="00F613FB"/>
    <w:rsid w:val="00F6237A"/>
    <w:rsid w:val="00F62A76"/>
    <w:rsid w:val="00F62A7B"/>
    <w:rsid w:val="00F62B28"/>
    <w:rsid w:val="00F63640"/>
    <w:rsid w:val="00F636FF"/>
    <w:rsid w:val="00F66082"/>
    <w:rsid w:val="00F70058"/>
    <w:rsid w:val="00F71AD3"/>
    <w:rsid w:val="00F720A3"/>
    <w:rsid w:val="00F72D38"/>
    <w:rsid w:val="00F72E69"/>
    <w:rsid w:val="00F747DD"/>
    <w:rsid w:val="00F74A78"/>
    <w:rsid w:val="00F74B75"/>
    <w:rsid w:val="00F81423"/>
    <w:rsid w:val="00F82B79"/>
    <w:rsid w:val="00F854BC"/>
    <w:rsid w:val="00F8638E"/>
    <w:rsid w:val="00F86E13"/>
    <w:rsid w:val="00F86F5C"/>
    <w:rsid w:val="00F916BF"/>
    <w:rsid w:val="00F94596"/>
    <w:rsid w:val="00F947E3"/>
    <w:rsid w:val="00F95850"/>
    <w:rsid w:val="00F96A2B"/>
    <w:rsid w:val="00F971DF"/>
    <w:rsid w:val="00FA4649"/>
    <w:rsid w:val="00FA4AFE"/>
    <w:rsid w:val="00FA4DDF"/>
    <w:rsid w:val="00FA511C"/>
    <w:rsid w:val="00FA60C0"/>
    <w:rsid w:val="00FA6D3F"/>
    <w:rsid w:val="00FA7D6A"/>
    <w:rsid w:val="00FA7EF9"/>
    <w:rsid w:val="00FB0C7F"/>
    <w:rsid w:val="00FB2CFA"/>
    <w:rsid w:val="00FB4FF2"/>
    <w:rsid w:val="00FB58BC"/>
    <w:rsid w:val="00FB6F1C"/>
    <w:rsid w:val="00FC00A7"/>
    <w:rsid w:val="00FC1416"/>
    <w:rsid w:val="00FC2DBE"/>
    <w:rsid w:val="00FC36E5"/>
    <w:rsid w:val="00FC4CE0"/>
    <w:rsid w:val="00FD0292"/>
    <w:rsid w:val="00FD03C0"/>
    <w:rsid w:val="00FD0FAC"/>
    <w:rsid w:val="00FD32F7"/>
    <w:rsid w:val="00FD35AD"/>
    <w:rsid w:val="00FD3E32"/>
    <w:rsid w:val="00FD3EBD"/>
    <w:rsid w:val="00FD56AB"/>
    <w:rsid w:val="00FD6919"/>
    <w:rsid w:val="00FD6A48"/>
    <w:rsid w:val="00FD7C9F"/>
    <w:rsid w:val="00FE0E2D"/>
    <w:rsid w:val="00FE2A2C"/>
    <w:rsid w:val="00FE2D47"/>
    <w:rsid w:val="00FE3237"/>
    <w:rsid w:val="00FE41AE"/>
    <w:rsid w:val="00FE48CC"/>
    <w:rsid w:val="00FE5E5E"/>
    <w:rsid w:val="00FE7079"/>
    <w:rsid w:val="00FF0E94"/>
    <w:rsid w:val="00FF3DA3"/>
    <w:rsid w:val="00FF569A"/>
    <w:rsid w:val="00FF603B"/>
    <w:rsid w:val="00FF6199"/>
    <w:rsid w:val="00FF6D5E"/>
    <w:rsid w:val="00FF6F6D"/>
    <w:rsid w:val="00FF735E"/>
    <w:rsid w:val="00FF7C07"/>
    <w:rsid w:val="01381902"/>
    <w:rsid w:val="01E97335"/>
    <w:rsid w:val="02A01AEF"/>
    <w:rsid w:val="038B6F83"/>
    <w:rsid w:val="03C05834"/>
    <w:rsid w:val="0401579C"/>
    <w:rsid w:val="046B5C1F"/>
    <w:rsid w:val="04993371"/>
    <w:rsid w:val="05734373"/>
    <w:rsid w:val="06313C3C"/>
    <w:rsid w:val="0738688E"/>
    <w:rsid w:val="0746460A"/>
    <w:rsid w:val="079D10D0"/>
    <w:rsid w:val="07D36102"/>
    <w:rsid w:val="07F84C89"/>
    <w:rsid w:val="08B67317"/>
    <w:rsid w:val="08D52C0E"/>
    <w:rsid w:val="09717386"/>
    <w:rsid w:val="09775BB6"/>
    <w:rsid w:val="09E97C33"/>
    <w:rsid w:val="0A01697E"/>
    <w:rsid w:val="0A58634E"/>
    <w:rsid w:val="0AB73DC4"/>
    <w:rsid w:val="0B243EA1"/>
    <w:rsid w:val="0B2F2AB5"/>
    <w:rsid w:val="0B3D62D8"/>
    <w:rsid w:val="0B4F24E0"/>
    <w:rsid w:val="0B5523DB"/>
    <w:rsid w:val="0B5C7C8F"/>
    <w:rsid w:val="0B812045"/>
    <w:rsid w:val="0BA25231"/>
    <w:rsid w:val="0BCF2276"/>
    <w:rsid w:val="0C321FEC"/>
    <w:rsid w:val="0C643FAB"/>
    <w:rsid w:val="0D58566E"/>
    <w:rsid w:val="0E863D13"/>
    <w:rsid w:val="0EE17BA7"/>
    <w:rsid w:val="0EF52332"/>
    <w:rsid w:val="0EFA386A"/>
    <w:rsid w:val="0F662E44"/>
    <w:rsid w:val="0FA453EC"/>
    <w:rsid w:val="0FA81652"/>
    <w:rsid w:val="10385C6C"/>
    <w:rsid w:val="103A0AE6"/>
    <w:rsid w:val="10B04D63"/>
    <w:rsid w:val="10F613C6"/>
    <w:rsid w:val="110B1FFD"/>
    <w:rsid w:val="110E1935"/>
    <w:rsid w:val="11BE0B8D"/>
    <w:rsid w:val="11D76B69"/>
    <w:rsid w:val="11EE11A8"/>
    <w:rsid w:val="1258421E"/>
    <w:rsid w:val="129243D1"/>
    <w:rsid w:val="12D65BE1"/>
    <w:rsid w:val="131B1664"/>
    <w:rsid w:val="132B4007"/>
    <w:rsid w:val="13532E18"/>
    <w:rsid w:val="135A5F72"/>
    <w:rsid w:val="14617CED"/>
    <w:rsid w:val="14793A3D"/>
    <w:rsid w:val="1490169A"/>
    <w:rsid w:val="15426B80"/>
    <w:rsid w:val="156460BD"/>
    <w:rsid w:val="15676703"/>
    <w:rsid w:val="156D5523"/>
    <w:rsid w:val="15C11FF6"/>
    <w:rsid w:val="15F3335A"/>
    <w:rsid w:val="161B629A"/>
    <w:rsid w:val="16D50A7B"/>
    <w:rsid w:val="16F04303"/>
    <w:rsid w:val="172665B5"/>
    <w:rsid w:val="17413CDC"/>
    <w:rsid w:val="17683293"/>
    <w:rsid w:val="17922B33"/>
    <w:rsid w:val="17DE2872"/>
    <w:rsid w:val="17E251B8"/>
    <w:rsid w:val="17F05F96"/>
    <w:rsid w:val="17F55275"/>
    <w:rsid w:val="184A02C4"/>
    <w:rsid w:val="18AA0FC2"/>
    <w:rsid w:val="19087438"/>
    <w:rsid w:val="19E66831"/>
    <w:rsid w:val="19E97424"/>
    <w:rsid w:val="19F468BF"/>
    <w:rsid w:val="1A177332"/>
    <w:rsid w:val="1A316AF4"/>
    <w:rsid w:val="1A5E20F7"/>
    <w:rsid w:val="1A7C12EB"/>
    <w:rsid w:val="1A987653"/>
    <w:rsid w:val="1ACE5A95"/>
    <w:rsid w:val="1AF3196E"/>
    <w:rsid w:val="1B05104A"/>
    <w:rsid w:val="1B057D1C"/>
    <w:rsid w:val="1B327E9C"/>
    <w:rsid w:val="1B4846A5"/>
    <w:rsid w:val="1B682E0B"/>
    <w:rsid w:val="1B7A7DFA"/>
    <w:rsid w:val="1B9D4F4A"/>
    <w:rsid w:val="1BC820B8"/>
    <w:rsid w:val="1BDB2528"/>
    <w:rsid w:val="1BED3338"/>
    <w:rsid w:val="1C0B774B"/>
    <w:rsid w:val="1C0F7A65"/>
    <w:rsid w:val="1C166118"/>
    <w:rsid w:val="1C7EF612"/>
    <w:rsid w:val="1C83528A"/>
    <w:rsid w:val="1DFB7310"/>
    <w:rsid w:val="1EBD1411"/>
    <w:rsid w:val="1EFA14EB"/>
    <w:rsid w:val="1EFF3108"/>
    <w:rsid w:val="1F0C6544"/>
    <w:rsid w:val="1FD4649A"/>
    <w:rsid w:val="1FE47EB1"/>
    <w:rsid w:val="208C0210"/>
    <w:rsid w:val="20955892"/>
    <w:rsid w:val="20CD16A8"/>
    <w:rsid w:val="20D80BD9"/>
    <w:rsid w:val="213C1707"/>
    <w:rsid w:val="21D70C7B"/>
    <w:rsid w:val="22592647"/>
    <w:rsid w:val="228D74AF"/>
    <w:rsid w:val="231341C5"/>
    <w:rsid w:val="23135588"/>
    <w:rsid w:val="23835953"/>
    <w:rsid w:val="23AF7E80"/>
    <w:rsid w:val="23F974F4"/>
    <w:rsid w:val="24064351"/>
    <w:rsid w:val="248037AA"/>
    <w:rsid w:val="24AC2FA5"/>
    <w:rsid w:val="25652672"/>
    <w:rsid w:val="25BF0300"/>
    <w:rsid w:val="25D656CA"/>
    <w:rsid w:val="260E289A"/>
    <w:rsid w:val="260F6AAB"/>
    <w:rsid w:val="268504A6"/>
    <w:rsid w:val="26881C11"/>
    <w:rsid w:val="269B2CF9"/>
    <w:rsid w:val="273E57FC"/>
    <w:rsid w:val="27901539"/>
    <w:rsid w:val="27C80C0B"/>
    <w:rsid w:val="293C59AC"/>
    <w:rsid w:val="295D4E22"/>
    <w:rsid w:val="29CB7D24"/>
    <w:rsid w:val="2A1E545B"/>
    <w:rsid w:val="2A492887"/>
    <w:rsid w:val="2A552DA2"/>
    <w:rsid w:val="2A73320B"/>
    <w:rsid w:val="2A871AC6"/>
    <w:rsid w:val="2BC378C3"/>
    <w:rsid w:val="2BF25E0F"/>
    <w:rsid w:val="2BFA76E4"/>
    <w:rsid w:val="2C097711"/>
    <w:rsid w:val="2C556EC9"/>
    <w:rsid w:val="2D004F27"/>
    <w:rsid w:val="2D24776B"/>
    <w:rsid w:val="2D563B63"/>
    <w:rsid w:val="2D63637B"/>
    <w:rsid w:val="2DBE63B6"/>
    <w:rsid w:val="2E0334DB"/>
    <w:rsid w:val="2E515F12"/>
    <w:rsid w:val="2E983A0B"/>
    <w:rsid w:val="2EDD624F"/>
    <w:rsid w:val="2EEE00BE"/>
    <w:rsid w:val="2F6E10A1"/>
    <w:rsid w:val="2FD12868"/>
    <w:rsid w:val="30E16962"/>
    <w:rsid w:val="31346E1A"/>
    <w:rsid w:val="317044DC"/>
    <w:rsid w:val="31982219"/>
    <w:rsid w:val="31D410BB"/>
    <w:rsid w:val="321F4EA5"/>
    <w:rsid w:val="324F79BF"/>
    <w:rsid w:val="327F5AC8"/>
    <w:rsid w:val="329E5DD3"/>
    <w:rsid w:val="32C36DC3"/>
    <w:rsid w:val="33497568"/>
    <w:rsid w:val="336A33B0"/>
    <w:rsid w:val="337266F1"/>
    <w:rsid w:val="337C78AC"/>
    <w:rsid w:val="339B3BE0"/>
    <w:rsid w:val="339F3FB7"/>
    <w:rsid w:val="33ED3702"/>
    <w:rsid w:val="342E5265"/>
    <w:rsid w:val="34694DA2"/>
    <w:rsid w:val="34777E8D"/>
    <w:rsid w:val="34AD0B1A"/>
    <w:rsid w:val="34BB2EE9"/>
    <w:rsid w:val="354B6750"/>
    <w:rsid w:val="35781564"/>
    <w:rsid w:val="35C413EF"/>
    <w:rsid w:val="36D35404"/>
    <w:rsid w:val="36F004AC"/>
    <w:rsid w:val="37E55A06"/>
    <w:rsid w:val="37EE3CD2"/>
    <w:rsid w:val="38EF0843"/>
    <w:rsid w:val="39131165"/>
    <w:rsid w:val="39297839"/>
    <w:rsid w:val="39BB48BA"/>
    <w:rsid w:val="3A2F593B"/>
    <w:rsid w:val="3A94550C"/>
    <w:rsid w:val="3B607ABA"/>
    <w:rsid w:val="3CE655B1"/>
    <w:rsid w:val="3D012955"/>
    <w:rsid w:val="3D32306B"/>
    <w:rsid w:val="3D441B85"/>
    <w:rsid w:val="3DEF7D84"/>
    <w:rsid w:val="3E1A5FEA"/>
    <w:rsid w:val="3E572B1F"/>
    <w:rsid w:val="3EA24E42"/>
    <w:rsid w:val="3EB834BB"/>
    <w:rsid w:val="3EEF05BD"/>
    <w:rsid w:val="3FB63B42"/>
    <w:rsid w:val="3FB670CD"/>
    <w:rsid w:val="41B23DF8"/>
    <w:rsid w:val="41DA736A"/>
    <w:rsid w:val="42A15EBC"/>
    <w:rsid w:val="42B72726"/>
    <w:rsid w:val="42DE7B75"/>
    <w:rsid w:val="439E1B03"/>
    <w:rsid w:val="43A71A51"/>
    <w:rsid w:val="43B6225C"/>
    <w:rsid w:val="44294E23"/>
    <w:rsid w:val="446810AE"/>
    <w:rsid w:val="4475188F"/>
    <w:rsid w:val="44931AAD"/>
    <w:rsid w:val="44C64055"/>
    <w:rsid w:val="44CC6E7A"/>
    <w:rsid w:val="45432E66"/>
    <w:rsid w:val="454D5EBF"/>
    <w:rsid w:val="455176E8"/>
    <w:rsid w:val="45621422"/>
    <w:rsid w:val="460B4881"/>
    <w:rsid w:val="461C7C03"/>
    <w:rsid w:val="46CA45BD"/>
    <w:rsid w:val="46CF7691"/>
    <w:rsid w:val="4710093A"/>
    <w:rsid w:val="476D7340"/>
    <w:rsid w:val="477418A2"/>
    <w:rsid w:val="477E5FDB"/>
    <w:rsid w:val="47E04506"/>
    <w:rsid w:val="480E1BAB"/>
    <w:rsid w:val="483C3FFE"/>
    <w:rsid w:val="48484E8A"/>
    <w:rsid w:val="484D5643"/>
    <w:rsid w:val="484E074A"/>
    <w:rsid w:val="486F5289"/>
    <w:rsid w:val="48BD58CE"/>
    <w:rsid w:val="498C0C5C"/>
    <w:rsid w:val="499C32C5"/>
    <w:rsid w:val="499E52C2"/>
    <w:rsid w:val="49F2258E"/>
    <w:rsid w:val="4A0B49C3"/>
    <w:rsid w:val="4A346988"/>
    <w:rsid w:val="4A49506E"/>
    <w:rsid w:val="4A564ABB"/>
    <w:rsid w:val="4B5A3D24"/>
    <w:rsid w:val="4BB36FAF"/>
    <w:rsid w:val="4C9356BA"/>
    <w:rsid w:val="4D8F08D9"/>
    <w:rsid w:val="4DA26590"/>
    <w:rsid w:val="4E860C34"/>
    <w:rsid w:val="4EBF2728"/>
    <w:rsid w:val="4EE229AA"/>
    <w:rsid w:val="4EE2773C"/>
    <w:rsid w:val="4F233BA7"/>
    <w:rsid w:val="4F4F4169"/>
    <w:rsid w:val="4F860548"/>
    <w:rsid w:val="4FD80537"/>
    <w:rsid w:val="4FE54694"/>
    <w:rsid w:val="5015723C"/>
    <w:rsid w:val="50B92EF9"/>
    <w:rsid w:val="520B2C30"/>
    <w:rsid w:val="52C146A6"/>
    <w:rsid w:val="532F2C4F"/>
    <w:rsid w:val="53A81F0E"/>
    <w:rsid w:val="549B3755"/>
    <w:rsid w:val="557A1AA1"/>
    <w:rsid w:val="55E17FA8"/>
    <w:rsid w:val="5605495F"/>
    <w:rsid w:val="56175344"/>
    <w:rsid w:val="56C16290"/>
    <w:rsid w:val="57643A89"/>
    <w:rsid w:val="577454E4"/>
    <w:rsid w:val="57844D3E"/>
    <w:rsid w:val="57CF1606"/>
    <w:rsid w:val="58480242"/>
    <w:rsid w:val="58532976"/>
    <w:rsid w:val="589144C6"/>
    <w:rsid w:val="589B46B9"/>
    <w:rsid w:val="589D3BB3"/>
    <w:rsid w:val="59033E77"/>
    <w:rsid w:val="597B5EB4"/>
    <w:rsid w:val="59BB2939"/>
    <w:rsid w:val="5A260E9C"/>
    <w:rsid w:val="5A600FBB"/>
    <w:rsid w:val="5B173149"/>
    <w:rsid w:val="5B4C3696"/>
    <w:rsid w:val="5C378617"/>
    <w:rsid w:val="5CEB0669"/>
    <w:rsid w:val="5D4E7F0F"/>
    <w:rsid w:val="5E8B3FBA"/>
    <w:rsid w:val="5EAC0803"/>
    <w:rsid w:val="5EC95F73"/>
    <w:rsid w:val="5EEE0AB7"/>
    <w:rsid w:val="5F077AA1"/>
    <w:rsid w:val="5F393E2B"/>
    <w:rsid w:val="5F937FD2"/>
    <w:rsid w:val="601B6624"/>
    <w:rsid w:val="605F7B00"/>
    <w:rsid w:val="6073018C"/>
    <w:rsid w:val="608D33FC"/>
    <w:rsid w:val="610D3DA0"/>
    <w:rsid w:val="612E3C00"/>
    <w:rsid w:val="6136295B"/>
    <w:rsid w:val="61D127F7"/>
    <w:rsid w:val="62080E40"/>
    <w:rsid w:val="629D2591"/>
    <w:rsid w:val="62AD2DBD"/>
    <w:rsid w:val="63863DAE"/>
    <w:rsid w:val="63E345C0"/>
    <w:rsid w:val="645403AA"/>
    <w:rsid w:val="646B6F3E"/>
    <w:rsid w:val="646F792F"/>
    <w:rsid w:val="65043183"/>
    <w:rsid w:val="65343A7E"/>
    <w:rsid w:val="65737549"/>
    <w:rsid w:val="65873078"/>
    <w:rsid w:val="65EA3097"/>
    <w:rsid w:val="66315750"/>
    <w:rsid w:val="669A4CAB"/>
    <w:rsid w:val="66D52B60"/>
    <w:rsid w:val="685B4E1C"/>
    <w:rsid w:val="6A7F031A"/>
    <w:rsid w:val="6A923E46"/>
    <w:rsid w:val="6AC936A5"/>
    <w:rsid w:val="6AD61018"/>
    <w:rsid w:val="6B1E137F"/>
    <w:rsid w:val="6B750E54"/>
    <w:rsid w:val="6BDBB4C5"/>
    <w:rsid w:val="6BE2397B"/>
    <w:rsid w:val="6BFD5A33"/>
    <w:rsid w:val="6C370AFF"/>
    <w:rsid w:val="6CB1511C"/>
    <w:rsid w:val="6CC87CB3"/>
    <w:rsid w:val="6CEA5519"/>
    <w:rsid w:val="6E096A64"/>
    <w:rsid w:val="6E196F02"/>
    <w:rsid w:val="6E2C37F4"/>
    <w:rsid w:val="6E406763"/>
    <w:rsid w:val="6E436D84"/>
    <w:rsid w:val="6EC76642"/>
    <w:rsid w:val="6F3B3285"/>
    <w:rsid w:val="6F7413AB"/>
    <w:rsid w:val="6F7B518E"/>
    <w:rsid w:val="6F7C0609"/>
    <w:rsid w:val="6FC14C6A"/>
    <w:rsid w:val="6FE909AD"/>
    <w:rsid w:val="70213041"/>
    <w:rsid w:val="711955B5"/>
    <w:rsid w:val="71544A4F"/>
    <w:rsid w:val="71980E26"/>
    <w:rsid w:val="7223757F"/>
    <w:rsid w:val="724377A3"/>
    <w:rsid w:val="725557D5"/>
    <w:rsid w:val="72BFD59A"/>
    <w:rsid w:val="735278FB"/>
    <w:rsid w:val="73CE2D7B"/>
    <w:rsid w:val="747847D0"/>
    <w:rsid w:val="74AB579D"/>
    <w:rsid w:val="74F83E03"/>
    <w:rsid w:val="75846DF7"/>
    <w:rsid w:val="75965704"/>
    <w:rsid w:val="75D4341F"/>
    <w:rsid w:val="76AB0235"/>
    <w:rsid w:val="77805C2E"/>
    <w:rsid w:val="782E014F"/>
    <w:rsid w:val="78383B61"/>
    <w:rsid w:val="78596615"/>
    <w:rsid w:val="788139C0"/>
    <w:rsid w:val="78CD003C"/>
    <w:rsid w:val="78E02196"/>
    <w:rsid w:val="78F17453"/>
    <w:rsid w:val="79237ED2"/>
    <w:rsid w:val="79437EAA"/>
    <w:rsid w:val="794A3717"/>
    <w:rsid w:val="796568A2"/>
    <w:rsid w:val="79D472A1"/>
    <w:rsid w:val="79F6525F"/>
    <w:rsid w:val="7A3938A3"/>
    <w:rsid w:val="7A9A40BC"/>
    <w:rsid w:val="7AE66F42"/>
    <w:rsid w:val="7AE95293"/>
    <w:rsid w:val="7B4074BB"/>
    <w:rsid w:val="7B6C6DEE"/>
    <w:rsid w:val="7BA53874"/>
    <w:rsid w:val="7C6977BF"/>
    <w:rsid w:val="7C6C220E"/>
    <w:rsid w:val="7CE519AD"/>
    <w:rsid w:val="7D342F3E"/>
    <w:rsid w:val="7DC5429C"/>
    <w:rsid w:val="7F2117FF"/>
    <w:rsid w:val="7F665333"/>
    <w:rsid w:val="A45C7C9B"/>
    <w:rsid w:val="B9FE9607"/>
    <w:rsid w:val="BBAF18F2"/>
    <w:rsid w:val="C8EFD46C"/>
    <w:rsid w:val="D6146D31"/>
    <w:rsid w:val="DBFF0955"/>
    <w:rsid w:val="DF6F9709"/>
    <w:rsid w:val="E3E7971C"/>
    <w:rsid w:val="E9DEDF32"/>
    <w:rsid w:val="EA97B379"/>
    <w:rsid w:val="EFBF5BA1"/>
    <w:rsid w:val="F7FFDB74"/>
    <w:rsid w:val="FB132728"/>
    <w:rsid w:val="FF2F185E"/>
    <w:rsid w:val="FF7FDD86"/>
    <w:rsid w:val="FFC3B6C3"/>
    <w:rsid w:val="FFD739D1"/>
    <w:rsid w:val="FFFF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9"/>
    <w:unhideWhenUsed/>
    <w:qFormat/>
    <w:uiPriority w:val="99"/>
    <w:pPr>
      <w:keepNext/>
      <w:keepLines/>
      <w:spacing w:line="600" w:lineRule="exact"/>
      <w:ind w:firstLine="420" w:firstLineChars="200"/>
      <w:outlineLvl w:val="2"/>
    </w:pPr>
    <w:rPr>
      <w:rFonts w:eastAsia="仿宋_GB2312"/>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rPr>
      <w:rFonts w:ascii="Times New Roman" w:hAnsi="Times New Roman"/>
      <w:szCs w:val="20"/>
    </w:rPr>
  </w:style>
  <w:style w:type="paragraph" w:customStyle="1" w:styleId="3">
    <w:name w:val="Body Text Indent1"/>
    <w:basedOn w:val="1"/>
    <w:next w:val="4"/>
    <w:qFormat/>
    <w:uiPriority w:val="0"/>
    <w:pPr>
      <w:spacing w:after="120"/>
      <w:ind w:left="420" w:leftChars="200"/>
    </w:pPr>
  </w:style>
  <w:style w:type="paragraph" w:customStyle="1" w:styleId="4">
    <w:name w:val="正文文本缩进 21"/>
    <w:basedOn w:val="1"/>
    <w:qFormat/>
    <w:uiPriority w:val="0"/>
    <w:pPr>
      <w:ind w:firstLine="630"/>
    </w:pPr>
    <w:rPr>
      <w:b/>
    </w:rPr>
  </w:style>
  <w:style w:type="paragraph" w:styleId="8">
    <w:name w:val="annotation text"/>
    <w:basedOn w:val="1"/>
    <w:link w:val="30"/>
    <w:unhideWhenUsed/>
    <w:qFormat/>
    <w:uiPriority w:val="99"/>
    <w:pPr>
      <w:jc w:val="left"/>
    </w:pPr>
  </w:style>
  <w:style w:type="paragraph" w:styleId="9">
    <w:name w:val="Body Text"/>
    <w:basedOn w:val="1"/>
    <w:link w:val="131"/>
    <w:unhideWhenUsed/>
    <w:qFormat/>
    <w:uiPriority w:val="99"/>
    <w:pPr>
      <w:spacing w:after="120"/>
    </w:pPr>
  </w:style>
  <w:style w:type="paragraph" w:styleId="10">
    <w:name w:val="toc 3"/>
    <w:basedOn w:val="1"/>
    <w:next w:val="1"/>
    <w:unhideWhenUsed/>
    <w:qFormat/>
    <w:uiPriority w:val="39"/>
    <w:pPr>
      <w:ind w:left="840" w:leftChars="400"/>
    </w:pPr>
  </w:style>
  <w:style w:type="paragraph" w:styleId="11">
    <w:name w:val="Plain Text"/>
    <w:basedOn w:val="1"/>
    <w:link w:val="32"/>
    <w:unhideWhenUsed/>
    <w:qFormat/>
    <w:uiPriority w:val="99"/>
    <w:pPr>
      <w:spacing w:line="560" w:lineRule="exact"/>
      <w:ind w:firstLine="200" w:firstLineChars="200"/>
    </w:pPr>
    <w:rPr>
      <w:rFonts w:ascii="宋体" w:hAnsi="Courier New" w:eastAsia="仿宋_GB2312"/>
      <w:sz w:val="32"/>
    </w:rPr>
  </w:style>
  <w:style w:type="paragraph" w:styleId="12">
    <w:name w:val="Date"/>
    <w:basedOn w:val="1"/>
    <w:next w:val="1"/>
    <w:link w:val="36"/>
    <w:unhideWhenUsed/>
    <w:qFormat/>
    <w:uiPriority w:val="99"/>
    <w:pPr>
      <w:ind w:left="100" w:leftChars="2500"/>
    </w:pPr>
  </w:style>
  <w:style w:type="paragraph" w:styleId="13">
    <w:name w:val="Balloon Text"/>
    <w:basedOn w:val="1"/>
    <w:link w:val="26"/>
    <w:unhideWhenUsed/>
    <w:qFormat/>
    <w:uiPriority w:val="99"/>
    <w:rPr>
      <w:sz w:val="18"/>
      <w:szCs w:val="18"/>
    </w:rPr>
  </w:style>
  <w:style w:type="paragraph" w:styleId="14">
    <w:name w:val="footer"/>
    <w:basedOn w:val="1"/>
    <w:link w:val="34"/>
    <w:unhideWhenUsed/>
    <w:qFormat/>
    <w:uiPriority w:val="99"/>
    <w:pPr>
      <w:tabs>
        <w:tab w:val="center" w:pos="4153"/>
        <w:tab w:val="right" w:pos="8306"/>
      </w:tabs>
      <w:snapToGrid w:val="0"/>
      <w:jc w:val="left"/>
    </w:pPr>
    <w:rPr>
      <w:sz w:val="18"/>
      <w:szCs w:val="18"/>
    </w:rPr>
  </w:style>
  <w:style w:type="paragraph" w:styleId="15">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8720"/>
      </w:tabs>
      <w:spacing w:line="600" w:lineRule="exact"/>
    </w:pPr>
    <w:rPr>
      <w:rFonts w:ascii="Times New Roman" w:hAnsi="Times New Roman" w:eastAsia="黑体"/>
      <w:sz w:val="32"/>
      <w:szCs w:val="32"/>
    </w:rPr>
  </w:style>
  <w:style w:type="paragraph" w:styleId="17">
    <w:name w:val="toc 2"/>
    <w:basedOn w:val="1"/>
    <w:next w:val="1"/>
    <w:unhideWhenUsed/>
    <w:qFormat/>
    <w:uiPriority w:val="39"/>
    <w:pPr>
      <w:tabs>
        <w:tab w:val="right" w:leader="dot" w:pos="8720"/>
      </w:tabs>
      <w:spacing w:line="600" w:lineRule="exact"/>
      <w:ind w:left="200" w:leftChars="200"/>
    </w:pPr>
    <w:rPr>
      <w:rFonts w:ascii="Times New Roman" w:hAnsi="Times New Roman" w:eastAsia="楷体_GB2312"/>
      <w:sz w:val="28"/>
      <w:szCs w:val="36"/>
    </w:rPr>
  </w:style>
  <w:style w:type="paragraph" w:styleId="18">
    <w:name w:val="annotation subject"/>
    <w:basedOn w:val="8"/>
    <w:next w:val="8"/>
    <w:link w:val="31"/>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unhideWhenUsed/>
    <w:qFormat/>
    <w:uiPriority w:val="99"/>
    <w:rPr>
      <w:sz w:val="21"/>
      <w:szCs w:val="21"/>
    </w:rPr>
  </w:style>
  <w:style w:type="character" w:customStyle="1" w:styleId="26">
    <w:name w:val="批注框文本 字符"/>
    <w:basedOn w:val="21"/>
    <w:link w:val="13"/>
    <w:semiHidden/>
    <w:qFormat/>
    <w:uiPriority w:val="99"/>
    <w:rPr>
      <w:sz w:val="18"/>
      <w:szCs w:val="18"/>
    </w:rPr>
  </w:style>
  <w:style w:type="character" w:customStyle="1" w:styleId="27">
    <w:name w:val="标题 2 字符"/>
    <w:basedOn w:val="21"/>
    <w:link w:val="6"/>
    <w:qFormat/>
    <w:uiPriority w:val="0"/>
    <w:rPr>
      <w:rFonts w:asciiTheme="majorHAnsi" w:hAnsiTheme="majorHAnsi" w:eastAsiaTheme="majorEastAsia" w:cstheme="majorBidi"/>
      <w:b/>
      <w:bCs/>
      <w:sz w:val="32"/>
      <w:szCs w:val="32"/>
    </w:rPr>
  </w:style>
  <w:style w:type="character" w:customStyle="1" w:styleId="28">
    <w:name w:val="标题 1 字符"/>
    <w:basedOn w:val="21"/>
    <w:link w:val="5"/>
    <w:qFormat/>
    <w:uiPriority w:val="9"/>
    <w:rPr>
      <w:b/>
      <w:bCs/>
      <w:kern w:val="44"/>
      <w:sz w:val="44"/>
      <w:szCs w:val="44"/>
    </w:rPr>
  </w:style>
  <w:style w:type="character" w:customStyle="1" w:styleId="29">
    <w:name w:val="标题 3 字符"/>
    <w:basedOn w:val="21"/>
    <w:link w:val="7"/>
    <w:qFormat/>
    <w:uiPriority w:val="99"/>
    <w:rPr>
      <w:rFonts w:eastAsia="仿宋_GB2312" w:asciiTheme="minorHAnsi" w:hAnsiTheme="minorHAnsi"/>
      <w:b/>
      <w:bCs/>
      <w:sz w:val="32"/>
      <w:szCs w:val="32"/>
    </w:rPr>
  </w:style>
  <w:style w:type="character" w:customStyle="1" w:styleId="30">
    <w:name w:val="批注文字 字符"/>
    <w:basedOn w:val="21"/>
    <w:link w:val="8"/>
    <w:semiHidden/>
    <w:qFormat/>
    <w:uiPriority w:val="99"/>
  </w:style>
  <w:style w:type="character" w:customStyle="1" w:styleId="31">
    <w:name w:val="批注主题 字符"/>
    <w:basedOn w:val="30"/>
    <w:link w:val="18"/>
    <w:semiHidden/>
    <w:qFormat/>
    <w:uiPriority w:val="99"/>
    <w:rPr>
      <w:b/>
      <w:bCs/>
    </w:rPr>
  </w:style>
  <w:style w:type="character" w:customStyle="1" w:styleId="32">
    <w:name w:val="纯文本 字符"/>
    <w:basedOn w:val="21"/>
    <w:link w:val="11"/>
    <w:qFormat/>
    <w:uiPriority w:val="99"/>
    <w:rPr>
      <w:rFonts w:ascii="宋体" w:hAnsi="Courier New" w:eastAsia="仿宋_GB2312"/>
      <w:sz w:val="32"/>
    </w:rPr>
  </w:style>
  <w:style w:type="character" w:customStyle="1" w:styleId="33">
    <w:name w:val="页眉 字符"/>
    <w:basedOn w:val="21"/>
    <w:link w:val="15"/>
    <w:qFormat/>
    <w:uiPriority w:val="99"/>
    <w:rPr>
      <w:sz w:val="18"/>
      <w:szCs w:val="18"/>
    </w:rPr>
  </w:style>
  <w:style w:type="character" w:customStyle="1" w:styleId="34">
    <w:name w:val="页脚 字符"/>
    <w:basedOn w:val="21"/>
    <w:link w:val="14"/>
    <w:qFormat/>
    <w:uiPriority w:val="99"/>
    <w:rPr>
      <w:sz w:val="18"/>
      <w:szCs w:val="18"/>
    </w:rPr>
  </w:style>
  <w:style w:type="paragraph" w:customStyle="1" w:styleId="35">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6">
    <w:name w:val="日期 字符"/>
    <w:basedOn w:val="21"/>
    <w:link w:val="12"/>
    <w:semiHidden/>
    <w:qFormat/>
    <w:uiPriority w:val="99"/>
  </w:style>
  <w:style w:type="character" w:customStyle="1" w:styleId="37">
    <w:name w:val="NormalCharacter"/>
    <w:link w:val="38"/>
    <w:semiHidden/>
    <w:qFormat/>
    <w:uiPriority w:val="0"/>
    <w:rPr>
      <w:rFonts w:ascii="宋体" w:hAnsi="Courier New"/>
      <w:kern w:val="0"/>
      <w:sz w:val="20"/>
      <w:szCs w:val="20"/>
      <w:lang w:val="zh-CN" w:eastAsia="zh-CN" w:bidi="ar-SA"/>
    </w:rPr>
  </w:style>
  <w:style w:type="paragraph" w:customStyle="1" w:styleId="38">
    <w:name w:val="UserStyle_0"/>
    <w:basedOn w:val="39"/>
    <w:link w:val="37"/>
    <w:qFormat/>
    <w:uiPriority w:val="0"/>
    <w:pPr>
      <w:ind w:firstLine="200" w:firstLineChars="200"/>
      <w:textAlignment w:val="baseline"/>
    </w:pPr>
    <w:rPr>
      <w:rFonts w:ascii="宋体" w:hAnsi="Courier New"/>
      <w:kern w:val="0"/>
      <w:sz w:val="20"/>
      <w:szCs w:val="20"/>
      <w:lang w:val="zh-CN"/>
    </w:rPr>
  </w:style>
  <w:style w:type="paragraph" w:customStyle="1" w:styleId="39">
    <w:name w:val="正文 New New New New"/>
    <w:next w:val="38"/>
    <w:qFormat/>
    <w:uiPriority w:val="0"/>
    <w:pPr>
      <w:widowControl w:val="0"/>
      <w:jc w:val="both"/>
    </w:pPr>
    <w:rPr>
      <w:rFonts w:ascii="Calibri" w:hAnsi="Calibri" w:eastAsia="宋体" w:cs="Times New Roman"/>
      <w:kern w:val="2"/>
      <w:sz w:val="21"/>
      <w:szCs w:val="24"/>
      <w:lang w:val="en-US" w:eastAsia="zh-CN" w:bidi="ar-SA"/>
    </w:rPr>
  </w:style>
  <w:style w:type="paragraph" w:customStyle="1" w:styleId="4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
    <w:name w:val="列表段落1"/>
    <w:basedOn w:val="1"/>
    <w:qFormat/>
    <w:uiPriority w:val="99"/>
    <w:pPr>
      <w:ind w:firstLine="420" w:firstLineChars="200"/>
    </w:pPr>
  </w:style>
  <w:style w:type="paragraph" w:customStyle="1" w:styleId="42">
    <w:name w:val="正文 New"/>
    <w:qFormat/>
    <w:uiPriority w:val="0"/>
    <w:pPr>
      <w:widowControl w:val="0"/>
      <w:jc w:val="both"/>
    </w:pPr>
    <w:rPr>
      <w:rFonts w:ascii="仿宋_GB2312" w:hAnsi="Calibri" w:eastAsia="仿宋_GB2312" w:cs="Times New Roman"/>
      <w:kern w:val="2"/>
      <w:sz w:val="32"/>
      <w:szCs w:val="32"/>
      <w:lang w:val="en-US" w:eastAsia="zh-CN" w:bidi="ar-SA"/>
    </w:rPr>
  </w:style>
  <w:style w:type="paragraph" w:customStyle="1" w:styleId="4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5">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5"/>
    <w:basedOn w:val="1"/>
    <w:qFormat/>
    <w:uiPriority w:val="0"/>
    <w:pPr>
      <w:widowControl/>
      <w:spacing w:before="100" w:beforeAutospacing="1" w:after="100" w:afterAutospacing="1"/>
      <w:jc w:val="left"/>
    </w:pPr>
    <w:rPr>
      <w:rFonts w:ascii="宋体" w:hAnsi="宋体" w:eastAsia="宋体" w:cs="宋体"/>
      <w:b/>
      <w:bCs/>
      <w:kern w:val="0"/>
      <w:sz w:val="22"/>
    </w:rPr>
  </w:style>
  <w:style w:type="paragraph" w:customStyle="1" w:styleId="47">
    <w:name w:val="font6"/>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48">
    <w:name w:val="font7"/>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49">
    <w:name w:val="font8"/>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50">
    <w:name w:val="font9"/>
    <w:basedOn w:val="1"/>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51">
    <w:name w:val="font10"/>
    <w:basedOn w:val="1"/>
    <w:qFormat/>
    <w:uiPriority w:val="0"/>
    <w:pPr>
      <w:widowControl/>
      <w:spacing w:before="100" w:beforeAutospacing="1" w:after="100" w:afterAutospacing="1"/>
      <w:jc w:val="left"/>
    </w:pPr>
    <w:rPr>
      <w:rFonts w:ascii="宋体" w:hAnsi="宋体" w:eastAsia="宋体" w:cs="宋体"/>
      <w:color w:val="FF0000"/>
      <w:kern w:val="0"/>
      <w:sz w:val="22"/>
    </w:rPr>
  </w:style>
  <w:style w:type="paragraph" w:customStyle="1" w:styleId="52">
    <w:name w:val="font11"/>
    <w:basedOn w:val="1"/>
    <w:qFormat/>
    <w:uiPriority w:val="0"/>
    <w:pPr>
      <w:widowControl/>
      <w:spacing w:before="100" w:beforeAutospacing="1" w:after="100" w:afterAutospacing="1"/>
      <w:jc w:val="left"/>
    </w:pPr>
    <w:rPr>
      <w:rFonts w:ascii="Times New Roman" w:hAnsi="Times New Roman" w:eastAsia="宋体" w:cs="Times New Roman"/>
      <w:kern w:val="0"/>
      <w:sz w:val="16"/>
      <w:szCs w:val="16"/>
    </w:rPr>
  </w:style>
  <w:style w:type="paragraph" w:customStyle="1" w:styleId="53">
    <w:name w:val="font12"/>
    <w:basedOn w:val="1"/>
    <w:qFormat/>
    <w:uiPriority w:val="0"/>
    <w:pPr>
      <w:widowControl/>
      <w:spacing w:before="100" w:beforeAutospacing="1" w:after="100" w:afterAutospacing="1"/>
      <w:jc w:val="left"/>
    </w:pPr>
    <w:rPr>
      <w:rFonts w:ascii="Times New Roman" w:hAnsi="Times New Roman" w:eastAsia="宋体" w:cs="Times New Roman"/>
      <w:color w:val="FF0000"/>
      <w:kern w:val="0"/>
      <w:sz w:val="22"/>
    </w:rPr>
  </w:style>
  <w:style w:type="paragraph" w:customStyle="1" w:styleId="54">
    <w:name w:val="xl19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5">
    <w:name w:val="xl198"/>
    <w:basedOn w:val="1"/>
    <w:qFormat/>
    <w:uiPriority w:val="0"/>
    <w:pPr>
      <w:widowControl/>
      <w:spacing w:before="100" w:beforeAutospacing="1" w:after="100" w:afterAutospacing="1"/>
      <w:jc w:val="left"/>
    </w:pPr>
    <w:rPr>
      <w:rFonts w:ascii="方正仿宋简体" w:hAnsi="宋体" w:eastAsia="方正仿宋简体" w:cs="宋体"/>
      <w:kern w:val="0"/>
      <w:sz w:val="24"/>
      <w:szCs w:val="24"/>
    </w:rPr>
  </w:style>
  <w:style w:type="paragraph" w:customStyle="1" w:styleId="56">
    <w:name w:val="xl199"/>
    <w:basedOn w:val="1"/>
    <w:qFormat/>
    <w:uiPriority w:val="0"/>
    <w:pPr>
      <w:widowControl/>
      <w:spacing w:before="100" w:beforeAutospacing="1" w:after="100" w:afterAutospacing="1"/>
      <w:jc w:val="center"/>
    </w:pPr>
    <w:rPr>
      <w:rFonts w:ascii="宋体" w:hAnsi="宋体" w:eastAsia="宋体" w:cs="宋体"/>
      <w:b/>
      <w:bCs/>
      <w:kern w:val="0"/>
      <w:sz w:val="22"/>
    </w:rPr>
  </w:style>
  <w:style w:type="paragraph" w:customStyle="1" w:styleId="57">
    <w:name w:val="xl200"/>
    <w:basedOn w:val="1"/>
    <w:qFormat/>
    <w:uiPriority w:val="0"/>
    <w:pPr>
      <w:widowControl/>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58">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9">
    <w:name w:val="xl20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xl20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1">
    <w:name w:val="xl20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2">
    <w:name w:val="xl205"/>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63">
    <w:name w:val="xl206"/>
    <w:basedOn w:val="1"/>
    <w:qFormat/>
    <w:uiPriority w:val="0"/>
    <w:pPr>
      <w:widowControl/>
      <w:spacing w:before="100" w:beforeAutospacing="1" w:after="100" w:afterAutospacing="1"/>
      <w:jc w:val="center"/>
    </w:pPr>
    <w:rPr>
      <w:rFonts w:ascii="Times New Roman" w:hAnsi="Times New Roman" w:eastAsia="宋体" w:cs="Times New Roman"/>
      <w:kern w:val="0"/>
      <w:sz w:val="18"/>
      <w:szCs w:val="18"/>
    </w:rPr>
  </w:style>
  <w:style w:type="paragraph" w:customStyle="1" w:styleId="64">
    <w:name w:val="xl207"/>
    <w:basedOn w:val="1"/>
    <w:qFormat/>
    <w:uiPriority w:val="0"/>
    <w:pPr>
      <w:widowControl/>
      <w:spacing w:before="100" w:beforeAutospacing="1" w:after="100" w:afterAutospacing="1"/>
      <w:jc w:val="center"/>
    </w:pPr>
    <w:rPr>
      <w:rFonts w:ascii="Times New Roman" w:hAnsi="Times New Roman" w:eastAsia="宋体" w:cs="Times New Roman"/>
      <w:kern w:val="0"/>
      <w:sz w:val="18"/>
      <w:szCs w:val="18"/>
    </w:rPr>
  </w:style>
  <w:style w:type="paragraph" w:customStyle="1" w:styleId="65">
    <w:name w:val="xl208"/>
    <w:basedOn w:val="1"/>
    <w:qFormat/>
    <w:uiPriority w:val="0"/>
    <w:pPr>
      <w:widowControl/>
      <w:spacing w:before="100" w:beforeAutospacing="1" w:after="100" w:afterAutospacing="1"/>
      <w:jc w:val="left"/>
    </w:pPr>
    <w:rPr>
      <w:rFonts w:ascii="Times New Roman" w:hAnsi="Times New Roman" w:eastAsia="宋体" w:cs="Times New Roman"/>
      <w:kern w:val="0"/>
      <w:sz w:val="18"/>
      <w:szCs w:val="18"/>
    </w:rPr>
  </w:style>
  <w:style w:type="paragraph" w:customStyle="1" w:styleId="66">
    <w:name w:val="xl209"/>
    <w:basedOn w:val="1"/>
    <w:qFormat/>
    <w:uiPriority w:val="0"/>
    <w:pPr>
      <w:widowControl/>
      <w:spacing w:before="100" w:beforeAutospacing="1" w:after="100" w:afterAutospacing="1"/>
      <w:jc w:val="center"/>
    </w:pPr>
    <w:rPr>
      <w:rFonts w:ascii="Times New Roman" w:hAnsi="Times New Roman" w:eastAsia="宋体" w:cs="Times New Roman"/>
      <w:kern w:val="0"/>
      <w:sz w:val="18"/>
      <w:szCs w:val="18"/>
    </w:rPr>
  </w:style>
  <w:style w:type="paragraph" w:customStyle="1" w:styleId="67">
    <w:name w:val="xl210"/>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68">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6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70">
    <w:name w:val="xl21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1">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2">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3">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5">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7">
    <w:name w:val="xl22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78">
    <w:name w:val="xl2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7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8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81">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82">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83">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4">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5">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86">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87">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4"/>
      <w:szCs w:val="24"/>
    </w:rPr>
  </w:style>
  <w:style w:type="paragraph" w:customStyle="1" w:styleId="88">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4"/>
      <w:szCs w:val="24"/>
    </w:rPr>
  </w:style>
  <w:style w:type="paragraph" w:customStyle="1" w:styleId="89">
    <w:name w:val="xl232"/>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90">
    <w:name w:val="xl233"/>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91">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92">
    <w:name w:val="xl235"/>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2"/>
    </w:rPr>
  </w:style>
  <w:style w:type="paragraph" w:customStyle="1" w:styleId="93">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4"/>
      <w:szCs w:val="24"/>
    </w:rPr>
  </w:style>
  <w:style w:type="paragraph" w:customStyle="1" w:styleId="94">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2"/>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2"/>
    </w:rPr>
  </w:style>
  <w:style w:type="paragraph" w:customStyle="1" w:styleId="96">
    <w:name w:val="xl239"/>
    <w:basedOn w:val="1"/>
    <w:qFormat/>
    <w:uiPriority w:val="0"/>
    <w:pPr>
      <w:widowControl/>
      <w:spacing w:before="100" w:beforeAutospacing="1" w:after="100" w:afterAutospacing="1"/>
      <w:jc w:val="center"/>
    </w:pPr>
    <w:rPr>
      <w:rFonts w:ascii="Times New Roman" w:hAnsi="Times New Roman" w:eastAsia="宋体" w:cs="Times New Roman"/>
      <w:kern w:val="0"/>
      <w:sz w:val="24"/>
      <w:szCs w:val="24"/>
    </w:rPr>
  </w:style>
  <w:style w:type="paragraph" w:customStyle="1" w:styleId="97">
    <w:name w:val="xl2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98">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rPr>
  </w:style>
  <w:style w:type="paragraph" w:customStyle="1" w:styleId="99">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1">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02">
    <w:name w:val="xl245"/>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103">
    <w:name w:val="xl246"/>
    <w:basedOn w:val="1"/>
    <w:qFormat/>
    <w:uiPriority w:val="0"/>
    <w:pPr>
      <w:widowControl/>
      <w:spacing w:before="100" w:beforeAutospacing="1" w:after="100" w:afterAutospacing="1"/>
      <w:jc w:val="left"/>
    </w:pPr>
    <w:rPr>
      <w:rFonts w:ascii="方正小标宋简体" w:hAnsi="宋体" w:eastAsia="方正小标宋简体" w:cs="宋体"/>
      <w:kern w:val="0"/>
      <w:sz w:val="44"/>
      <w:szCs w:val="44"/>
    </w:rPr>
  </w:style>
  <w:style w:type="paragraph" w:customStyle="1" w:styleId="104">
    <w:name w:val="xl247"/>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105">
    <w:name w:val="xl24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6">
    <w:name w:val="xl24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07">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08">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09">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0">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11">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2">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3">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14">
    <w:name w:val="xl257"/>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5">
    <w:name w:val="xl258"/>
    <w:basedOn w:val="1"/>
    <w:qFormat/>
    <w:uiPriority w:val="0"/>
    <w:pPr>
      <w:widowControl/>
      <w:pBdr>
        <w:top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6">
    <w:name w:val="xl259"/>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7">
    <w:name w:val="xl260"/>
    <w:basedOn w:val="1"/>
    <w:qFormat/>
    <w:uiPriority w:val="0"/>
    <w:pPr>
      <w:widowControl/>
      <w:pBdr>
        <w:lef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18">
    <w:name w:val="xl261"/>
    <w:basedOn w:val="1"/>
    <w:qFormat/>
    <w:uiPriority w:val="0"/>
    <w:pPr>
      <w:widowControl/>
      <w:spacing w:before="100" w:beforeAutospacing="1" w:after="100" w:afterAutospacing="1"/>
      <w:jc w:val="center"/>
    </w:pPr>
    <w:rPr>
      <w:rFonts w:ascii="宋体" w:hAnsi="宋体" w:eastAsia="宋体" w:cs="宋体"/>
      <w:b/>
      <w:bCs/>
      <w:kern w:val="0"/>
      <w:sz w:val="22"/>
    </w:rPr>
  </w:style>
  <w:style w:type="paragraph" w:customStyle="1" w:styleId="119">
    <w:name w:val="xl262"/>
    <w:basedOn w:val="1"/>
    <w:qFormat/>
    <w:uiPriority w:val="0"/>
    <w:pPr>
      <w:widowControl/>
      <w:pBdr>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20">
    <w:name w:val="xl26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21">
    <w:name w:val="xl264"/>
    <w:basedOn w:val="1"/>
    <w:qFormat/>
    <w:uiPriority w:val="0"/>
    <w:pPr>
      <w:widowControl/>
      <w:pBdr>
        <w:bottom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22">
    <w:name w:val="xl26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123">
    <w:name w:val="xl266"/>
    <w:basedOn w:val="1"/>
    <w:qFormat/>
    <w:uiPriority w:val="0"/>
    <w:pPr>
      <w:widowControl/>
      <w:pBdr>
        <w:top w:val="single" w:color="auto" w:sz="4" w:space="0"/>
        <w:lef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4">
    <w:name w:val="xl267"/>
    <w:basedOn w:val="1"/>
    <w:qFormat/>
    <w:uiPriority w:val="0"/>
    <w:pPr>
      <w:widowControl/>
      <w:pBdr>
        <w:top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5">
    <w:name w:val="xl268"/>
    <w:basedOn w:val="1"/>
    <w:qFormat/>
    <w:uiPriority w:val="0"/>
    <w:pPr>
      <w:widowControl/>
      <w:pBdr>
        <w:lef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6">
    <w:name w:val="xl269"/>
    <w:basedOn w:val="1"/>
    <w:qFormat/>
    <w:uiPriority w:val="0"/>
    <w:pPr>
      <w:widowControl/>
      <w:pBdr>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7">
    <w:name w:val="xl270"/>
    <w:basedOn w:val="1"/>
    <w:qFormat/>
    <w:uiPriority w:val="0"/>
    <w:pPr>
      <w:widowControl/>
      <w:pBdr>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2"/>
    </w:rPr>
  </w:style>
  <w:style w:type="paragraph" w:customStyle="1" w:styleId="128">
    <w:name w:val="xl271"/>
    <w:basedOn w:val="1"/>
    <w:qFormat/>
    <w:uiPriority w:val="0"/>
    <w:pPr>
      <w:widowControl/>
      <w:pBdr>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2"/>
    </w:rPr>
  </w:style>
  <w:style w:type="character" w:customStyle="1" w:styleId="129">
    <w:name w:val="正文文本缩进 字符"/>
    <w:basedOn w:val="21"/>
    <w:semiHidden/>
    <w:qFormat/>
    <w:uiPriority w:val="99"/>
    <w:rPr>
      <w:rFonts w:asciiTheme="minorHAnsi" w:hAnsiTheme="minorHAnsi" w:eastAsiaTheme="minorEastAsia" w:cstheme="minorBidi"/>
      <w:kern w:val="2"/>
      <w:sz w:val="21"/>
      <w:szCs w:val="22"/>
    </w:rPr>
  </w:style>
  <w:style w:type="character" w:customStyle="1" w:styleId="130">
    <w:name w:val="正文文本首行缩进 2 字符"/>
    <w:basedOn w:val="129"/>
    <w:qFormat/>
    <w:uiPriority w:val="99"/>
    <w:rPr>
      <w:rFonts w:asciiTheme="minorHAnsi" w:hAnsiTheme="minorHAnsi" w:eastAsiaTheme="minorEastAsia" w:cstheme="minorBidi"/>
      <w:kern w:val="2"/>
      <w:sz w:val="21"/>
      <w:szCs w:val="22"/>
    </w:rPr>
  </w:style>
  <w:style w:type="character" w:customStyle="1" w:styleId="131">
    <w:name w:val="正文文本 字符"/>
    <w:basedOn w:val="21"/>
    <w:link w:val="9"/>
    <w:semiHidden/>
    <w:qFormat/>
    <w:uiPriority w:val="99"/>
    <w:rPr>
      <w:rFonts w:asciiTheme="minorHAnsi" w:hAnsiTheme="minorHAnsi" w:eastAsiaTheme="minorEastAsia" w:cstheme="minorBidi"/>
      <w:kern w:val="2"/>
      <w:sz w:val="21"/>
      <w:szCs w:val="22"/>
    </w:rPr>
  </w:style>
  <w:style w:type="paragraph" w:styleId="132">
    <w:name w:val="List Paragraph"/>
    <w:basedOn w:val="1"/>
    <w:qFormat/>
    <w:uiPriority w:val="99"/>
    <w:pPr>
      <w:ind w:firstLine="420" w:firstLineChars="200"/>
    </w:pPr>
  </w:style>
  <w:style w:type="paragraph" w:customStyle="1" w:styleId="133">
    <w:name w:val="正文文本首行缩进 21"/>
    <w:basedOn w:val="1"/>
    <w:next w:val="1"/>
    <w:qFormat/>
    <w:uiPriority w:val="0"/>
    <w:pPr>
      <w:spacing w:after="120"/>
      <w:ind w:left="420" w:leftChars="200"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112</Pages>
  <Words>10941</Words>
  <Characters>62369</Characters>
  <Lines>519</Lines>
  <Paragraphs>146</Paragraphs>
  <TotalTime>88</TotalTime>
  <ScaleCrop>false</ScaleCrop>
  <LinksUpToDate>false</LinksUpToDate>
  <CharactersWithSpaces>73164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2021-02-23T01:33:00Z</dcterms:created>
  <dc:creator>GDQD485</dc:creator>
  <cp:lastModifiedBy>user1</cp:lastModifiedBy>
  <cp:lastPrinted>2021-04-28T08:08:00Z</cp:lastPrinted>
  <dcterms:modified xsi:type="dcterms:W3CDTF">2025-06-27T09:47:39Z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88DCA6E8D25014FD2DF8096872CA9E3B</vt:lpwstr>
  </property>
</Properties>
</file>