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10514">
      <w:pPr>
        <w:pStyle w:val="14"/>
        <w:bidi w:val="0"/>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drawing>
          <wp:inline distT="0" distB="0" distL="114300" distR="114300">
            <wp:extent cx="5562600" cy="7915275"/>
            <wp:effectExtent l="0" t="0" r="0"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562600" cy="7915275"/>
                    </a:xfrm>
                    <a:prstGeom prst="rect">
                      <a:avLst/>
                    </a:prstGeom>
                    <a:noFill/>
                    <a:ln>
                      <a:noFill/>
                    </a:ln>
                  </pic:spPr>
                </pic:pic>
              </a:graphicData>
            </a:graphic>
          </wp:inline>
        </w:drawing>
      </w:r>
    </w:p>
    <w:p w14:paraId="3EA97E15">
      <w:pPr>
        <w:jc w:val="center"/>
      </w:pPr>
      <w:r>
        <w:rPr>
          <w:rFonts w:hint="eastAsia"/>
          <w:b/>
          <w:bCs/>
          <w:sz w:val="40"/>
          <w:szCs w:val="40"/>
        </w:rPr>
        <w:t>目录</w:t>
      </w:r>
    </w:p>
    <w:p w14:paraId="63B1316C">
      <w:pPr>
        <w:pStyle w:val="9"/>
        <w:tabs>
          <w:tab w:val="right" w:leader="dot" w:pos="9524"/>
        </w:tabs>
      </w:pPr>
      <w:r>
        <w:rPr>
          <w:rFonts w:hint="eastAsia"/>
        </w:rPr>
        <w:fldChar w:fldCharType="begin"/>
      </w:r>
      <w:r>
        <w:rPr>
          <w:rFonts w:hint="eastAsia"/>
        </w:rPr>
        <w:instrText xml:space="preserve">TOC \o "1-1" \h \u </w:instrText>
      </w:r>
      <w:r>
        <w:rPr>
          <w:rFonts w:hint="eastAsia"/>
        </w:rPr>
        <w:fldChar w:fldCharType="separate"/>
      </w:r>
      <w:r>
        <w:rPr>
          <w:rFonts w:hint="eastAsia"/>
        </w:rPr>
        <w:fldChar w:fldCharType="begin"/>
      </w:r>
      <w:r>
        <w:rPr>
          <w:rFonts w:hint="eastAsia"/>
        </w:rPr>
        <w:instrText xml:space="preserve"> HYPERLINK \l _Toc29454 </w:instrText>
      </w:r>
      <w:r>
        <w:rPr>
          <w:rFonts w:hint="eastAsia"/>
        </w:rPr>
        <w:fldChar w:fldCharType="separate"/>
      </w:r>
      <w:r>
        <w:rPr>
          <w:rFonts w:hint="eastAsia" w:ascii="黑体" w:hAnsi="黑体" w:eastAsia="黑体"/>
          <w:snapToGrid w:val="0"/>
          <w:szCs w:val="30"/>
        </w:rPr>
        <w:t>一、建设项目基本情况</w:t>
      </w:r>
      <w:r>
        <w:tab/>
      </w:r>
      <w:r>
        <w:fldChar w:fldCharType="begin"/>
      </w:r>
      <w:r>
        <w:instrText xml:space="preserve"> PAGEREF _Toc29454 \h </w:instrText>
      </w:r>
      <w:r>
        <w:fldChar w:fldCharType="separate"/>
      </w:r>
      <w:r>
        <w:t>1</w:t>
      </w:r>
      <w:r>
        <w:fldChar w:fldCharType="end"/>
      </w:r>
      <w:r>
        <w:rPr>
          <w:rFonts w:hint="eastAsia"/>
        </w:rPr>
        <w:fldChar w:fldCharType="end"/>
      </w:r>
    </w:p>
    <w:p w14:paraId="0BB7F2AF">
      <w:pPr>
        <w:pStyle w:val="9"/>
        <w:tabs>
          <w:tab w:val="right" w:leader="dot" w:pos="9524"/>
        </w:tabs>
      </w:pPr>
      <w:r>
        <w:rPr>
          <w:rFonts w:hint="eastAsia"/>
        </w:rPr>
        <w:fldChar w:fldCharType="begin"/>
      </w:r>
      <w:r>
        <w:rPr>
          <w:rFonts w:hint="eastAsia"/>
        </w:rPr>
        <w:instrText xml:space="preserve"> HYPERLINK \l _Toc7900 </w:instrText>
      </w:r>
      <w:r>
        <w:rPr>
          <w:rFonts w:hint="eastAsia"/>
        </w:rPr>
        <w:fldChar w:fldCharType="separate"/>
      </w:r>
      <w:r>
        <w:rPr>
          <w:rFonts w:hint="eastAsia" w:ascii="黑体" w:hAnsi="黑体" w:eastAsia="黑体"/>
          <w:snapToGrid w:val="0"/>
          <w:szCs w:val="30"/>
        </w:rPr>
        <w:t>二、建设项目工程分析</w:t>
      </w:r>
      <w:r>
        <w:tab/>
      </w:r>
      <w:r>
        <w:fldChar w:fldCharType="begin"/>
      </w:r>
      <w:r>
        <w:instrText xml:space="preserve"> PAGEREF _Toc7900 \h </w:instrText>
      </w:r>
      <w:r>
        <w:fldChar w:fldCharType="separate"/>
      </w:r>
      <w:r>
        <w:t>7</w:t>
      </w:r>
      <w:r>
        <w:fldChar w:fldCharType="end"/>
      </w:r>
      <w:r>
        <w:rPr>
          <w:rFonts w:hint="eastAsia"/>
        </w:rPr>
        <w:fldChar w:fldCharType="end"/>
      </w:r>
    </w:p>
    <w:p w14:paraId="41F293A6">
      <w:pPr>
        <w:pStyle w:val="9"/>
        <w:tabs>
          <w:tab w:val="right" w:leader="dot" w:pos="9524"/>
        </w:tabs>
      </w:pPr>
      <w:r>
        <w:rPr>
          <w:rFonts w:hint="eastAsia"/>
        </w:rPr>
        <w:fldChar w:fldCharType="begin"/>
      </w:r>
      <w:r>
        <w:rPr>
          <w:rFonts w:hint="eastAsia"/>
        </w:rPr>
        <w:instrText xml:space="preserve"> HYPERLINK \l _Toc8465 </w:instrText>
      </w:r>
      <w:r>
        <w:rPr>
          <w:rFonts w:hint="eastAsia"/>
        </w:rP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_Toc8465 \h </w:instrText>
      </w:r>
      <w:r>
        <w:fldChar w:fldCharType="separate"/>
      </w:r>
      <w:r>
        <w:t>30</w:t>
      </w:r>
      <w:r>
        <w:fldChar w:fldCharType="end"/>
      </w:r>
      <w:r>
        <w:rPr>
          <w:rFonts w:hint="eastAsia"/>
        </w:rPr>
        <w:fldChar w:fldCharType="end"/>
      </w:r>
    </w:p>
    <w:p w14:paraId="00DE2C25">
      <w:pPr>
        <w:pStyle w:val="9"/>
        <w:tabs>
          <w:tab w:val="right" w:leader="dot" w:pos="9524"/>
        </w:tabs>
      </w:pPr>
      <w:r>
        <w:rPr>
          <w:rFonts w:hint="eastAsia"/>
        </w:rPr>
        <w:fldChar w:fldCharType="begin"/>
      </w:r>
      <w:r>
        <w:rPr>
          <w:rFonts w:hint="eastAsia"/>
        </w:rPr>
        <w:instrText xml:space="preserve"> HYPERLINK \l _Toc6409 </w:instrText>
      </w:r>
      <w:r>
        <w:rPr>
          <w:rFonts w:hint="eastAsia"/>
        </w:rPr>
        <w:fldChar w:fldCharType="separate"/>
      </w:r>
      <w:r>
        <w:rPr>
          <w:rFonts w:hint="eastAsia" w:ascii="黑体" w:hAnsi="黑体" w:eastAsia="黑体"/>
          <w:snapToGrid w:val="0"/>
          <w:szCs w:val="30"/>
        </w:rPr>
        <w:t>四、主要环境影响和保护措施</w:t>
      </w:r>
      <w:r>
        <w:tab/>
      </w:r>
      <w:r>
        <w:fldChar w:fldCharType="begin"/>
      </w:r>
      <w:r>
        <w:instrText xml:space="preserve"> PAGEREF _Toc6409 \h </w:instrText>
      </w:r>
      <w:r>
        <w:fldChar w:fldCharType="separate"/>
      </w:r>
      <w:r>
        <w:t>35</w:t>
      </w:r>
      <w:r>
        <w:fldChar w:fldCharType="end"/>
      </w:r>
      <w:r>
        <w:rPr>
          <w:rFonts w:hint="eastAsia"/>
        </w:rPr>
        <w:fldChar w:fldCharType="end"/>
      </w:r>
    </w:p>
    <w:p w14:paraId="6FE06FFB">
      <w:pPr>
        <w:pStyle w:val="9"/>
        <w:tabs>
          <w:tab w:val="right" w:leader="dot" w:pos="9524"/>
        </w:tabs>
      </w:pPr>
      <w:r>
        <w:rPr>
          <w:rFonts w:hint="eastAsia"/>
        </w:rPr>
        <w:fldChar w:fldCharType="begin"/>
      </w:r>
      <w:r>
        <w:rPr>
          <w:rFonts w:hint="eastAsia"/>
        </w:rPr>
        <w:instrText xml:space="preserve"> HYPERLINK \l _Toc18183 </w:instrText>
      </w:r>
      <w:r>
        <w:rPr>
          <w:rFonts w:hint="eastAsia"/>
        </w:rPr>
        <w:fldChar w:fldCharType="separate"/>
      </w:r>
      <w:r>
        <w:rPr>
          <w:rFonts w:hint="eastAsia" w:ascii="黑体" w:hAnsi="黑体" w:eastAsia="黑体"/>
          <w:snapToGrid w:val="0"/>
          <w:szCs w:val="30"/>
        </w:rPr>
        <w:t>五、环境保护措施监督检查清单</w:t>
      </w:r>
      <w:r>
        <w:tab/>
      </w:r>
      <w:r>
        <w:fldChar w:fldCharType="begin"/>
      </w:r>
      <w:r>
        <w:instrText xml:space="preserve"> PAGEREF _Toc18183 \h </w:instrText>
      </w:r>
      <w:r>
        <w:fldChar w:fldCharType="separate"/>
      </w:r>
      <w:r>
        <w:t>77</w:t>
      </w:r>
      <w:r>
        <w:fldChar w:fldCharType="end"/>
      </w:r>
      <w:r>
        <w:rPr>
          <w:rFonts w:hint="eastAsia"/>
        </w:rPr>
        <w:fldChar w:fldCharType="end"/>
      </w:r>
    </w:p>
    <w:p w14:paraId="77D95A7B">
      <w:pPr>
        <w:pStyle w:val="9"/>
        <w:tabs>
          <w:tab w:val="right" w:leader="dot" w:pos="9524"/>
        </w:tabs>
      </w:pPr>
      <w:r>
        <w:rPr>
          <w:rFonts w:hint="eastAsia"/>
        </w:rPr>
        <w:fldChar w:fldCharType="begin"/>
      </w:r>
      <w:r>
        <w:rPr>
          <w:rFonts w:hint="eastAsia"/>
        </w:rPr>
        <w:instrText xml:space="preserve"> HYPERLINK \l _Toc1611 </w:instrText>
      </w:r>
      <w:r>
        <w:rPr>
          <w:rFonts w:hint="eastAsia"/>
        </w:rPr>
        <w:fldChar w:fldCharType="separate"/>
      </w:r>
      <w:r>
        <w:rPr>
          <w:rFonts w:hint="eastAsia" w:ascii="黑体" w:hAnsi="黑体" w:eastAsia="黑体"/>
          <w:snapToGrid w:val="0"/>
          <w:szCs w:val="30"/>
        </w:rPr>
        <w:t>六、结论</w:t>
      </w:r>
      <w:r>
        <w:tab/>
      </w:r>
      <w:r>
        <w:fldChar w:fldCharType="begin"/>
      </w:r>
      <w:r>
        <w:instrText xml:space="preserve"> PAGEREF _Toc1611 \h </w:instrText>
      </w:r>
      <w:r>
        <w:fldChar w:fldCharType="separate"/>
      </w:r>
      <w:r>
        <w:t>79</w:t>
      </w:r>
      <w:r>
        <w:fldChar w:fldCharType="end"/>
      </w:r>
      <w:r>
        <w:rPr>
          <w:rFonts w:hint="eastAsia"/>
        </w:rPr>
        <w:fldChar w:fldCharType="end"/>
      </w:r>
    </w:p>
    <w:p w14:paraId="7BCCC77B">
      <w:pPr>
        <w:pStyle w:val="9"/>
        <w:tabs>
          <w:tab w:val="right" w:leader="dot" w:pos="9524"/>
        </w:tabs>
      </w:pPr>
      <w:r>
        <w:rPr>
          <w:rFonts w:hint="eastAsia"/>
        </w:rPr>
        <w:fldChar w:fldCharType="begin"/>
      </w:r>
      <w:r>
        <w:rPr>
          <w:rFonts w:hint="eastAsia"/>
        </w:rPr>
        <w:instrText xml:space="preserve"> HYPERLINK \l _Toc3063 </w:instrText>
      </w:r>
      <w:r>
        <w:rPr>
          <w:rFonts w:hint="eastAsia"/>
        </w:rPr>
        <w:fldChar w:fldCharType="separate"/>
      </w:r>
      <w:r>
        <w:rPr>
          <w:rFonts w:hint="eastAsia" w:ascii="黑体" w:hAnsi="黑体" w:eastAsia="黑体"/>
          <w:snapToGrid w:val="0"/>
          <w:szCs w:val="32"/>
        </w:rPr>
        <w:t>附表</w:t>
      </w:r>
      <w:r>
        <w:tab/>
      </w:r>
      <w:r>
        <w:fldChar w:fldCharType="begin"/>
      </w:r>
      <w:r>
        <w:instrText xml:space="preserve"> PAGEREF _Toc3063 \h </w:instrText>
      </w:r>
      <w:r>
        <w:fldChar w:fldCharType="separate"/>
      </w:r>
      <w:r>
        <w:t>80</w:t>
      </w:r>
      <w:r>
        <w:fldChar w:fldCharType="end"/>
      </w:r>
      <w:r>
        <w:rPr>
          <w:rFonts w:hint="eastAsia"/>
        </w:rPr>
        <w:fldChar w:fldCharType="end"/>
      </w:r>
    </w:p>
    <w:p w14:paraId="248002B2">
      <w:pPr>
        <w:pStyle w:val="9"/>
        <w:tabs>
          <w:tab w:val="right" w:leader="dot" w:pos="9524"/>
        </w:tabs>
      </w:pPr>
    </w:p>
    <w:p w14:paraId="7B7036F0">
      <w:pPr>
        <w:pStyle w:val="9"/>
        <w:tabs>
          <w:tab w:val="right" w:leader="dot" w:pos="9524"/>
        </w:tabs>
      </w:pPr>
      <w:r>
        <w:rPr>
          <w:rFonts w:hint="eastAsia"/>
        </w:rPr>
        <w:fldChar w:fldCharType="begin"/>
      </w:r>
      <w:r>
        <w:rPr>
          <w:rFonts w:hint="eastAsia"/>
        </w:rPr>
        <w:instrText xml:space="preserve"> HYPERLINK \l _Toc20422 </w:instrText>
      </w:r>
      <w:r>
        <w:rPr>
          <w:rFonts w:hint="eastAsia"/>
        </w:rPr>
        <w:fldChar w:fldCharType="separate"/>
      </w:r>
      <w:r>
        <w:rPr>
          <w:rFonts w:hint="eastAsia" w:eastAsia="宋体"/>
          <w:bCs/>
          <w:szCs w:val="44"/>
        </w:rPr>
        <w:t>环境风险影响专项评价</w:t>
      </w:r>
      <w:r>
        <w:tab/>
      </w:r>
      <w:r>
        <w:fldChar w:fldCharType="begin"/>
      </w:r>
      <w:r>
        <w:instrText xml:space="preserve"> PAGEREF _Toc20422 \h </w:instrText>
      </w:r>
      <w:r>
        <w:fldChar w:fldCharType="separate"/>
      </w:r>
      <w:r>
        <w:t>138</w:t>
      </w:r>
      <w:r>
        <w:fldChar w:fldCharType="end"/>
      </w:r>
      <w:r>
        <w:rPr>
          <w:rFonts w:hint="eastAsia"/>
        </w:rPr>
        <w:fldChar w:fldCharType="end"/>
      </w:r>
    </w:p>
    <w:p w14:paraId="480B6486">
      <w:pPr>
        <w:pStyle w:val="9"/>
        <w:tabs>
          <w:tab w:val="right" w:leader="dot" w:pos="9524"/>
        </w:tabs>
      </w:pPr>
      <w:r>
        <w:rPr>
          <w:rFonts w:hint="eastAsia"/>
        </w:rPr>
        <w:fldChar w:fldCharType="begin"/>
      </w:r>
      <w:r>
        <w:rPr>
          <w:rFonts w:hint="eastAsia"/>
        </w:rPr>
        <w:instrText xml:space="preserve"> HYPERLINK \l _Toc1203 </w:instrText>
      </w:r>
      <w:r>
        <w:rPr>
          <w:rFonts w:hint="eastAsia"/>
        </w:rPr>
        <w:fldChar w:fldCharType="separate"/>
      </w:r>
      <w:r>
        <w:rPr>
          <w:rFonts w:hint="eastAsia"/>
          <w:lang w:val="en-US" w:eastAsia="zh-CN"/>
        </w:rPr>
        <w:t>1前言</w:t>
      </w:r>
      <w:r>
        <w:tab/>
      </w:r>
      <w:r>
        <w:fldChar w:fldCharType="begin"/>
      </w:r>
      <w:r>
        <w:instrText xml:space="preserve"> PAGEREF _Toc1203 \h </w:instrText>
      </w:r>
      <w:r>
        <w:fldChar w:fldCharType="separate"/>
      </w:r>
      <w:r>
        <w:t>139</w:t>
      </w:r>
      <w:r>
        <w:fldChar w:fldCharType="end"/>
      </w:r>
      <w:r>
        <w:rPr>
          <w:rFonts w:hint="eastAsia"/>
        </w:rPr>
        <w:fldChar w:fldCharType="end"/>
      </w:r>
    </w:p>
    <w:p w14:paraId="189B4A0F">
      <w:pPr>
        <w:pStyle w:val="9"/>
        <w:tabs>
          <w:tab w:val="right" w:leader="dot" w:pos="9524"/>
        </w:tabs>
      </w:pPr>
      <w:r>
        <w:rPr>
          <w:rFonts w:hint="eastAsia"/>
        </w:rPr>
        <w:fldChar w:fldCharType="begin"/>
      </w:r>
      <w:r>
        <w:rPr>
          <w:rFonts w:hint="eastAsia"/>
        </w:rPr>
        <w:instrText xml:space="preserve"> HYPERLINK \l _Toc8889 </w:instrText>
      </w:r>
      <w:r>
        <w:rPr>
          <w:rFonts w:hint="eastAsia"/>
        </w:rPr>
        <w:fldChar w:fldCharType="separate"/>
      </w:r>
      <w:r>
        <w:rPr>
          <w:rFonts w:hint="eastAsia"/>
          <w:lang w:val="en-US" w:eastAsia="zh-CN"/>
        </w:rPr>
        <w:t>2风险调查</w:t>
      </w:r>
      <w:r>
        <w:tab/>
      </w:r>
      <w:r>
        <w:fldChar w:fldCharType="begin"/>
      </w:r>
      <w:r>
        <w:instrText xml:space="preserve"> PAGEREF _Toc8889 \h </w:instrText>
      </w:r>
      <w:r>
        <w:fldChar w:fldCharType="separate"/>
      </w:r>
      <w:r>
        <w:t>142</w:t>
      </w:r>
      <w:r>
        <w:fldChar w:fldCharType="end"/>
      </w:r>
      <w:r>
        <w:rPr>
          <w:rFonts w:hint="eastAsia"/>
        </w:rPr>
        <w:fldChar w:fldCharType="end"/>
      </w:r>
    </w:p>
    <w:p w14:paraId="6C126CC6">
      <w:pPr>
        <w:pStyle w:val="9"/>
        <w:tabs>
          <w:tab w:val="right" w:leader="dot" w:pos="9524"/>
        </w:tabs>
      </w:pPr>
      <w:r>
        <w:rPr>
          <w:rFonts w:hint="eastAsia"/>
        </w:rPr>
        <w:fldChar w:fldCharType="begin"/>
      </w:r>
      <w:r>
        <w:rPr>
          <w:rFonts w:hint="eastAsia"/>
        </w:rPr>
        <w:instrText xml:space="preserve"> HYPERLINK \l _Toc17649 </w:instrText>
      </w:r>
      <w:r>
        <w:rPr>
          <w:rFonts w:hint="eastAsia"/>
        </w:rPr>
        <w:fldChar w:fldCharType="separate"/>
      </w:r>
      <w:r>
        <w:rPr>
          <w:rFonts w:hint="eastAsia" w:ascii="Times New Roman" w:hAnsi="Times New Roman" w:eastAsia="宋体" w:cs="Times New Roman"/>
          <w:kern w:val="44"/>
          <w:szCs w:val="24"/>
          <w:lang w:val="en-US" w:eastAsia="zh-CN" w:bidi="ar-SA"/>
        </w:rPr>
        <w:t>3风险潜势初判</w:t>
      </w:r>
      <w:r>
        <w:tab/>
      </w:r>
      <w:r>
        <w:fldChar w:fldCharType="begin"/>
      </w:r>
      <w:r>
        <w:instrText xml:space="preserve"> PAGEREF _Toc17649 \h </w:instrText>
      </w:r>
      <w:r>
        <w:fldChar w:fldCharType="separate"/>
      </w:r>
      <w:r>
        <w:t>143</w:t>
      </w:r>
      <w:r>
        <w:fldChar w:fldCharType="end"/>
      </w:r>
      <w:r>
        <w:rPr>
          <w:rFonts w:hint="eastAsia"/>
        </w:rPr>
        <w:fldChar w:fldCharType="end"/>
      </w:r>
    </w:p>
    <w:p w14:paraId="2A535010">
      <w:pPr>
        <w:pStyle w:val="9"/>
        <w:tabs>
          <w:tab w:val="right" w:leader="dot" w:pos="9524"/>
        </w:tabs>
      </w:pPr>
      <w:r>
        <w:rPr>
          <w:rFonts w:hint="eastAsia"/>
        </w:rPr>
        <w:fldChar w:fldCharType="begin"/>
      </w:r>
      <w:r>
        <w:rPr>
          <w:rFonts w:hint="eastAsia"/>
        </w:rPr>
        <w:instrText xml:space="preserve"> HYPERLINK \l _Toc4445 </w:instrText>
      </w:r>
      <w:r>
        <w:rPr>
          <w:rFonts w:hint="eastAsia"/>
        </w:rPr>
        <w:fldChar w:fldCharType="separate"/>
      </w:r>
      <w:r>
        <w:rPr>
          <w:rFonts w:hint="eastAsia"/>
          <w:lang w:val="en-US" w:eastAsia="zh-CN"/>
        </w:rPr>
        <w:t>4</w:t>
      </w:r>
      <w:r>
        <w:rPr>
          <w:rFonts w:hint="eastAsia"/>
        </w:rPr>
        <w:t>环境风险识别</w:t>
      </w:r>
      <w:r>
        <w:tab/>
      </w:r>
      <w:r>
        <w:fldChar w:fldCharType="begin"/>
      </w:r>
      <w:r>
        <w:instrText xml:space="preserve"> PAGEREF _Toc4445 \h </w:instrText>
      </w:r>
      <w:r>
        <w:fldChar w:fldCharType="separate"/>
      </w:r>
      <w:r>
        <w:t>152</w:t>
      </w:r>
      <w:r>
        <w:fldChar w:fldCharType="end"/>
      </w:r>
      <w:r>
        <w:rPr>
          <w:rFonts w:hint="eastAsia"/>
        </w:rPr>
        <w:fldChar w:fldCharType="end"/>
      </w:r>
    </w:p>
    <w:p w14:paraId="4960006D">
      <w:pPr>
        <w:pStyle w:val="9"/>
        <w:tabs>
          <w:tab w:val="right" w:leader="dot" w:pos="9524"/>
        </w:tabs>
      </w:pPr>
      <w:r>
        <w:rPr>
          <w:rFonts w:hint="eastAsia"/>
        </w:rPr>
        <w:fldChar w:fldCharType="begin"/>
      </w:r>
      <w:r>
        <w:rPr>
          <w:rFonts w:hint="eastAsia"/>
        </w:rPr>
        <w:instrText xml:space="preserve"> HYPERLINK \l _Toc23309 </w:instrText>
      </w:r>
      <w:r>
        <w:rPr>
          <w:rFonts w:hint="eastAsia"/>
        </w:rPr>
        <w:fldChar w:fldCharType="separate"/>
      </w:r>
      <w:r>
        <w:rPr>
          <w:rFonts w:hint="eastAsia"/>
          <w:lang w:val="en-US" w:eastAsia="zh-CN"/>
        </w:rPr>
        <w:t>5风险事故情形分析</w:t>
      </w:r>
      <w:r>
        <w:tab/>
      </w:r>
      <w:r>
        <w:fldChar w:fldCharType="begin"/>
      </w:r>
      <w:r>
        <w:instrText xml:space="preserve"> PAGEREF _Toc23309 \h </w:instrText>
      </w:r>
      <w:r>
        <w:fldChar w:fldCharType="separate"/>
      </w:r>
      <w:r>
        <w:t>157</w:t>
      </w:r>
      <w:r>
        <w:fldChar w:fldCharType="end"/>
      </w:r>
      <w:r>
        <w:rPr>
          <w:rFonts w:hint="eastAsia"/>
        </w:rPr>
        <w:fldChar w:fldCharType="end"/>
      </w:r>
    </w:p>
    <w:p w14:paraId="2EFC70D4">
      <w:pPr>
        <w:pStyle w:val="9"/>
        <w:tabs>
          <w:tab w:val="right" w:leader="dot" w:pos="9524"/>
        </w:tabs>
      </w:pPr>
      <w:r>
        <w:rPr>
          <w:rFonts w:hint="eastAsia"/>
        </w:rPr>
        <w:fldChar w:fldCharType="begin"/>
      </w:r>
      <w:r>
        <w:rPr>
          <w:rFonts w:hint="eastAsia"/>
        </w:rPr>
        <w:instrText xml:space="preserve"> HYPERLINK \l _Toc22675 </w:instrText>
      </w:r>
      <w:r>
        <w:rPr>
          <w:rFonts w:hint="eastAsia"/>
        </w:rPr>
        <w:fldChar w:fldCharType="separate"/>
      </w:r>
      <w:r>
        <w:rPr>
          <w:rFonts w:hint="eastAsia"/>
          <w:lang w:val="en-US" w:eastAsia="zh-CN"/>
        </w:rPr>
        <w:t>6风险预测与评价</w:t>
      </w:r>
      <w:r>
        <w:tab/>
      </w:r>
      <w:r>
        <w:fldChar w:fldCharType="begin"/>
      </w:r>
      <w:r>
        <w:instrText xml:space="preserve"> PAGEREF _Toc22675 \h </w:instrText>
      </w:r>
      <w:r>
        <w:fldChar w:fldCharType="separate"/>
      </w:r>
      <w:r>
        <w:t>171</w:t>
      </w:r>
      <w:r>
        <w:fldChar w:fldCharType="end"/>
      </w:r>
      <w:r>
        <w:rPr>
          <w:rFonts w:hint="eastAsia"/>
        </w:rPr>
        <w:fldChar w:fldCharType="end"/>
      </w:r>
    </w:p>
    <w:p w14:paraId="61781E11">
      <w:pPr>
        <w:pStyle w:val="9"/>
        <w:tabs>
          <w:tab w:val="right" w:leader="dot" w:pos="9524"/>
        </w:tabs>
      </w:pPr>
      <w:r>
        <w:rPr>
          <w:rFonts w:hint="eastAsia"/>
        </w:rPr>
        <w:fldChar w:fldCharType="begin"/>
      </w:r>
      <w:r>
        <w:rPr>
          <w:rFonts w:hint="eastAsia"/>
        </w:rPr>
        <w:instrText xml:space="preserve"> HYPERLINK \l _Toc23023 </w:instrText>
      </w:r>
      <w:r>
        <w:rPr>
          <w:rFonts w:hint="eastAsia"/>
        </w:rPr>
        <w:fldChar w:fldCharType="separate"/>
      </w:r>
      <w:r>
        <w:rPr>
          <w:rFonts w:hint="eastAsia"/>
          <w:lang w:val="en-US" w:eastAsia="zh-CN"/>
        </w:rPr>
        <w:t>7环境风险管理</w:t>
      </w:r>
      <w:r>
        <w:tab/>
      </w:r>
      <w:r>
        <w:fldChar w:fldCharType="begin"/>
      </w:r>
      <w:r>
        <w:instrText xml:space="preserve"> PAGEREF _Toc23023 \h </w:instrText>
      </w:r>
      <w:r>
        <w:fldChar w:fldCharType="separate"/>
      </w:r>
      <w:r>
        <w:t>193</w:t>
      </w:r>
      <w:r>
        <w:fldChar w:fldCharType="end"/>
      </w:r>
      <w:r>
        <w:rPr>
          <w:rFonts w:hint="eastAsia"/>
        </w:rPr>
        <w:fldChar w:fldCharType="end"/>
      </w:r>
    </w:p>
    <w:p w14:paraId="13E95BF1">
      <w:pPr>
        <w:pStyle w:val="9"/>
        <w:tabs>
          <w:tab w:val="right" w:leader="dot" w:pos="9524"/>
        </w:tabs>
      </w:pPr>
      <w:r>
        <w:rPr>
          <w:rFonts w:hint="eastAsia"/>
        </w:rPr>
        <w:fldChar w:fldCharType="begin"/>
      </w:r>
      <w:r>
        <w:rPr>
          <w:rFonts w:hint="eastAsia"/>
        </w:rPr>
        <w:instrText xml:space="preserve"> HYPERLINK \l _Toc2822 </w:instrText>
      </w:r>
      <w:r>
        <w:rPr>
          <w:rFonts w:hint="eastAsia"/>
        </w:rPr>
        <w:fldChar w:fldCharType="separate"/>
      </w:r>
      <w:r>
        <w:rPr>
          <w:rFonts w:hint="eastAsia"/>
          <w:lang w:val="en-US" w:eastAsia="zh-CN"/>
        </w:rPr>
        <w:t>8评价结论与建议</w:t>
      </w:r>
      <w:r>
        <w:tab/>
      </w:r>
      <w:r>
        <w:fldChar w:fldCharType="begin"/>
      </w:r>
      <w:r>
        <w:instrText xml:space="preserve"> PAGEREF _Toc2822 \h </w:instrText>
      </w:r>
      <w:r>
        <w:fldChar w:fldCharType="separate"/>
      </w:r>
      <w:r>
        <w:t>199</w:t>
      </w:r>
      <w:r>
        <w:fldChar w:fldCharType="end"/>
      </w:r>
      <w:r>
        <w:rPr>
          <w:rFonts w:hint="eastAsia"/>
        </w:rPr>
        <w:fldChar w:fldCharType="end"/>
      </w:r>
    </w:p>
    <w:p w14:paraId="1F2E358A">
      <w:pPr>
        <w:pStyle w:val="9"/>
        <w:tabs>
          <w:tab w:val="right" w:leader="dot" w:pos="9524"/>
        </w:tabs>
      </w:pPr>
      <w:r>
        <w:rPr>
          <w:rFonts w:hint="eastAsia"/>
        </w:rPr>
        <w:fldChar w:fldCharType="begin"/>
      </w:r>
      <w:r>
        <w:rPr>
          <w:rFonts w:hint="eastAsia"/>
        </w:rPr>
        <w:instrText xml:space="preserve"> HYPERLINK \l _Toc12141 </w:instrText>
      </w:r>
      <w:r>
        <w:rPr>
          <w:rFonts w:hint="eastAsia"/>
        </w:rPr>
        <w:fldChar w:fldCharType="separate"/>
      </w:r>
      <w:r>
        <w:rPr>
          <w:rFonts w:hint="eastAsia"/>
          <w:lang w:val="en-US" w:eastAsia="zh-CN"/>
        </w:rPr>
        <w:t>9</w:t>
      </w:r>
      <w:r>
        <w:rPr>
          <w:rFonts w:hint="eastAsia"/>
        </w:rPr>
        <w:t>环境风险评价自查表</w:t>
      </w:r>
      <w:r>
        <w:tab/>
      </w:r>
      <w:r>
        <w:fldChar w:fldCharType="begin"/>
      </w:r>
      <w:r>
        <w:instrText xml:space="preserve"> PAGEREF _Toc12141 \h </w:instrText>
      </w:r>
      <w:r>
        <w:fldChar w:fldCharType="separate"/>
      </w:r>
      <w:r>
        <w:t>203</w:t>
      </w:r>
      <w:r>
        <w:fldChar w:fldCharType="end"/>
      </w:r>
      <w:r>
        <w:rPr>
          <w:rFonts w:hint="eastAsia"/>
        </w:rPr>
        <w:fldChar w:fldCharType="end"/>
      </w:r>
    </w:p>
    <w:p w14:paraId="45F38AF6">
      <w:pPr>
        <w:jc w:val="center"/>
      </w:pPr>
      <w:r>
        <w:rPr>
          <w:rFonts w:hint="eastAsia"/>
        </w:rPr>
        <w:fldChar w:fldCharType="end"/>
      </w:r>
      <w:bookmarkStart w:id="31" w:name="_GoBack"/>
      <w:bookmarkEnd w:id="31"/>
    </w:p>
    <w:p w14:paraId="4DE67E02">
      <w:pPr>
        <w:jc w:val="center"/>
        <w:sectPr>
          <w:footerReference r:id="rId6" w:type="default"/>
          <w:pgSz w:w="11906" w:h="16838"/>
          <w:pgMar w:top="1191" w:right="1191" w:bottom="1191" w:left="1191"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191B0774">
      <w:pPr>
        <w:widowControl/>
        <w:spacing w:line="240" w:lineRule="atLeast"/>
        <w:jc w:val="center"/>
        <w:outlineLvl w:val="0"/>
        <w:rPr>
          <w:rFonts w:ascii="黑体" w:hAnsi="黑体" w:eastAsia="黑体"/>
          <w:snapToGrid w:val="0"/>
          <w:sz w:val="30"/>
          <w:szCs w:val="30"/>
        </w:rPr>
      </w:pPr>
      <w:bookmarkStart w:id="0" w:name="_Toc29454"/>
      <w:r>
        <w:rPr>
          <w:rFonts w:hint="eastAsia" w:ascii="黑体" w:hAnsi="黑体" w:eastAsia="黑体"/>
          <w:snapToGrid w:val="0"/>
          <w:sz w:val="30"/>
          <w:szCs w:val="30"/>
        </w:rPr>
        <w:t>一、建设项目基本情况</w:t>
      </w:r>
      <w:bookmarkEnd w:id="0"/>
    </w:p>
    <w:tbl>
      <w:tblPr>
        <w:tblStyle w:val="11"/>
        <w:tblW w:w="102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723"/>
        <w:gridCol w:w="1451"/>
        <w:gridCol w:w="2527"/>
        <w:gridCol w:w="2252"/>
        <w:gridCol w:w="3279"/>
      </w:tblGrid>
      <w:tr w14:paraId="5B7A5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1C754B13">
            <w:pPr>
              <w:adjustRightInd w:val="0"/>
              <w:snapToGrid w:val="0"/>
              <w:spacing w:line="240" w:lineRule="auto"/>
              <w:jc w:val="center"/>
              <w:rPr>
                <w:szCs w:val="21"/>
              </w:rPr>
            </w:pPr>
            <w:r>
              <w:rPr>
                <w:szCs w:val="21"/>
              </w:rPr>
              <w:t>建设项目名称</w:t>
            </w:r>
          </w:p>
        </w:tc>
        <w:tc>
          <w:tcPr>
            <w:tcW w:w="8058" w:type="dxa"/>
            <w:gridSpan w:val="3"/>
            <w:vAlign w:val="center"/>
          </w:tcPr>
          <w:p w14:paraId="4087D7EF">
            <w:pPr>
              <w:adjustRightInd w:val="0"/>
              <w:snapToGrid w:val="0"/>
              <w:spacing w:line="240" w:lineRule="auto"/>
              <w:jc w:val="center"/>
              <w:rPr>
                <w:rFonts w:hint="eastAsia" w:eastAsia="宋体"/>
                <w:szCs w:val="21"/>
                <w:lang w:eastAsia="zh-CN"/>
              </w:rPr>
            </w:pPr>
            <w:r>
              <w:rPr>
                <w:rFonts w:hint="eastAsia"/>
                <w:szCs w:val="21"/>
                <w:lang w:eastAsia="zh-CN"/>
              </w:rPr>
              <w:t>广东省泓磬环保科技有限公司液氨储存及配套氨水生产项目</w:t>
            </w:r>
          </w:p>
        </w:tc>
      </w:tr>
      <w:tr w14:paraId="688C3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5A2BAB69">
            <w:pPr>
              <w:adjustRightInd w:val="0"/>
              <w:snapToGrid w:val="0"/>
              <w:spacing w:line="240" w:lineRule="auto"/>
              <w:jc w:val="center"/>
              <w:rPr>
                <w:szCs w:val="21"/>
              </w:rPr>
            </w:pPr>
            <w:r>
              <w:rPr>
                <w:szCs w:val="21"/>
              </w:rPr>
              <w:t>项目代码</w:t>
            </w:r>
          </w:p>
        </w:tc>
        <w:tc>
          <w:tcPr>
            <w:tcW w:w="8058" w:type="dxa"/>
            <w:gridSpan w:val="3"/>
            <w:vAlign w:val="center"/>
          </w:tcPr>
          <w:p w14:paraId="56EB32A3">
            <w:pPr>
              <w:adjustRightInd w:val="0"/>
              <w:snapToGrid w:val="0"/>
              <w:spacing w:line="240" w:lineRule="auto"/>
              <w:jc w:val="center"/>
              <w:rPr>
                <w:rFonts w:hint="default" w:eastAsia="宋体"/>
                <w:szCs w:val="21"/>
                <w:lang w:val="en-US" w:eastAsia="zh-CN"/>
              </w:rPr>
            </w:pPr>
            <w:r>
              <w:rPr>
                <w:rFonts w:hint="eastAsia"/>
                <w:szCs w:val="21"/>
                <w:lang w:val="en-US" w:eastAsia="zh-CN"/>
              </w:rPr>
              <w:t>************************</w:t>
            </w:r>
          </w:p>
        </w:tc>
      </w:tr>
      <w:tr w14:paraId="1A316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2F1C0B22">
            <w:pPr>
              <w:adjustRightInd w:val="0"/>
              <w:snapToGrid w:val="0"/>
              <w:spacing w:line="240" w:lineRule="auto"/>
              <w:jc w:val="center"/>
              <w:rPr>
                <w:szCs w:val="21"/>
              </w:rPr>
            </w:pPr>
            <w:r>
              <w:rPr>
                <w:szCs w:val="21"/>
              </w:rPr>
              <w:t>建设单位联系人</w:t>
            </w:r>
          </w:p>
        </w:tc>
        <w:tc>
          <w:tcPr>
            <w:tcW w:w="2527" w:type="dxa"/>
            <w:vAlign w:val="center"/>
          </w:tcPr>
          <w:p w14:paraId="09C93D6F">
            <w:pPr>
              <w:adjustRightInd w:val="0"/>
              <w:snapToGrid w:val="0"/>
              <w:spacing w:line="240" w:lineRule="auto"/>
              <w:jc w:val="center"/>
              <w:rPr>
                <w:rFonts w:hint="default" w:eastAsia="宋体"/>
                <w:szCs w:val="21"/>
                <w:lang w:val="en-US" w:eastAsia="zh-CN"/>
              </w:rPr>
            </w:pPr>
            <w:r>
              <w:rPr>
                <w:rFonts w:hint="eastAsia"/>
                <w:szCs w:val="21"/>
                <w:lang w:eastAsia="zh-CN"/>
              </w:rPr>
              <w:t>王</w:t>
            </w:r>
            <w:r>
              <w:rPr>
                <w:rFonts w:hint="eastAsia"/>
                <w:szCs w:val="21"/>
                <w:lang w:val="en-US" w:eastAsia="zh-CN"/>
              </w:rPr>
              <w:t>**</w:t>
            </w:r>
          </w:p>
        </w:tc>
        <w:tc>
          <w:tcPr>
            <w:tcW w:w="2252" w:type="dxa"/>
            <w:vAlign w:val="center"/>
          </w:tcPr>
          <w:p w14:paraId="4F36A5F9">
            <w:pPr>
              <w:adjustRightInd w:val="0"/>
              <w:snapToGrid w:val="0"/>
              <w:spacing w:line="240" w:lineRule="auto"/>
              <w:jc w:val="center"/>
              <w:rPr>
                <w:szCs w:val="21"/>
              </w:rPr>
            </w:pPr>
            <w:r>
              <w:rPr>
                <w:szCs w:val="21"/>
              </w:rPr>
              <w:t>联系方式</w:t>
            </w:r>
          </w:p>
        </w:tc>
        <w:tc>
          <w:tcPr>
            <w:tcW w:w="3279" w:type="dxa"/>
            <w:vAlign w:val="center"/>
          </w:tcPr>
          <w:p w14:paraId="798757DA">
            <w:pPr>
              <w:adjustRightInd w:val="0"/>
              <w:snapToGrid w:val="0"/>
              <w:spacing w:line="240" w:lineRule="auto"/>
              <w:jc w:val="center"/>
              <w:rPr>
                <w:rFonts w:hint="default" w:eastAsia="宋体"/>
                <w:szCs w:val="21"/>
                <w:lang w:val="en-US" w:eastAsia="zh-CN"/>
              </w:rPr>
            </w:pPr>
            <w:r>
              <w:rPr>
                <w:rFonts w:hint="eastAsia"/>
                <w:szCs w:val="21"/>
                <w:lang w:eastAsia="zh-CN"/>
              </w:rPr>
              <w:t>137</w:t>
            </w:r>
            <w:r>
              <w:rPr>
                <w:rFonts w:hint="eastAsia"/>
                <w:szCs w:val="21"/>
                <w:lang w:val="en-US" w:eastAsia="zh-CN"/>
              </w:rPr>
              <w:t>********</w:t>
            </w:r>
          </w:p>
        </w:tc>
      </w:tr>
      <w:tr w14:paraId="11469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2E9EAF08">
            <w:pPr>
              <w:adjustRightInd w:val="0"/>
              <w:snapToGrid w:val="0"/>
              <w:spacing w:line="240" w:lineRule="auto"/>
              <w:jc w:val="center"/>
              <w:rPr>
                <w:szCs w:val="21"/>
              </w:rPr>
            </w:pPr>
            <w:r>
              <w:rPr>
                <w:szCs w:val="21"/>
              </w:rPr>
              <w:t>建设地点</w:t>
            </w:r>
          </w:p>
        </w:tc>
        <w:tc>
          <w:tcPr>
            <w:tcW w:w="8058" w:type="dxa"/>
            <w:gridSpan w:val="3"/>
            <w:vAlign w:val="center"/>
          </w:tcPr>
          <w:p w14:paraId="343AC54A">
            <w:pPr>
              <w:adjustRightInd w:val="0"/>
              <w:snapToGrid w:val="0"/>
              <w:spacing w:line="240" w:lineRule="auto"/>
              <w:jc w:val="center"/>
              <w:rPr>
                <w:rFonts w:hint="eastAsia" w:eastAsia="宋体"/>
                <w:szCs w:val="21"/>
                <w:lang w:eastAsia="zh-CN"/>
              </w:rPr>
            </w:pPr>
            <w:r>
              <w:rPr>
                <w:rFonts w:hint="eastAsia"/>
                <w:szCs w:val="21"/>
                <w:lang w:eastAsia="zh-CN"/>
              </w:rPr>
              <w:t>云浮市云安区六都镇茅坪坑</w:t>
            </w:r>
          </w:p>
        </w:tc>
      </w:tr>
      <w:tr w14:paraId="03BA4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52B48109">
            <w:pPr>
              <w:adjustRightInd w:val="0"/>
              <w:snapToGrid w:val="0"/>
              <w:spacing w:line="240" w:lineRule="auto"/>
              <w:jc w:val="center"/>
              <w:rPr>
                <w:szCs w:val="21"/>
              </w:rPr>
            </w:pPr>
            <w:r>
              <w:rPr>
                <w:szCs w:val="21"/>
              </w:rPr>
              <w:t>地理坐标</w:t>
            </w:r>
          </w:p>
        </w:tc>
        <w:tc>
          <w:tcPr>
            <w:tcW w:w="8058" w:type="dxa"/>
            <w:gridSpan w:val="3"/>
            <w:vAlign w:val="center"/>
          </w:tcPr>
          <w:p w14:paraId="6E2F5F3B">
            <w:pPr>
              <w:spacing w:line="240" w:lineRule="auto"/>
              <w:jc w:val="center"/>
              <w:rPr>
                <w:szCs w:val="21"/>
              </w:rPr>
            </w:pPr>
            <w:r>
              <w:rPr>
                <w:szCs w:val="21"/>
              </w:rPr>
              <w:t>（</w:t>
            </w:r>
            <w:r>
              <w:rPr>
                <w:rFonts w:hint="eastAsia"/>
                <w:szCs w:val="21"/>
                <w:u w:val="single"/>
              </w:rPr>
              <w:t>东经112度1分26.43秒，北纬23度1分20.61秒</w:t>
            </w:r>
            <w:r>
              <w:rPr>
                <w:szCs w:val="21"/>
              </w:rPr>
              <w:t>）</w:t>
            </w:r>
          </w:p>
        </w:tc>
      </w:tr>
      <w:tr w14:paraId="5867A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53" w:hRule="atLeast"/>
          <w:jc w:val="center"/>
        </w:trPr>
        <w:tc>
          <w:tcPr>
            <w:tcW w:w="2174" w:type="dxa"/>
            <w:gridSpan w:val="2"/>
            <w:tcMar>
              <w:top w:w="16" w:type="dxa"/>
              <w:left w:w="16" w:type="dxa"/>
              <w:right w:w="16" w:type="dxa"/>
            </w:tcMar>
            <w:vAlign w:val="center"/>
          </w:tcPr>
          <w:p w14:paraId="6E6A4915">
            <w:pPr>
              <w:adjustRightInd w:val="0"/>
              <w:snapToGrid w:val="0"/>
              <w:spacing w:line="240" w:lineRule="auto"/>
              <w:jc w:val="center"/>
              <w:rPr>
                <w:szCs w:val="21"/>
              </w:rPr>
            </w:pPr>
            <w:r>
              <w:rPr>
                <w:szCs w:val="21"/>
              </w:rPr>
              <w:t>国民经济</w:t>
            </w:r>
          </w:p>
          <w:p w14:paraId="305BB751">
            <w:pPr>
              <w:adjustRightInd w:val="0"/>
              <w:snapToGrid w:val="0"/>
              <w:spacing w:line="240" w:lineRule="auto"/>
              <w:jc w:val="center"/>
              <w:rPr>
                <w:szCs w:val="21"/>
              </w:rPr>
            </w:pPr>
            <w:r>
              <w:rPr>
                <w:szCs w:val="21"/>
              </w:rPr>
              <w:t>行业类别</w:t>
            </w:r>
          </w:p>
        </w:tc>
        <w:tc>
          <w:tcPr>
            <w:tcW w:w="2527" w:type="dxa"/>
            <w:vAlign w:val="center"/>
          </w:tcPr>
          <w:p w14:paraId="308A3EFB">
            <w:pPr>
              <w:adjustRightInd w:val="0"/>
              <w:snapToGrid w:val="0"/>
              <w:spacing w:line="240" w:lineRule="auto"/>
              <w:jc w:val="center"/>
              <w:rPr>
                <w:szCs w:val="21"/>
              </w:rPr>
            </w:pPr>
            <w:r>
              <w:rPr>
                <w:rFonts w:hint="eastAsia"/>
                <w:color w:val="000000" w:themeColor="text1"/>
                <w:szCs w:val="21"/>
                <w14:textFill>
                  <w14:solidFill>
                    <w14:schemeClr w14:val="tx1"/>
                  </w14:solidFill>
                </w14:textFill>
              </w:rPr>
              <w:t>2621氮肥制造</w:t>
            </w:r>
          </w:p>
        </w:tc>
        <w:tc>
          <w:tcPr>
            <w:tcW w:w="2252" w:type="dxa"/>
            <w:vAlign w:val="center"/>
          </w:tcPr>
          <w:p w14:paraId="00E660FC">
            <w:pPr>
              <w:adjustRightInd w:val="0"/>
              <w:snapToGrid w:val="0"/>
              <w:spacing w:line="240" w:lineRule="auto"/>
              <w:jc w:val="center"/>
              <w:rPr>
                <w:szCs w:val="21"/>
              </w:rPr>
            </w:pPr>
            <w:bookmarkStart w:id="1" w:name="_Hlk49843745"/>
            <w:r>
              <w:rPr>
                <w:szCs w:val="21"/>
              </w:rPr>
              <w:t>建设项目</w:t>
            </w:r>
          </w:p>
          <w:p w14:paraId="2571BF24">
            <w:pPr>
              <w:adjustRightInd w:val="0"/>
              <w:snapToGrid w:val="0"/>
              <w:spacing w:line="240" w:lineRule="auto"/>
              <w:jc w:val="center"/>
              <w:rPr>
                <w:szCs w:val="21"/>
              </w:rPr>
            </w:pPr>
            <w:r>
              <w:rPr>
                <w:szCs w:val="21"/>
              </w:rPr>
              <w:t>行业类别</w:t>
            </w:r>
            <w:bookmarkEnd w:id="1"/>
          </w:p>
        </w:tc>
        <w:tc>
          <w:tcPr>
            <w:tcW w:w="3279" w:type="dxa"/>
            <w:vAlign w:val="center"/>
          </w:tcPr>
          <w:p w14:paraId="343E92AE">
            <w:pPr>
              <w:adjustRightInd w:val="0"/>
              <w:snapToGrid w:val="0"/>
              <w:spacing w:line="240" w:lineRule="auto"/>
              <w:rPr>
                <w:szCs w:val="21"/>
              </w:rPr>
            </w:pPr>
            <w:r>
              <w:rPr>
                <w:rFonts w:hint="eastAsia"/>
                <w:color w:val="000000" w:themeColor="text1"/>
                <w:szCs w:val="21"/>
                <w14:textFill>
                  <w14:solidFill>
                    <w14:schemeClr w14:val="tx1"/>
                  </w14:solidFill>
                </w14:textFill>
              </w:rPr>
              <w:t>二十三、化学原料和化学制品制造业——45肥料制造——其他</w:t>
            </w:r>
          </w:p>
        </w:tc>
      </w:tr>
      <w:tr w14:paraId="31400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82" w:hRule="atLeast"/>
          <w:jc w:val="center"/>
        </w:trPr>
        <w:tc>
          <w:tcPr>
            <w:tcW w:w="2174" w:type="dxa"/>
            <w:gridSpan w:val="2"/>
            <w:tcMar>
              <w:top w:w="16" w:type="dxa"/>
              <w:left w:w="16" w:type="dxa"/>
              <w:right w:w="16" w:type="dxa"/>
            </w:tcMar>
            <w:vAlign w:val="center"/>
          </w:tcPr>
          <w:p w14:paraId="5A8A236C">
            <w:pPr>
              <w:adjustRightInd w:val="0"/>
              <w:snapToGrid w:val="0"/>
              <w:spacing w:line="240" w:lineRule="auto"/>
              <w:jc w:val="center"/>
              <w:rPr>
                <w:szCs w:val="21"/>
              </w:rPr>
            </w:pPr>
            <w:r>
              <w:rPr>
                <w:szCs w:val="21"/>
              </w:rPr>
              <w:t>建设性质</w:t>
            </w:r>
          </w:p>
        </w:tc>
        <w:tc>
          <w:tcPr>
            <w:tcW w:w="2527" w:type="dxa"/>
            <w:vAlign w:val="center"/>
          </w:tcPr>
          <w:p w14:paraId="18E666DC">
            <w:pPr>
              <w:spacing w:line="240" w:lineRule="auto"/>
              <w:jc w:val="left"/>
              <w:rPr>
                <w:szCs w:val="21"/>
              </w:rPr>
            </w:pPr>
            <w:r>
              <w:rPr>
                <w:rFonts w:hint="eastAsia"/>
                <w:szCs w:val="21"/>
                <w:lang w:eastAsia="zh-CN"/>
              </w:rPr>
              <w:t>☑</w:t>
            </w:r>
            <w:r>
              <w:rPr>
                <w:szCs w:val="21"/>
              </w:rPr>
              <w:t>新建（迁建）</w:t>
            </w:r>
          </w:p>
          <w:p w14:paraId="6E815399">
            <w:pPr>
              <w:spacing w:line="240" w:lineRule="auto"/>
              <w:jc w:val="left"/>
              <w:rPr>
                <w:szCs w:val="21"/>
              </w:rPr>
            </w:pPr>
            <w:r>
              <w:rPr>
                <w:rFonts w:hint="eastAsia"/>
                <w:szCs w:val="21"/>
              </w:rPr>
              <w:t>□</w:t>
            </w:r>
            <w:r>
              <w:rPr>
                <w:szCs w:val="21"/>
              </w:rPr>
              <w:t>改建</w:t>
            </w:r>
          </w:p>
          <w:p w14:paraId="10E0EBAC">
            <w:pPr>
              <w:spacing w:line="240" w:lineRule="auto"/>
              <w:jc w:val="left"/>
              <w:rPr>
                <w:szCs w:val="21"/>
              </w:rPr>
            </w:pPr>
            <w:r>
              <w:rPr>
                <w:rFonts w:hint="eastAsia"/>
                <w:szCs w:val="21"/>
                <w:lang w:eastAsia="zh-CN"/>
              </w:rPr>
              <w:t>□</w:t>
            </w:r>
            <w:r>
              <w:rPr>
                <w:szCs w:val="21"/>
              </w:rPr>
              <w:t>扩建</w:t>
            </w:r>
          </w:p>
          <w:p w14:paraId="2063FA88">
            <w:pPr>
              <w:spacing w:line="240" w:lineRule="auto"/>
              <w:jc w:val="left"/>
              <w:rPr>
                <w:szCs w:val="21"/>
              </w:rPr>
            </w:pPr>
            <w:r>
              <w:rPr>
                <w:rFonts w:hint="eastAsia"/>
                <w:szCs w:val="21"/>
              </w:rPr>
              <w:t>□</w:t>
            </w:r>
            <w:r>
              <w:rPr>
                <w:szCs w:val="21"/>
              </w:rPr>
              <w:t>技术改造</w:t>
            </w:r>
          </w:p>
        </w:tc>
        <w:tc>
          <w:tcPr>
            <w:tcW w:w="2252" w:type="dxa"/>
            <w:vAlign w:val="center"/>
          </w:tcPr>
          <w:p w14:paraId="4F68AFE7">
            <w:pPr>
              <w:adjustRightInd w:val="0"/>
              <w:snapToGrid w:val="0"/>
              <w:spacing w:line="240" w:lineRule="auto"/>
              <w:jc w:val="center"/>
              <w:rPr>
                <w:szCs w:val="21"/>
              </w:rPr>
            </w:pPr>
            <w:r>
              <w:rPr>
                <w:szCs w:val="21"/>
              </w:rPr>
              <w:t>建设项目</w:t>
            </w:r>
          </w:p>
          <w:p w14:paraId="4F9D775B">
            <w:pPr>
              <w:adjustRightInd w:val="0"/>
              <w:snapToGrid w:val="0"/>
              <w:spacing w:line="240" w:lineRule="auto"/>
              <w:jc w:val="center"/>
              <w:rPr>
                <w:szCs w:val="21"/>
              </w:rPr>
            </w:pPr>
            <w:r>
              <w:rPr>
                <w:szCs w:val="21"/>
              </w:rPr>
              <w:t>申报情形</w:t>
            </w:r>
          </w:p>
        </w:tc>
        <w:tc>
          <w:tcPr>
            <w:tcW w:w="3279" w:type="dxa"/>
            <w:vAlign w:val="center"/>
          </w:tcPr>
          <w:p w14:paraId="3D3957B3">
            <w:pPr>
              <w:spacing w:line="240" w:lineRule="auto"/>
              <w:jc w:val="left"/>
              <w:rPr>
                <w:szCs w:val="21"/>
              </w:rPr>
            </w:pPr>
            <w:r>
              <w:rPr>
                <w:szCs w:val="21"/>
              </w:rPr>
              <w:t xml:space="preserve">☑首次申报项目             </w:t>
            </w:r>
          </w:p>
          <w:p w14:paraId="75BF0AA2">
            <w:pPr>
              <w:spacing w:line="240" w:lineRule="auto"/>
              <w:jc w:val="left"/>
              <w:rPr>
                <w:szCs w:val="21"/>
              </w:rPr>
            </w:pPr>
            <w:r>
              <w:rPr>
                <w:rFonts w:hint="eastAsia"/>
                <w:szCs w:val="21"/>
              </w:rPr>
              <w:t>□</w:t>
            </w:r>
            <w:r>
              <w:rPr>
                <w:szCs w:val="21"/>
              </w:rPr>
              <w:t>不予批准后再次申报项目</w:t>
            </w:r>
          </w:p>
          <w:p w14:paraId="4302E9D3">
            <w:pPr>
              <w:spacing w:line="240" w:lineRule="auto"/>
              <w:jc w:val="left"/>
              <w:rPr>
                <w:szCs w:val="21"/>
              </w:rPr>
            </w:pPr>
            <w:r>
              <w:rPr>
                <w:rFonts w:hint="eastAsia"/>
                <w:szCs w:val="21"/>
              </w:rPr>
              <w:t>□</w:t>
            </w:r>
            <w:r>
              <w:rPr>
                <w:szCs w:val="21"/>
              </w:rPr>
              <w:t xml:space="preserve">超五年重新审核项目     </w:t>
            </w:r>
          </w:p>
          <w:p w14:paraId="5F4F8FE4">
            <w:pPr>
              <w:spacing w:line="240" w:lineRule="auto"/>
              <w:jc w:val="left"/>
              <w:rPr>
                <w:szCs w:val="21"/>
              </w:rPr>
            </w:pPr>
            <w:r>
              <w:rPr>
                <w:rFonts w:hint="eastAsia"/>
                <w:szCs w:val="21"/>
              </w:rPr>
              <w:t>□</w:t>
            </w:r>
            <w:r>
              <w:rPr>
                <w:szCs w:val="21"/>
              </w:rPr>
              <w:t>重大变动重新报批项目</w:t>
            </w:r>
          </w:p>
        </w:tc>
      </w:tr>
      <w:tr w14:paraId="6E7CD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2174" w:type="dxa"/>
            <w:gridSpan w:val="2"/>
            <w:tcMar>
              <w:top w:w="16" w:type="dxa"/>
              <w:left w:w="16" w:type="dxa"/>
              <w:right w:w="16" w:type="dxa"/>
            </w:tcMar>
            <w:vAlign w:val="center"/>
          </w:tcPr>
          <w:p w14:paraId="157EC555">
            <w:pPr>
              <w:adjustRightInd w:val="0"/>
              <w:snapToGrid w:val="0"/>
              <w:spacing w:line="240" w:lineRule="auto"/>
              <w:jc w:val="center"/>
              <w:rPr>
                <w:szCs w:val="21"/>
              </w:rPr>
            </w:pPr>
            <w:r>
              <w:rPr>
                <w:szCs w:val="21"/>
              </w:rPr>
              <w:t>项目审批（核准/</w:t>
            </w:r>
          </w:p>
          <w:p w14:paraId="4073944E">
            <w:pPr>
              <w:adjustRightInd w:val="0"/>
              <w:snapToGrid w:val="0"/>
              <w:spacing w:line="240" w:lineRule="auto"/>
              <w:jc w:val="center"/>
              <w:rPr>
                <w:szCs w:val="21"/>
              </w:rPr>
            </w:pPr>
            <w:r>
              <w:rPr>
                <w:szCs w:val="21"/>
              </w:rPr>
              <w:t>备案）部门（选填）</w:t>
            </w:r>
          </w:p>
        </w:tc>
        <w:tc>
          <w:tcPr>
            <w:tcW w:w="2527" w:type="dxa"/>
            <w:vAlign w:val="center"/>
          </w:tcPr>
          <w:p w14:paraId="1083255A">
            <w:pPr>
              <w:adjustRightInd w:val="0"/>
              <w:snapToGrid w:val="0"/>
              <w:spacing w:line="240" w:lineRule="auto"/>
              <w:jc w:val="center"/>
              <w:rPr>
                <w:rFonts w:hint="eastAsia" w:eastAsia="宋体"/>
                <w:szCs w:val="21"/>
                <w:lang w:eastAsia="zh-CN"/>
              </w:rPr>
            </w:pPr>
            <w:r>
              <w:rPr>
                <w:rFonts w:hint="eastAsia"/>
                <w:szCs w:val="21"/>
                <w:lang w:eastAsia="zh-CN"/>
              </w:rPr>
              <w:t>云浮市云安区发展和改革局</w:t>
            </w:r>
          </w:p>
        </w:tc>
        <w:tc>
          <w:tcPr>
            <w:tcW w:w="2252" w:type="dxa"/>
            <w:vAlign w:val="center"/>
          </w:tcPr>
          <w:p w14:paraId="36EBBB2B">
            <w:pPr>
              <w:adjustRightInd w:val="0"/>
              <w:snapToGrid w:val="0"/>
              <w:spacing w:line="240" w:lineRule="auto"/>
              <w:jc w:val="center"/>
              <w:rPr>
                <w:szCs w:val="21"/>
              </w:rPr>
            </w:pPr>
            <w:r>
              <w:rPr>
                <w:szCs w:val="21"/>
              </w:rPr>
              <w:t>项目审批（核准/</w:t>
            </w:r>
          </w:p>
          <w:p w14:paraId="413F2839">
            <w:pPr>
              <w:adjustRightInd w:val="0"/>
              <w:snapToGrid w:val="0"/>
              <w:spacing w:line="240" w:lineRule="auto"/>
              <w:jc w:val="center"/>
              <w:rPr>
                <w:szCs w:val="21"/>
              </w:rPr>
            </w:pPr>
            <w:r>
              <w:rPr>
                <w:szCs w:val="21"/>
              </w:rPr>
              <w:t>备案）文号（选填）</w:t>
            </w:r>
          </w:p>
        </w:tc>
        <w:tc>
          <w:tcPr>
            <w:tcW w:w="3279" w:type="dxa"/>
            <w:vAlign w:val="center"/>
          </w:tcPr>
          <w:p w14:paraId="3A9E03BA">
            <w:pPr>
              <w:adjustRightInd w:val="0"/>
              <w:snapToGrid w:val="0"/>
              <w:spacing w:line="240" w:lineRule="auto"/>
              <w:jc w:val="center"/>
              <w:rPr>
                <w:szCs w:val="21"/>
              </w:rPr>
            </w:pPr>
            <w:r>
              <w:rPr>
                <w:rFonts w:hint="eastAsia"/>
                <w:szCs w:val="21"/>
              </w:rPr>
              <w:t>************************</w:t>
            </w:r>
          </w:p>
        </w:tc>
      </w:tr>
      <w:tr w14:paraId="35FD6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42E66FBE">
            <w:pPr>
              <w:adjustRightInd w:val="0"/>
              <w:snapToGrid w:val="0"/>
              <w:spacing w:line="240" w:lineRule="auto"/>
              <w:jc w:val="center"/>
              <w:rPr>
                <w:szCs w:val="21"/>
              </w:rPr>
            </w:pPr>
            <w:r>
              <w:rPr>
                <w:szCs w:val="21"/>
              </w:rPr>
              <w:t>总投资（万元）</w:t>
            </w:r>
          </w:p>
        </w:tc>
        <w:tc>
          <w:tcPr>
            <w:tcW w:w="2527" w:type="dxa"/>
            <w:vAlign w:val="center"/>
          </w:tcPr>
          <w:p w14:paraId="52EFE8AC">
            <w:pPr>
              <w:adjustRightInd w:val="0"/>
              <w:snapToGrid w:val="0"/>
              <w:spacing w:line="240" w:lineRule="auto"/>
              <w:jc w:val="center"/>
              <w:rPr>
                <w:rFonts w:hint="default" w:eastAsia="宋体"/>
                <w:szCs w:val="21"/>
                <w:lang w:val="en-US" w:eastAsia="zh-CN"/>
              </w:rPr>
            </w:pPr>
            <w:r>
              <w:rPr>
                <w:rFonts w:hint="eastAsia"/>
                <w:szCs w:val="21"/>
                <w:lang w:val="en-US" w:eastAsia="zh-CN"/>
              </w:rPr>
              <w:t>9000</w:t>
            </w:r>
          </w:p>
        </w:tc>
        <w:tc>
          <w:tcPr>
            <w:tcW w:w="2252" w:type="dxa"/>
            <w:tcMar>
              <w:top w:w="16" w:type="dxa"/>
              <w:left w:w="16" w:type="dxa"/>
              <w:right w:w="16" w:type="dxa"/>
            </w:tcMar>
            <w:vAlign w:val="center"/>
          </w:tcPr>
          <w:p w14:paraId="7CFDBE3F">
            <w:pPr>
              <w:adjustRightInd w:val="0"/>
              <w:snapToGrid w:val="0"/>
              <w:spacing w:line="240" w:lineRule="auto"/>
              <w:jc w:val="center"/>
              <w:rPr>
                <w:szCs w:val="21"/>
              </w:rPr>
            </w:pPr>
            <w:r>
              <w:rPr>
                <w:szCs w:val="21"/>
              </w:rPr>
              <w:t>环保投资（万元）</w:t>
            </w:r>
          </w:p>
        </w:tc>
        <w:tc>
          <w:tcPr>
            <w:tcW w:w="3279" w:type="dxa"/>
            <w:vAlign w:val="center"/>
          </w:tcPr>
          <w:p w14:paraId="6869144A">
            <w:pPr>
              <w:adjustRightInd w:val="0"/>
              <w:snapToGrid w:val="0"/>
              <w:spacing w:line="240" w:lineRule="auto"/>
              <w:jc w:val="center"/>
              <w:rPr>
                <w:rFonts w:hint="default"/>
                <w:szCs w:val="21"/>
                <w:lang w:val="en-US"/>
              </w:rPr>
            </w:pPr>
            <w:r>
              <w:rPr>
                <w:rFonts w:hint="eastAsia"/>
                <w:color w:val="000000" w:themeColor="text1"/>
                <w:szCs w:val="21"/>
                <w:lang w:val="en-US" w:eastAsia="zh-CN"/>
                <w14:textFill>
                  <w14:solidFill>
                    <w14:schemeClr w14:val="tx1"/>
                  </w14:solidFill>
                </w14:textFill>
              </w:rPr>
              <w:t>450</w:t>
            </w:r>
          </w:p>
        </w:tc>
      </w:tr>
      <w:tr w14:paraId="0F6EF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174" w:type="dxa"/>
            <w:gridSpan w:val="2"/>
            <w:tcMar>
              <w:top w:w="16" w:type="dxa"/>
              <w:left w:w="16" w:type="dxa"/>
              <w:right w:w="16" w:type="dxa"/>
            </w:tcMar>
            <w:vAlign w:val="center"/>
          </w:tcPr>
          <w:p w14:paraId="21BC1BF2">
            <w:pPr>
              <w:adjustRightInd w:val="0"/>
              <w:snapToGrid w:val="0"/>
              <w:spacing w:line="240" w:lineRule="auto"/>
              <w:jc w:val="center"/>
              <w:rPr>
                <w:szCs w:val="21"/>
              </w:rPr>
            </w:pPr>
            <w:r>
              <w:rPr>
                <w:szCs w:val="21"/>
              </w:rPr>
              <w:t>环保投资占比（%）</w:t>
            </w:r>
          </w:p>
        </w:tc>
        <w:tc>
          <w:tcPr>
            <w:tcW w:w="2527" w:type="dxa"/>
            <w:vAlign w:val="center"/>
          </w:tcPr>
          <w:p w14:paraId="389F1F0F">
            <w:pPr>
              <w:adjustRightInd w:val="0"/>
              <w:snapToGrid w:val="0"/>
              <w:spacing w:line="240" w:lineRule="auto"/>
              <w:jc w:val="center"/>
              <w:rPr>
                <w:rFonts w:hint="eastAsia" w:eastAsia="宋体"/>
                <w:szCs w:val="21"/>
                <w:lang w:val="en-US" w:eastAsia="zh-CN"/>
              </w:rPr>
            </w:pPr>
            <w:r>
              <w:rPr>
                <w:rFonts w:hint="eastAsia"/>
                <w:color w:val="000000" w:themeColor="text1"/>
                <w:lang w:val="en-US" w:eastAsia="zh-CN"/>
                <w14:textFill>
                  <w14:solidFill>
                    <w14:schemeClr w14:val="tx1"/>
                  </w14:solidFill>
                </w14:textFill>
              </w:rPr>
              <w:t>5</w:t>
            </w:r>
          </w:p>
        </w:tc>
        <w:tc>
          <w:tcPr>
            <w:tcW w:w="2252" w:type="dxa"/>
            <w:tcMar>
              <w:top w:w="16" w:type="dxa"/>
              <w:left w:w="16" w:type="dxa"/>
              <w:right w:w="16" w:type="dxa"/>
            </w:tcMar>
            <w:vAlign w:val="center"/>
          </w:tcPr>
          <w:p w14:paraId="6BCA606F">
            <w:pPr>
              <w:adjustRightInd w:val="0"/>
              <w:snapToGrid w:val="0"/>
              <w:spacing w:line="240" w:lineRule="auto"/>
              <w:jc w:val="center"/>
              <w:rPr>
                <w:szCs w:val="21"/>
              </w:rPr>
            </w:pPr>
            <w:r>
              <w:rPr>
                <w:szCs w:val="21"/>
              </w:rPr>
              <w:t>施工工期</w:t>
            </w:r>
          </w:p>
        </w:tc>
        <w:tc>
          <w:tcPr>
            <w:tcW w:w="3279" w:type="dxa"/>
            <w:vAlign w:val="center"/>
          </w:tcPr>
          <w:p w14:paraId="3E765C96">
            <w:pPr>
              <w:adjustRightInd w:val="0"/>
              <w:snapToGrid w:val="0"/>
              <w:spacing w:line="240" w:lineRule="auto"/>
              <w:jc w:val="center"/>
              <w:rPr>
                <w:szCs w:val="21"/>
              </w:rPr>
            </w:pPr>
            <w:r>
              <w:rPr>
                <w:rFonts w:hint="eastAsia"/>
                <w:szCs w:val="21"/>
                <w:lang w:val="en-US" w:eastAsia="zh-CN"/>
              </w:rPr>
              <w:t>18</w:t>
            </w:r>
            <w:r>
              <w:rPr>
                <w:szCs w:val="21"/>
              </w:rPr>
              <w:t>个月</w:t>
            </w:r>
          </w:p>
        </w:tc>
      </w:tr>
      <w:tr w14:paraId="134E0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9" w:hRule="atLeast"/>
          <w:jc w:val="center"/>
        </w:trPr>
        <w:tc>
          <w:tcPr>
            <w:tcW w:w="2174" w:type="dxa"/>
            <w:gridSpan w:val="2"/>
            <w:tcMar>
              <w:top w:w="16" w:type="dxa"/>
              <w:left w:w="16" w:type="dxa"/>
              <w:right w:w="16" w:type="dxa"/>
            </w:tcMar>
            <w:vAlign w:val="center"/>
          </w:tcPr>
          <w:p w14:paraId="754E079F">
            <w:pPr>
              <w:adjustRightInd w:val="0"/>
              <w:snapToGrid w:val="0"/>
              <w:spacing w:line="240" w:lineRule="auto"/>
              <w:jc w:val="center"/>
              <w:rPr>
                <w:szCs w:val="21"/>
              </w:rPr>
            </w:pPr>
            <w:r>
              <w:rPr>
                <w:szCs w:val="21"/>
              </w:rPr>
              <w:t>是否开工建设</w:t>
            </w:r>
          </w:p>
        </w:tc>
        <w:tc>
          <w:tcPr>
            <w:tcW w:w="2527" w:type="dxa"/>
            <w:vAlign w:val="center"/>
          </w:tcPr>
          <w:p w14:paraId="1457ABBE">
            <w:pPr>
              <w:adjustRightInd w:val="0"/>
              <w:snapToGrid w:val="0"/>
              <w:spacing w:line="240" w:lineRule="auto"/>
              <w:rPr>
                <w:szCs w:val="21"/>
              </w:rPr>
            </w:pPr>
            <w:r>
              <w:rPr>
                <w:szCs w:val="21"/>
              </w:rPr>
              <w:t>☑否</w:t>
            </w:r>
          </w:p>
          <w:p w14:paraId="55738769">
            <w:pPr>
              <w:adjustRightInd w:val="0"/>
              <w:snapToGrid w:val="0"/>
              <w:spacing w:line="240" w:lineRule="auto"/>
              <w:rPr>
                <w:szCs w:val="21"/>
              </w:rPr>
            </w:pPr>
            <w:r>
              <w:rPr>
                <w:rFonts w:hint="eastAsia"/>
                <w:szCs w:val="21"/>
              </w:rPr>
              <w:t>□</w:t>
            </w:r>
            <w:r>
              <w:rPr>
                <w:szCs w:val="21"/>
              </w:rPr>
              <w:t>是：</w:t>
            </w:r>
            <w:r>
              <w:rPr>
                <w:szCs w:val="21"/>
                <w:u w:val="single"/>
              </w:rPr>
              <w:t xml:space="preserve">           </w:t>
            </w:r>
          </w:p>
        </w:tc>
        <w:tc>
          <w:tcPr>
            <w:tcW w:w="2252" w:type="dxa"/>
            <w:tcMar>
              <w:top w:w="16" w:type="dxa"/>
              <w:left w:w="16" w:type="dxa"/>
              <w:right w:w="16" w:type="dxa"/>
            </w:tcMar>
            <w:vAlign w:val="center"/>
          </w:tcPr>
          <w:p w14:paraId="40B7E482">
            <w:pPr>
              <w:spacing w:line="240" w:lineRule="auto"/>
              <w:jc w:val="center"/>
            </w:pPr>
            <w:r>
              <w:t>用地（用海）</w:t>
            </w:r>
          </w:p>
          <w:p w14:paraId="61A537BA">
            <w:pPr>
              <w:spacing w:line="240" w:lineRule="auto"/>
              <w:jc w:val="center"/>
              <w:rPr>
                <w:szCs w:val="21"/>
              </w:rPr>
            </w:pPr>
            <w:r>
              <w:t>面积（m</w:t>
            </w:r>
            <w:r>
              <w:rPr>
                <w:vertAlign w:val="superscript"/>
              </w:rPr>
              <w:t>2</w:t>
            </w:r>
            <w:r>
              <w:t>）</w:t>
            </w:r>
          </w:p>
        </w:tc>
        <w:tc>
          <w:tcPr>
            <w:tcW w:w="3279" w:type="dxa"/>
            <w:vAlign w:val="center"/>
          </w:tcPr>
          <w:p w14:paraId="1278DCAC">
            <w:pPr>
              <w:adjustRightInd w:val="0"/>
              <w:snapToGrid w:val="0"/>
              <w:spacing w:line="240" w:lineRule="auto"/>
              <w:jc w:val="center"/>
              <w:rPr>
                <w:szCs w:val="21"/>
              </w:rPr>
            </w:pPr>
            <w:r>
              <w:rPr>
                <w:rFonts w:hint="eastAsia"/>
                <w:szCs w:val="21"/>
              </w:rPr>
              <w:t>21666.86</w:t>
            </w:r>
          </w:p>
        </w:tc>
      </w:tr>
      <w:tr w14:paraId="4EF1B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22" w:hRule="atLeast"/>
          <w:jc w:val="center"/>
        </w:trPr>
        <w:tc>
          <w:tcPr>
            <w:tcW w:w="2174" w:type="dxa"/>
            <w:gridSpan w:val="2"/>
            <w:vAlign w:val="center"/>
          </w:tcPr>
          <w:p w14:paraId="5A15DFF5">
            <w:pPr>
              <w:autoSpaceDE w:val="0"/>
              <w:autoSpaceDN w:val="0"/>
              <w:adjustRightInd w:val="0"/>
              <w:snapToGrid w:val="0"/>
              <w:spacing w:line="240" w:lineRule="auto"/>
              <w:jc w:val="center"/>
              <w:rPr>
                <w:kern w:val="0"/>
                <w:szCs w:val="21"/>
              </w:rPr>
            </w:pPr>
            <w:r>
              <w:rPr>
                <w:kern w:val="0"/>
                <w:szCs w:val="21"/>
              </w:rPr>
              <w:t>专项评价设置情况</w:t>
            </w:r>
          </w:p>
        </w:tc>
        <w:tc>
          <w:tcPr>
            <w:tcW w:w="8058" w:type="dxa"/>
            <w:gridSpan w:val="3"/>
            <w:vAlign w:val="center"/>
          </w:tcPr>
          <w:p w14:paraId="50734BD8">
            <w:pPr>
              <w:autoSpaceDE w:val="0"/>
              <w:autoSpaceDN w:val="0"/>
              <w:adjustRightInd w:val="0"/>
              <w:snapToGrid w:val="0"/>
              <w:spacing w:line="240" w:lineRule="auto"/>
              <w:jc w:val="left"/>
              <w:rPr>
                <w:kern w:val="0"/>
                <w:szCs w:val="21"/>
              </w:rPr>
            </w:pPr>
            <w:r>
              <w:rPr>
                <w:rFonts w:hint="eastAsia"/>
                <w:kern w:val="0"/>
                <w:szCs w:val="21"/>
              </w:rPr>
              <w:t>环境风险专项评价：有毒有害和易燃易爆危险物质存储量超过临界量的建设项目。由于本项目的氨水和液氨最大存储量超过了临界值，因此设置环境风险专项评价。</w:t>
            </w:r>
          </w:p>
        </w:tc>
      </w:tr>
      <w:tr w14:paraId="4CC5C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22" w:hRule="atLeast"/>
          <w:jc w:val="center"/>
        </w:trPr>
        <w:tc>
          <w:tcPr>
            <w:tcW w:w="2174" w:type="dxa"/>
            <w:gridSpan w:val="2"/>
            <w:vAlign w:val="center"/>
          </w:tcPr>
          <w:p w14:paraId="7F71809B">
            <w:pPr>
              <w:autoSpaceDE w:val="0"/>
              <w:autoSpaceDN w:val="0"/>
              <w:adjustRightInd w:val="0"/>
              <w:snapToGrid w:val="0"/>
              <w:spacing w:line="240" w:lineRule="auto"/>
              <w:jc w:val="center"/>
              <w:rPr>
                <w:kern w:val="0"/>
                <w:szCs w:val="21"/>
              </w:rPr>
            </w:pPr>
            <w:r>
              <w:rPr>
                <w:szCs w:val="21"/>
              </w:rPr>
              <w:t>规划情况</w:t>
            </w:r>
          </w:p>
        </w:tc>
        <w:tc>
          <w:tcPr>
            <w:tcW w:w="8058" w:type="dxa"/>
            <w:gridSpan w:val="3"/>
            <w:vAlign w:val="center"/>
          </w:tcPr>
          <w:p w14:paraId="1DFC588C">
            <w:pPr>
              <w:autoSpaceDE w:val="0"/>
              <w:autoSpaceDN w:val="0"/>
              <w:adjustRightInd w:val="0"/>
              <w:snapToGrid w:val="0"/>
              <w:jc w:val="left"/>
              <w:rPr>
                <w:kern w:val="0"/>
                <w:szCs w:val="21"/>
              </w:rPr>
            </w:pPr>
            <w:r>
              <w:rPr>
                <w:rFonts w:hint="eastAsia"/>
                <w:b/>
                <w:bCs/>
                <w:kern w:val="0"/>
                <w:szCs w:val="21"/>
              </w:rPr>
              <w:t>规划名称：</w:t>
            </w:r>
            <w:r>
              <w:rPr>
                <w:rFonts w:hint="eastAsia"/>
                <w:kern w:val="0"/>
                <w:szCs w:val="21"/>
              </w:rPr>
              <w:t>云浮循环经济工业园化工专区总体规划</w:t>
            </w:r>
          </w:p>
        </w:tc>
      </w:tr>
      <w:tr w14:paraId="57EF9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09" w:hRule="atLeast"/>
          <w:jc w:val="center"/>
        </w:trPr>
        <w:tc>
          <w:tcPr>
            <w:tcW w:w="2174" w:type="dxa"/>
            <w:gridSpan w:val="2"/>
            <w:vAlign w:val="center"/>
          </w:tcPr>
          <w:p w14:paraId="56928B06">
            <w:pPr>
              <w:adjustRightInd w:val="0"/>
              <w:snapToGrid w:val="0"/>
              <w:spacing w:line="240" w:lineRule="auto"/>
              <w:jc w:val="center"/>
              <w:rPr>
                <w:szCs w:val="21"/>
              </w:rPr>
            </w:pPr>
            <w:r>
              <w:rPr>
                <w:szCs w:val="21"/>
              </w:rPr>
              <w:t>规划环境影响</w:t>
            </w:r>
          </w:p>
          <w:p w14:paraId="0ADA1051">
            <w:pPr>
              <w:adjustRightInd w:val="0"/>
              <w:snapToGrid w:val="0"/>
              <w:spacing w:line="240" w:lineRule="auto"/>
              <w:jc w:val="center"/>
              <w:rPr>
                <w:kern w:val="0"/>
                <w:szCs w:val="21"/>
              </w:rPr>
            </w:pPr>
            <w:r>
              <w:rPr>
                <w:szCs w:val="21"/>
              </w:rPr>
              <w:t>评价情况</w:t>
            </w:r>
          </w:p>
        </w:tc>
        <w:tc>
          <w:tcPr>
            <w:tcW w:w="8058" w:type="dxa"/>
            <w:gridSpan w:val="3"/>
            <w:vAlign w:val="center"/>
          </w:tcPr>
          <w:p w14:paraId="019C2895">
            <w:pPr>
              <w:autoSpaceDE w:val="0"/>
              <w:autoSpaceDN w:val="0"/>
              <w:adjustRightInd w:val="0"/>
              <w:snapToGrid w:val="0"/>
              <w:jc w:val="left"/>
              <w:rPr>
                <w:kern w:val="0"/>
                <w:szCs w:val="21"/>
              </w:rPr>
            </w:pPr>
            <w:r>
              <w:rPr>
                <w:rFonts w:hint="eastAsia"/>
                <w:b/>
                <w:bCs/>
                <w:kern w:val="0"/>
                <w:szCs w:val="21"/>
              </w:rPr>
              <w:t>规划环评文件名称：</w:t>
            </w:r>
            <w:r>
              <w:rPr>
                <w:rFonts w:hint="eastAsia"/>
                <w:kern w:val="0"/>
                <w:szCs w:val="21"/>
              </w:rPr>
              <w:t>《云浮循环经济工业园（云安产业集聚地）综合发展规划（2023-2035年）环境影响报告书》</w:t>
            </w:r>
          </w:p>
          <w:p w14:paraId="754486D5">
            <w:pPr>
              <w:autoSpaceDE w:val="0"/>
              <w:autoSpaceDN w:val="0"/>
              <w:adjustRightInd w:val="0"/>
              <w:snapToGrid w:val="0"/>
              <w:jc w:val="left"/>
              <w:rPr>
                <w:kern w:val="0"/>
                <w:szCs w:val="21"/>
              </w:rPr>
            </w:pPr>
            <w:r>
              <w:rPr>
                <w:rFonts w:hint="eastAsia"/>
                <w:b/>
                <w:bCs/>
                <w:kern w:val="0"/>
                <w:szCs w:val="21"/>
              </w:rPr>
              <w:t>规划环评审查机关：</w:t>
            </w:r>
          </w:p>
          <w:p w14:paraId="631D64A5">
            <w:pPr>
              <w:autoSpaceDE w:val="0"/>
              <w:autoSpaceDN w:val="0"/>
              <w:adjustRightInd w:val="0"/>
              <w:snapToGrid w:val="0"/>
              <w:jc w:val="left"/>
              <w:rPr>
                <w:kern w:val="0"/>
                <w:szCs w:val="21"/>
              </w:rPr>
            </w:pPr>
            <w:r>
              <w:rPr>
                <w:rFonts w:hint="eastAsia"/>
                <w:b/>
                <w:bCs/>
                <w:kern w:val="0"/>
                <w:szCs w:val="21"/>
              </w:rPr>
              <w:t>审批文件名称及文号：</w:t>
            </w:r>
          </w:p>
        </w:tc>
      </w:tr>
      <w:tr w14:paraId="42076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22" w:hRule="atLeast"/>
          <w:jc w:val="center"/>
        </w:trPr>
        <w:tc>
          <w:tcPr>
            <w:tcW w:w="2174" w:type="dxa"/>
            <w:gridSpan w:val="2"/>
            <w:vAlign w:val="center"/>
          </w:tcPr>
          <w:p w14:paraId="6CB1EE67">
            <w:pPr>
              <w:autoSpaceDE w:val="0"/>
              <w:autoSpaceDN w:val="0"/>
              <w:adjustRightInd w:val="0"/>
              <w:snapToGrid w:val="0"/>
              <w:spacing w:line="240" w:lineRule="auto"/>
              <w:jc w:val="center"/>
              <w:rPr>
                <w:kern w:val="0"/>
                <w:szCs w:val="21"/>
              </w:rPr>
            </w:pPr>
            <w:r>
              <w:rPr>
                <w:kern w:val="0"/>
                <w:szCs w:val="21"/>
              </w:rPr>
              <w:t>规划及规划环境影响评价符合性分析</w:t>
            </w:r>
          </w:p>
        </w:tc>
        <w:tc>
          <w:tcPr>
            <w:tcW w:w="8058" w:type="dxa"/>
            <w:gridSpan w:val="3"/>
            <w:vAlign w:val="center"/>
          </w:tcPr>
          <w:p w14:paraId="5A5A20CD">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1、与规划的符合性分析</w:t>
            </w:r>
          </w:p>
          <w:p w14:paraId="2E2691C0">
            <w:pPr>
              <w:autoSpaceDE w:val="0"/>
              <w:autoSpaceDN w:val="0"/>
              <w:adjustRightInd w:val="0"/>
              <w:snapToGri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w:t>
            </w:r>
            <w:r>
              <w:rPr>
                <w:rFonts w:hint="eastAsia" w:ascii="Times New Roman" w:hAnsi="Times New Roman" w:eastAsia="宋体" w:cs="Times New Roman"/>
                <w:kern w:val="0"/>
                <w:sz w:val="24"/>
                <w:szCs w:val="24"/>
                <w:lang w:eastAsia="zh-CN"/>
              </w:rPr>
              <w:t>《云浮市云安区人民政府办公室关于印发〈云浮循环经济工业园化工专区总体规划〉的通知》（2022年11月）（见附件）</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化工专区</w:t>
            </w:r>
            <w:r>
              <w:rPr>
                <w:rFonts w:hint="default" w:ascii="Times New Roman" w:hAnsi="Times New Roman" w:eastAsia="宋体" w:cs="Times New Roman"/>
                <w:kern w:val="0"/>
                <w:sz w:val="24"/>
                <w:szCs w:val="24"/>
              </w:rPr>
              <w:t>规划</w:t>
            </w:r>
            <w:r>
              <w:rPr>
                <w:rFonts w:hint="eastAsia" w:ascii="Times New Roman" w:hAnsi="Times New Roman" w:eastAsia="宋体" w:cs="Times New Roman"/>
                <w:kern w:val="0"/>
                <w:sz w:val="24"/>
                <w:szCs w:val="24"/>
                <w:lang w:eastAsia="zh-CN"/>
              </w:rPr>
              <w:t>为“</w:t>
            </w:r>
            <w:r>
              <w:rPr>
                <w:rFonts w:hint="default" w:ascii="Times New Roman" w:hAnsi="Times New Roman" w:eastAsia="宋体" w:cs="Times New Roman"/>
                <w:kern w:val="0"/>
                <w:sz w:val="24"/>
                <w:szCs w:val="24"/>
              </w:rPr>
              <w:t>粤西部重要的硫化工产业专区</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产业发展方向</w:t>
            </w:r>
            <w:r>
              <w:rPr>
                <w:rFonts w:hint="eastAsia" w:ascii="Times New Roman" w:hAnsi="Times New Roman" w:eastAsia="宋体" w:cs="Times New Roman"/>
                <w:kern w:val="0"/>
                <w:sz w:val="24"/>
                <w:szCs w:val="24"/>
                <w:lang w:eastAsia="zh-CN"/>
              </w:rPr>
              <w:t>为“</w:t>
            </w:r>
            <w:r>
              <w:rPr>
                <w:rFonts w:hint="default" w:ascii="Times New Roman" w:hAnsi="Times New Roman" w:eastAsia="宋体" w:cs="Times New Roman"/>
                <w:kern w:val="0"/>
                <w:sz w:val="24"/>
                <w:szCs w:val="24"/>
              </w:rPr>
              <w:t>以云浮硫铁矿资源为基础，打造硫化工产业集群，形成以硫酸、锐钛型钛白粉、金红石型钛白粉、聚合松脂、过硫酸铵、过硫酸钠、聚酯树脂为重点的硫化工产业体系。</w:t>
            </w:r>
            <w:r>
              <w:rPr>
                <w:rFonts w:hint="eastAsia" w:ascii="Times New Roman" w:hAnsi="Times New Roman" w:eastAsia="宋体" w:cs="Times New Roman"/>
                <w:kern w:val="0"/>
                <w:sz w:val="24"/>
                <w:szCs w:val="24"/>
                <w:lang w:eastAsia="zh-CN"/>
              </w:rPr>
              <w:t>”</w:t>
            </w:r>
          </w:p>
          <w:p w14:paraId="3FE10679">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目前，云浮硫铁矿产业链较短、产品结构单一，硫资源从硫铁矿仅延伸至硫酸、普钙，未能构建好延链强链的产业平台，铁资源未有进一步延伸，硫、铁、热三大资源未能通过有效的产业链延伸充分发挥其价值，因此开发附加值高、具有差异化竞争优势的高端化工产品意义重大。</w:t>
            </w:r>
          </w:p>
          <w:p w14:paraId="2B2FFEEA">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广东云硫环保新材料科技有限公司10万吨</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eastAsia="zh-CN"/>
              </w:rPr>
              <w:t>年精制湿法磷酸项目属于云浮市重点项目，该项目以云浮硫铁矿产业的主产品浓硫酸以及外购的磷精矿等为主要生产原料，采用先进工艺生产磷酸。该项目实际是“硫-磷-热-铁”的结合，更是当地“硫-磷-热-铁-氟-水泥”的循环产业链，当中既有小循环，也有中循环，该项目的建设有利于形成减量化、再利用、再循环的产业格局，大幅降低生产成本，具有较好的竞争力。</w:t>
            </w:r>
          </w:p>
          <w:p w14:paraId="4F33700B">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本项目主产品液氨主要保供给“广东云硫环保新材料科技有限公司10万吨</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eastAsia="zh-CN"/>
              </w:rPr>
              <w:t>年精制湿法磷酸项目”（本项目与该项目相对位置见</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附图</w:t>
            </w:r>
            <w:r>
              <w:rPr>
                <w:rFonts w:hint="eastAsia" w:cs="Times New Roman"/>
                <w:color w:val="000000" w:themeColor="text1"/>
                <w:kern w:val="0"/>
                <w:sz w:val="24"/>
                <w:szCs w:val="24"/>
                <w:lang w:val="en-US" w:eastAsia="zh-CN"/>
                <w14:textFill>
                  <w14:solidFill>
                    <w14:schemeClr w14:val="tx1"/>
                  </w14:solidFill>
                </w14:textFill>
              </w:rPr>
              <w:t>2</w:t>
            </w:r>
            <w:r>
              <w:rPr>
                <w:rFonts w:hint="eastAsia" w:ascii="Times New Roman" w:hAnsi="Times New Roman" w:eastAsia="宋体" w:cs="Times New Roman"/>
                <w:kern w:val="0"/>
                <w:sz w:val="24"/>
                <w:szCs w:val="24"/>
                <w:lang w:eastAsia="zh-CN"/>
              </w:rPr>
              <w:t>），以保障该湿法磷酸项目的连续生产，属于该项目的配套项目。</w:t>
            </w:r>
          </w:p>
          <w:p w14:paraId="3414ACBA">
            <w:pPr>
              <w:autoSpaceDE w:val="0"/>
              <w:autoSpaceDN w:val="0"/>
              <w:adjustRightInd w:val="0"/>
              <w:snapToGrid w:val="0"/>
              <w:spacing w:line="360" w:lineRule="auto"/>
              <w:ind w:firstLine="480" w:firstLineChars="200"/>
              <w:jc w:val="left"/>
            </w:pPr>
            <w:r>
              <w:rPr>
                <w:rFonts w:hint="eastAsia" w:ascii="Times New Roman" w:hAnsi="Times New Roman" w:eastAsia="宋体" w:cs="Times New Roman"/>
                <w:kern w:val="0"/>
                <w:sz w:val="24"/>
                <w:szCs w:val="24"/>
                <w:lang w:eastAsia="zh-CN"/>
              </w:rPr>
              <w:t>综上，本项目是“广东云硫环保新材料科技有限公司10万吨</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eastAsia="zh-CN"/>
              </w:rPr>
              <w:t>年精制湿法磷酸项目”的配套项目，有助于云浮循环经济工业园化工专区打造硫化工产业体系，因此本项目符合</w:t>
            </w:r>
            <w:r>
              <w:rPr>
                <w:rFonts w:hint="default" w:ascii="Times New Roman" w:hAnsi="Times New Roman" w:eastAsia="宋体" w:cs="Times New Roman"/>
                <w:kern w:val="0"/>
                <w:sz w:val="24"/>
                <w:szCs w:val="24"/>
              </w:rPr>
              <w:t>云浮循环经济工业园化工专区</w:t>
            </w:r>
            <w:r>
              <w:rPr>
                <w:rFonts w:hint="eastAsia" w:ascii="Times New Roman" w:hAnsi="Times New Roman" w:eastAsia="宋体" w:cs="Times New Roman"/>
                <w:kern w:val="0"/>
                <w:sz w:val="24"/>
                <w:szCs w:val="24"/>
                <w:lang w:eastAsia="zh-CN"/>
              </w:rPr>
              <w:t>总体规划。</w:t>
            </w:r>
          </w:p>
        </w:tc>
      </w:tr>
      <w:tr w14:paraId="22FEF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33" w:hRule="atLeast"/>
          <w:jc w:val="center"/>
        </w:trPr>
        <w:tc>
          <w:tcPr>
            <w:tcW w:w="723" w:type="dxa"/>
            <w:vAlign w:val="center"/>
          </w:tcPr>
          <w:p w14:paraId="6BEC866D">
            <w:pPr>
              <w:autoSpaceDE w:val="0"/>
              <w:autoSpaceDN w:val="0"/>
              <w:adjustRightInd w:val="0"/>
              <w:snapToGrid w:val="0"/>
              <w:spacing w:line="240" w:lineRule="auto"/>
              <w:jc w:val="center"/>
              <w:rPr>
                <w:kern w:val="0"/>
                <w:szCs w:val="21"/>
              </w:rPr>
            </w:pPr>
            <w:r>
              <w:rPr>
                <w:b/>
                <w:bCs/>
                <w:kern w:val="0"/>
                <w:sz w:val="28"/>
                <w:szCs w:val="22"/>
              </w:rPr>
              <w:t>其他符合性分析</w:t>
            </w:r>
          </w:p>
        </w:tc>
        <w:tc>
          <w:tcPr>
            <w:tcW w:w="9509" w:type="dxa"/>
            <w:gridSpan w:val="4"/>
            <w:vAlign w:val="center"/>
          </w:tcPr>
          <w:p w14:paraId="775405E1">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1、产业政策符合性分析</w:t>
            </w:r>
          </w:p>
          <w:p w14:paraId="2CD133F4">
            <w:pPr>
              <w:autoSpaceDE w:val="0"/>
              <w:autoSpaceDN w:val="0"/>
              <w:adjustRightInd w:val="0"/>
              <w:snapToGri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根据《产业结构调整指导目录（2024年本）》，本项目属于鼓励类、限制类和淘汰类之外的符合国家有关法律、法规和政策规定的允许类</w:t>
            </w:r>
            <w:r>
              <w:rPr>
                <w:rFonts w:hint="eastAsia" w:ascii="Times New Roman" w:hAnsi="Times New Roman" w:eastAsia="宋体" w:cs="Times New Roman"/>
                <w:kern w:val="0"/>
                <w:sz w:val="24"/>
                <w:szCs w:val="24"/>
                <w:lang w:eastAsia="zh-CN"/>
              </w:rPr>
              <w:t>产业</w:t>
            </w:r>
            <w:r>
              <w:rPr>
                <w:rFonts w:hint="default" w:ascii="Times New Roman" w:hAnsi="Times New Roman" w:eastAsia="宋体" w:cs="Times New Roman"/>
                <w:kern w:val="0"/>
                <w:sz w:val="24"/>
                <w:szCs w:val="24"/>
              </w:rPr>
              <w:t>。</w:t>
            </w:r>
          </w:p>
          <w:p w14:paraId="3BEBD612">
            <w:pPr>
              <w:autoSpaceDE w:val="0"/>
              <w:autoSpaceDN w:val="0"/>
              <w:adjustRightInd w:val="0"/>
              <w:snapToGrid w:val="0"/>
              <w:spacing w:line="240" w:lineRule="auto"/>
              <w:jc w:val="left"/>
              <w:rPr>
                <w:rFonts w:hint="eastAsia" w:ascii="Times New Roman" w:hAnsi="Times New Roman" w:eastAsia="宋体" w:cs="Times New Roman"/>
                <w:kern w:val="0"/>
                <w:sz w:val="24"/>
                <w:szCs w:val="24"/>
                <w:lang w:eastAsia="zh-CN"/>
              </w:rPr>
            </w:pPr>
          </w:p>
          <w:p w14:paraId="5C50A689">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2、市场准入符合性分析</w:t>
            </w:r>
          </w:p>
          <w:p w14:paraId="79F20C6B">
            <w:pPr>
              <w:autoSpaceDE w:val="0"/>
              <w:autoSpaceDN w:val="0"/>
              <w:adjustRightInd w:val="0"/>
              <w:snapToGri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根据《市场准入负面清单（2022年版）》，本项目属于该市场准入负面清单以外的行业领域，可依法进入市场。</w:t>
            </w:r>
          </w:p>
          <w:p w14:paraId="0BA3C43E">
            <w:pPr>
              <w:autoSpaceDE w:val="0"/>
              <w:autoSpaceDN w:val="0"/>
              <w:adjustRightInd w:val="0"/>
              <w:snapToGrid w:val="0"/>
              <w:spacing w:line="240" w:lineRule="auto"/>
              <w:jc w:val="left"/>
              <w:rPr>
                <w:rFonts w:hint="default" w:ascii="Times New Roman" w:hAnsi="Times New Roman" w:eastAsia="宋体" w:cs="Times New Roman"/>
                <w:b/>
                <w:bCs/>
                <w:kern w:val="0"/>
                <w:sz w:val="24"/>
                <w:szCs w:val="24"/>
              </w:rPr>
            </w:pPr>
          </w:p>
          <w:p w14:paraId="001C1DA0">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3、与《广东省坚决遏制“两高”项目盲目发展的实施方案》（粤发改能源〔2021〕368号）符合性分析</w:t>
            </w:r>
          </w:p>
          <w:p w14:paraId="37661A9C">
            <w:pPr>
              <w:autoSpaceDE w:val="0"/>
              <w:autoSpaceDN w:val="0"/>
              <w:adjustRightInd w:val="0"/>
              <w:snapToGri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根据《广东省坚决遏制</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两高</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项目盲目发展的实施方案》（粤发改能源〔2021〕368号），</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两高</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项目是指</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两高</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行业生产高耗能高排放产品或具有高耗能高排放生产工序，年综合能源消费量1万吨标准煤以上的固定资产投资项目。</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两高</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行业包括煤电、石化、化工、钢铁、有色金属、建材、煤化工、焦化共8个行业。</w:t>
            </w:r>
          </w:p>
          <w:p w14:paraId="4083B168">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eastAsia="zh-CN"/>
              </w:rPr>
              <w:t>根据《国民经济行业分类》（GB</w:t>
            </w:r>
            <w:r>
              <w:rPr>
                <w:rFonts w:hint="eastAsia"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eastAsia="zh-CN"/>
              </w:rPr>
              <w:t>T4754-2017）和《国民经济行业分类注释》（2019年5月修订），</w:t>
            </w:r>
            <w:r>
              <w:rPr>
                <w:rFonts w:hint="default" w:ascii="Times New Roman" w:hAnsi="Times New Roman" w:eastAsia="宋体" w:cs="Times New Roman"/>
                <w:kern w:val="0"/>
                <w:sz w:val="24"/>
                <w:szCs w:val="24"/>
              </w:rPr>
              <w:t>本项目所属行业是</w:t>
            </w:r>
            <w:r>
              <w:rPr>
                <w:rFonts w:hint="eastAsia" w:ascii="Times New Roman" w:hAnsi="Times New Roman" w:eastAsia="宋体" w:cs="Times New Roman"/>
                <w:kern w:val="0"/>
                <w:sz w:val="24"/>
                <w:szCs w:val="24"/>
                <w:lang w:eastAsia="zh-CN"/>
              </w:rPr>
              <w:t>氮肥制造业</w:t>
            </w:r>
            <w:r>
              <w:rPr>
                <w:rFonts w:hint="default" w:ascii="Times New Roman" w:hAnsi="Times New Roman" w:eastAsia="宋体" w:cs="Times New Roman"/>
                <w:kern w:val="0"/>
                <w:sz w:val="24"/>
                <w:szCs w:val="24"/>
              </w:rPr>
              <w:t>，属于</w:t>
            </w:r>
            <w:r>
              <w:rPr>
                <w:rFonts w:hint="eastAsia" w:ascii="Times New Roman" w:hAnsi="Times New Roman" w:eastAsia="宋体" w:cs="Times New Roman"/>
                <w:kern w:val="0"/>
                <w:sz w:val="24"/>
                <w:szCs w:val="24"/>
                <w:lang w:eastAsia="zh-CN"/>
              </w:rPr>
              <w:t>“化工”</w:t>
            </w:r>
            <w:r>
              <w:rPr>
                <w:rFonts w:hint="default" w:ascii="Times New Roman" w:hAnsi="Times New Roman" w:eastAsia="宋体" w:cs="Times New Roman"/>
                <w:kern w:val="0"/>
                <w:sz w:val="24"/>
                <w:szCs w:val="24"/>
              </w:rPr>
              <w:t>行业。</w:t>
            </w:r>
            <w:r>
              <w:rPr>
                <w:rFonts w:hint="eastAsia" w:ascii="Times New Roman" w:hAnsi="Times New Roman" w:eastAsia="宋体" w:cs="Times New Roman"/>
                <w:kern w:val="0"/>
                <w:sz w:val="24"/>
                <w:szCs w:val="24"/>
                <w:lang w:eastAsia="zh-CN"/>
              </w:rPr>
              <w:t>根据能耗计算，本项目</w:t>
            </w:r>
            <w:r>
              <w:rPr>
                <w:rFonts w:hint="default" w:ascii="Times New Roman" w:hAnsi="Times New Roman" w:eastAsia="宋体" w:cs="Times New Roman"/>
                <w:kern w:val="0"/>
                <w:sz w:val="24"/>
                <w:szCs w:val="24"/>
              </w:rPr>
              <w:t>年综合能源消费量</w:t>
            </w:r>
            <w:r>
              <w:rPr>
                <w:rFonts w:hint="eastAsia" w:ascii="Times New Roman" w:hAnsi="Times New Roman" w:eastAsia="宋体" w:cs="Times New Roman"/>
                <w:kern w:val="0"/>
                <w:sz w:val="24"/>
                <w:szCs w:val="24"/>
                <w:lang w:eastAsia="zh-CN"/>
              </w:rPr>
              <w:t>约为</w:t>
            </w:r>
            <w:r>
              <w:rPr>
                <w:rFonts w:hint="eastAsia" w:ascii="Times New Roman" w:hAnsi="Times New Roman" w:eastAsia="宋体" w:cs="Times New Roman"/>
                <w:kern w:val="0"/>
                <w:sz w:val="24"/>
                <w:szCs w:val="24"/>
                <w:lang w:val="en-US" w:eastAsia="zh-CN"/>
              </w:rPr>
              <w:t>146.56吨标准煤。</w:t>
            </w:r>
          </w:p>
          <w:p w14:paraId="6DA3FCEE">
            <w:pPr>
              <w:autoSpaceDE w:val="0"/>
              <w:autoSpaceDN w:val="0"/>
              <w:adjustRightInd w:val="0"/>
              <w:snapToGrid w:val="0"/>
              <w:spacing w:line="360" w:lineRule="auto"/>
              <w:ind w:firstLine="480" w:firstLineChars="200"/>
              <w:jc w:val="left"/>
              <w:rPr>
                <w:rFonts w:hint="default"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综上，</w:t>
            </w:r>
            <w:r>
              <w:rPr>
                <w:rFonts w:hint="default" w:ascii="Times New Roman" w:hAnsi="Times New Roman" w:eastAsia="宋体" w:cs="Times New Roman"/>
                <w:kern w:val="0"/>
                <w:sz w:val="24"/>
                <w:szCs w:val="24"/>
              </w:rPr>
              <w:t>本项目</w:t>
            </w:r>
            <w:r>
              <w:rPr>
                <w:rFonts w:hint="eastAsia" w:ascii="Times New Roman" w:hAnsi="Times New Roman" w:eastAsia="宋体" w:cs="Times New Roman"/>
                <w:kern w:val="0"/>
                <w:sz w:val="24"/>
                <w:szCs w:val="24"/>
                <w:lang w:eastAsia="zh-CN"/>
              </w:rPr>
              <w:t>所属的行业属于“两高”行业，但本项目不属于“</w:t>
            </w:r>
            <w:r>
              <w:rPr>
                <w:rFonts w:hint="default" w:ascii="Times New Roman" w:hAnsi="Times New Roman" w:eastAsia="宋体" w:cs="Times New Roman"/>
                <w:kern w:val="0"/>
                <w:sz w:val="24"/>
                <w:szCs w:val="24"/>
              </w:rPr>
              <w:t>两高</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项目，不纳入广东省坚决遏制</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两高</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项目盲目发展的范围。</w:t>
            </w:r>
          </w:p>
          <w:p w14:paraId="1D75242A">
            <w:pPr>
              <w:tabs>
                <w:tab w:val="left" w:pos="1426"/>
              </w:tabs>
              <w:autoSpaceDE w:val="0"/>
              <w:autoSpaceDN w:val="0"/>
              <w:adjustRightInd w:val="0"/>
              <w:snapToGrid w:val="0"/>
              <w:spacing w:line="240" w:lineRule="auto"/>
              <w:jc w:val="both"/>
              <w:rPr>
                <w:rFonts w:hint="eastAsia" w:ascii="Times New Roman" w:hAnsi="Times New Roman" w:eastAsia="宋体" w:cs="Times New Roman"/>
                <w:b w:val="0"/>
                <w:bCs w:val="0"/>
                <w:kern w:val="0"/>
                <w:sz w:val="24"/>
                <w:szCs w:val="24"/>
                <w:lang w:val="en-US" w:eastAsia="zh-CN"/>
              </w:rPr>
            </w:pPr>
          </w:p>
          <w:p w14:paraId="2114D493">
            <w:pPr>
              <w:tabs>
                <w:tab w:val="left" w:pos="1426"/>
              </w:tabs>
              <w:autoSpaceDE w:val="0"/>
              <w:autoSpaceDN w:val="0"/>
              <w:adjustRightInd w:val="0"/>
              <w:snapToGrid w:val="0"/>
              <w:spacing w:line="360" w:lineRule="auto"/>
              <w:ind w:firstLine="482" w:firstLineChars="200"/>
              <w:jc w:val="both"/>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4、与《广东省“三线一单”生态环境分区管控方案》（粤府〔2020〕71号）符合性分析</w:t>
            </w:r>
          </w:p>
          <w:p w14:paraId="0A869460">
            <w:pPr>
              <w:autoSpaceDE w:val="0"/>
              <w:autoSpaceDN w:val="0"/>
              <w:adjustRightInd w:val="0"/>
              <w:snapToGrid w:val="0"/>
              <w:spacing w:line="360" w:lineRule="auto"/>
              <w:ind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本项目位于云浮市云安区，属于</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北部生态发展区</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。项目与全省总体和北部生态发展区管控有关要求的符合性分析见表1-1。</w:t>
            </w:r>
          </w:p>
          <w:p w14:paraId="6C7EEA32">
            <w:pPr>
              <w:pStyle w:val="15"/>
              <w:bidi w:val="0"/>
              <w:rPr>
                <w:rFonts w:hint="eastAsia"/>
                <w:lang w:eastAsia="zh-CN"/>
              </w:rPr>
            </w:pPr>
            <w:r>
              <w:rPr>
                <w:rFonts w:hint="eastAsia"/>
                <w:lang w:eastAsia="zh-CN"/>
              </w:rPr>
              <w:t>表1-1 与广东省“三线一单”符合性分析</w:t>
            </w:r>
          </w:p>
          <w:tbl>
            <w:tblPr>
              <w:tblStyle w:val="12"/>
              <w:tblW w:w="90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3424"/>
              <w:gridCol w:w="3425"/>
              <w:gridCol w:w="1100"/>
            </w:tblGrid>
            <w:tr w14:paraId="0A3F4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dxa"/>
                  <w:tcBorders>
                    <w:tl2br w:val="nil"/>
                    <w:tr2bl w:val="nil"/>
                  </w:tcBorders>
                  <w:noWrap w:val="0"/>
                  <w:vAlign w:val="center"/>
                </w:tcPr>
                <w:p w14:paraId="0626CFB7">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管控范围</w:t>
                  </w:r>
                </w:p>
              </w:tc>
              <w:tc>
                <w:tcPr>
                  <w:tcW w:w="3424" w:type="dxa"/>
                  <w:tcBorders>
                    <w:tl2br w:val="nil"/>
                    <w:tr2bl w:val="nil"/>
                  </w:tcBorders>
                  <w:noWrap w:val="0"/>
                  <w:vAlign w:val="center"/>
                </w:tcPr>
                <w:p w14:paraId="1FAF765C">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有关要求</w:t>
                  </w:r>
                </w:p>
              </w:tc>
              <w:tc>
                <w:tcPr>
                  <w:tcW w:w="3425" w:type="dxa"/>
                  <w:tcBorders>
                    <w:tl2br w:val="nil"/>
                    <w:tr2bl w:val="nil"/>
                  </w:tcBorders>
                  <w:noWrap w:val="0"/>
                  <w:vAlign w:val="center"/>
                </w:tcPr>
                <w:p w14:paraId="45E91CF0">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项目情况</w:t>
                  </w:r>
                </w:p>
              </w:tc>
              <w:tc>
                <w:tcPr>
                  <w:tcW w:w="1100" w:type="dxa"/>
                  <w:tcBorders>
                    <w:tl2br w:val="nil"/>
                    <w:tr2bl w:val="nil"/>
                  </w:tcBorders>
                  <w:noWrap w:val="0"/>
                  <w:vAlign w:val="center"/>
                </w:tcPr>
                <w:p w14:paraId="6433BF65">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符合情况</w:t>
                  </w:r>
                </w:p>
              </w:tc>
            </w:tr>
            <w:tr w14:paraId="0FAD9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dxa"/>
                  <w:vMerge w:val="restart"/>
                  <w:tcBorders>
                    <w:tl2br w:val="nil"/>
                    <w:tr2bl w:val="nil"/>
                  </w:tcBorders>
                  <w:noWrap w:val="0"/>
                  <w:vAlign w:val="center"/>
                </w:tcPr>
                <w:p w14:paraId="5ECD74AA">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全省总体</w:t>
                  </w:r>
                </w:p>
              </w:tc>
              <w:tc>
                <w:tcPr>
                  <w:tcW w:w="3424" w:type="dxa"/>
                  <w:tcBorders>
                    <w:tl2br w:val="nil"/>
                    <w:tr2bl w:val="nil"/>
                  </w:tcBorders>
                  <w:noWrap w:val="0"/>
                  <w:vAlign w:val="center"/>
                </w:tcPr>
                <w:p w14:paraId="746C50AE">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推动工业项目入园集聚发展，引导重大产业向沿海等环境容量充足地区布局，新建化学制浆、电镀、印染、鞣革等项目入园集中管理。</w:t>
                  </w:r>
                </w:p>
              </w:tc>
              <w:tc>
                <w:tcPr>
                  <w:tcW w:w="3425" w:type="dxa"/>
                  <w:tcBorders>
                    <w:tl2br w:val="nil"/>
                    <w:tr2bl w:val="nil"/>
                  </w:tcBorders>
                  <w:noWrap w:val="0"/>
                  <w:vAlign w:val="center"/>
                </w:tcPr>
                <w:p w14:paraId="0DD5E819">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w:t>
                  </w:r>
                </w:p>
              </w:tc>
              <w:tc>
                <w:tcPr>
                  <w:tcW w:w="1100" w:type="dxa"/>
                  <w:tcBorders>
                    <w:tl2br w:val="nil"/>
                    <w:tr2bl w:val="nil"/>
                  </w:tcBorders>
                  <w:noWrap w:val="0"/>
                  <w:vAlign w:val="center"/>
                </w:tcPr>
                <w:p w14:paraId="3CB4F209">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686AE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dxa"/>
                  <w:vMerge w:val="continue"/>
                  <w:tcBorders>
                    <w:tl2br w:val="nil"/>
                    <w:tr2bl w:val="nil"/>
                  </w:tcBorders>
                  <w:noWrap w:val="0"/>
                  <w:vAlign w:val="center"/>
                </w:tcPr>
                <w:p w14:paraId="474342CB">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p>
              </w:tc>
              <w:tc>
                <w:tcPr>
                  <w:tcW w:w="3424" w:type="dxa"/>
                  <w:tcBorders>
                    <w:tl2br w:val="nil"/>
                    <w:tr2bl w:val="nil"/>
                  </w:tcBorders>
                  <w:noWrap w:val="0"/>
                  <w:vAlign w:val="center"/>
                </w:tcPr>
                <w:p w14:paraId="6AF31A68">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通过源头替代、过程控制和末端治理实施反应活性物质、有毒有害物质、恶臭物质的协同控制。</w:t>
                  </w:r>
                </w:p>
              </w:tc>
              <w:tc>
                <w:tcPr>
                  <w:tcW w:w="3425" w:type="dxa"/>
                  <w:tcBorders>
                    <w:tl2br w:val="nil"/>
                    <w:tr2bl w:val="nil"/>
                  </w:tcBorders>
                  <w:noWrap w:val="0"/>
                  <w:vAlign w:val="center"/>
                </w:tcPr>
                <w:p w14:paraId="1445D2D6">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本项目拟通过源头替代、过程控制和末端治理对氨气进行控制。</w:t>
                  </w:r>
                </w:p>
              </w:tc>
              <w:tc>
                <w:tcPr>
                  <w:tcW w:w="1100" w:type="dxa"/>
                  <w:tcBorders>
                    <w:tl2br w:val="nil"/>
                    <w:tr2bl w:val="nil"/>
                  </w:tcBorders>
                  <w:noWrap w:val="0"/>
                  <w:vAlign w:val="center"/>
                </w:tcPr>
                <w:p w14:paraId="36A0F6A2">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06F81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dxa"/>
                  <w:vMerge w:val="restart"/>
                  <w:tcBorders>
                    <w:tl2br w:val="nil"/>
                    <w:tr2bl w:val="nil"/>
                  </w:tcBorders>
                  <w:noWrap w:val="0"/>
                  <w:vAlign w:val="center"/>
                </w:tcPr>
                <w:p w14:paraId="004A7784">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北部生态发展区</w:t>
                  </w:r>
                </w:p>
              </w:tc>
              <w:tc>
                <w:tcPr>
                  <w:tcW w:w="3424" w:type="dxa"/>
                  <w:tcBorders>
                    <w:tl2br w:val="nil"/>
                    <w:tr2bl w:val="nil"/>
                  </w:tcBorders>
                  <w:noWrap w:val="0"/>
                  <w:vAlign w:val="center"/>
                </w:tcPr>
                <w:p w14:paraId="33F2FB34">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引导工业项目科学布局，新建项目原则上入园管理，推动现有工业项目集中进园。</w:t>
                  </w:r>
                </w:p>
              </w:tc>
              <w:tc>
                <w:tcPr>
                  <w:tcW w:w="3425" w:type="dxa"/>
                  <w:tcBorders>
                    <w:tl2br w:val="nil"/>
                    <w:tr2bl w:val="nil"/>
                  </w:tcBorders>
                  <w:noWrap w:val="0"/>
                  <w:vAlign w:val="center"/>
                </w:tcPr>
                <w:p w14:paraId="72FFB624">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w:t>
                  </w:r>
                </w:p>
              </w:tc>
              <w:tc>
                <w:tcPr>
                  <w:tcW w:w="1100" w:type="dxa"/>
                  <w:tcBorders>
                    <w:tl2br w:val="nil"/>
                    <w:tr2bl w:val="nil"/>
                  </w:tcBorders>
                  <w:noWrap w:val="0"/>
                  <w:vAlign w:val="center"/>
                </w:tcPr>
                <w:p w14:paraId="286A2997">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393E4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dxa"/>
                  <w:vMerge w:val="continue"/>
                  <w:tcBorders>
                    <w:tl2br w:val="nil"/>
                    <w:tr2bl w:val="nil"/>
                  </w:tcBorders>
                  <w:noWrap w:val="0"/>
                  <w:vAlign w:val="center"/>
                </w:tcPr>
                <w:p w14:paraId="1FFA13A3">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p>
              </w:tc>
              <w:tc>
                <w:tcPr>
                  <w:tcW w:w="3424" w:type="dxa"/>
                  <w:tcBorders>
                    <w:tl2br w:val="nil"/>
                    <w:tr2bl w:val="nil"/>
                  </w:tcBorders>
                  <w:noWrap w:val="0"/>
                  <w:vAlign w:val="center"/>
                </w:tcPr>
                <w:p w14:paraId="76DA4643">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严格控制涉重金属及有毒有害污染物排放的项目建设。</w:t>
                  </w:r>
                </w:p>
              </w:tc>
              <w:tc>
                <w:tcPr>
                  <w:tcW w:w="3425" w:type="dxa"/>
                  <w:tcBorders>
                    <w:tl2br w:val="nil"/>
                    <w:tr2bl w:val="nil"/>
                  </w:tcBorders>
                  <w:noWrap w:val="0"/>
                  <w:vAlign w:val="center"/>
                </w:tcPr>
                <w:p w14:paraId="1C6D2D61">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本项目属于硫化工产业的配套补链项目，有助于云浮循环经济工业园化工专区打造硫化工产业体系。</w:t>
                  </w:r>
                </w:p>
                <w:p w14:paraId="42615921">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项目拟采取有效的控制措施，以减少氨气的排放。</w:t>
                  </w:r>
                </w:p>
              </w:tc>
              <w:tc>
                <w:tcPr>
                  <w:tcW w:w="1100" w:type="dxa"/>
                  <w:tcBorders>
                    <w:tl2br w:val="nil"/>
                    <w:tr2bl w:val="nil"/>
                  </w:tcBorders>
                  <w:noWrap w:val="0"/>
                  <w:vAlign w:val="center"/>
                </w:tcPr>
                <w:p w14:paraId="55F2FFB2">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bl>
          <w:p w14:paraId="0FAE5D6A">
            <w:pPr>
              <w:autoSpaceDE w:val="0"/>
              <w:autoSpaceDN w:val="0"/>
              <w:adjustRightInd w:val="0"/>
              <w:snapToGrid w:val="0"/>
              <w:spacing w:line="240" w:lineRule="auto"/>
              <w:jc w:val="left"/>
              <w:rPr>
                <w:rFonts w:hint="eastAsia" w:ascii="Times New Roman" w:hAnsi="Times New Roman" w:eastAsia="宋体" w:cs="Times New Roman"/>
                <w:kern w:val="0"/>
                <w:sz w:val="24"/>
                <w:szCs w:val="24"/>
                <w:lang w:eastAsia="zh-CN"/>
              </w:rPr>
            </w:pPr>
          </w:p>
          <w:p w14:paraId="37549E78">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综上，本项目符合《广东省“三线一单”生态环境分区管控方案》（粤府〔2020〕71号）有关要求。</w:t>
            </w:r>
          </w:p>
          <w:p w14:paraId="6F142840">
            <w:pPr>
              <w:autoSpaceDE w:val="0"/>
              <w:autoSpaceDN w:val="0"/>
              <w:adjustRightInd w:val="0"/>
              <w:snapToGrid w:val="0"/>
              <w:spacing w:line="240" w:lineRule="auto"/>
              <w:jc w:val="left"/>
              <w:rPr>
                <w:rFonts w:hint="eastAsia" w:ascii="Times New Roman" w:hAnsi="Times New Roman" w:eastAsia="宋体" w:cs="Times New Roman"/>
                <w:b/>
                <w:bCs/>
                <w:kern w:val="0"/>
                <w:sz w:val="24"/>
                <w:szCs w:val="24"/>
                <w:lang w:eastAsia="zh-CN"/>
              </w:rPr>
            </w:pPr>
          </w:p>
          <w:p w14:paraId="47C8E9FB">
            <w:pPr>
              <w:autoSpaceDE w:val="0"/>
              <w:autoSpaceDN w:val="0"/>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b/>
                <w:bCs/>
                <w:kern w:val="0"/>
                <w:sz w:val="24"/>
                <w:szCs w:val="24"/>
                <w:lang w:eastAsia="zh-CN"/>
              </w:rPr>
              <w:t>5、《云浮市人民政府关于印发云浮市“三线一单”生态环境分区管控方案（2024版）的通知（云府〔2024〕20号）》符合性分析</w:t>
            </w:r>
          </w:p>
          <w:p w14:paraId="5A47207B">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根据广东省“三线一单”应用平台，本项目所在地属于：</w:t>
            </w:r>
          </w:p>
          <w:p w14:paraId="699BEEBE">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①云安区大气环境高排放重点管控区（ZH445303200</w:t>
            </w:r>
            <w:r>
              <w:rPr>
                <w:rFonts w:hint="eastAsia" w:ascii="Times New Roman" w:hAnsi="Times New Roman" w:eastAsia="宋体" w:cs="Times New Roman"/>
                <w:kern w:val="0"/>
                <w:sz w:val="24"/>
                <w:szCs w:val="24"/>
                <w:lang w:val="en-US" w:eastAsia="zh-CN"/>
              </w:rPr>
              <w:t>11</w:t>
            </w:r>
            <w:r>
              <w:rPr>
                <w:rFonts w:hint="eastAsia" w:ascii="Times New Roman" w:hAnsi="Times New Roman" w:eastAsia="宋体" w:cs="Times New Roman"/>
                <w:kern w:val="0"/>
                <w:sz w:val="24"/>
                <w:szCs w:val="24"/>
                <w:lang w:eastAsia="zh-CN"/>
              </w:rPr>
              <w:t>）；</w:t>
            </w:r>
          </w:p>
          <w:p w14:paraId="10E489F5">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②（生态空间）一般管控区（YS4453033110001）；</w:t>
            </w:r>
          </w:p>
          <w:p w14:paraId="20B88115">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③逢源河云浮市六都镇控制单元（YS4453033210012）；</w:t>
            </w:r>
          </w:p>
          <w:p w14:paraId="074D4507">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④六都镇大气环境高排放重点管控区（YS4453032310002）。</w:t>
            </w:r>
          </w:p>
          <w:p w14:paraId="6226F850">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上述区划见附图。本项目与全市总体和上述管控单元/管控区有关要求的符合性分析见表1-2。</w:t>
            </w:r>
          </w:p>
          <w:p w14:paraId="5BF61920">
            <w:pPr>
              <w:pStyle w:val="15"/>
              <w:bidi w:val="0"/>
              <w:rPr>
                <w:rFonts w:hint="eastAsia"/>
                <w:lang w:eastAsia="zh-CN"/>
              </w:rPr>
            </w:pPr>
            <w:r>
              <w:rPr>
                <w:rFonts w:hint="eastAsia"/>
                <w:lang w:eastAsia="zh-CN"/>
              </w:rPr>
              <w:t>表1-2 与云浮市“三线一单”符合性分析</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41"/>
              <w:gridCol w:w="3421"/>
              <w:gridCol w:w="3422"/>
              <w:gridCol w:w="1110"/>
            </w:tblGrid>
            <w:tr w14:paraId="576C9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tcBorders>
                    <w:tl2br w:val="nil"/>
                    <w:tr2bl w:val="nil"/>
                  </w:tcBorders>
                  <w:noWrap w:val="0"/>
                  <w:vAlign w:val="center"/>
                </w:tcPr>
                <w:p w14:paraId="73CF66FD">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管控范围</w:t>
                  </w:r>
                </w:p>
              </w:tc>
              <w:tc>
                <w:tcPr>
                  <w:tcW w:w="3421" w:type="dxa"/>
                  <w:tcBorders>
                    <w:tl2br w:val="nil"/>
                    <w:tr2bl w:val="nil"/>
                  </w:tcBorders>
                  <w:noWrap w:val="0"/>
                  <w:vAlign w:val="center"/>
                </w:tcPr>
                <w:p w14:paraId="537C6EF7">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有关要求</w:t>
                  </w:r>
                </w:p>
              </w:tc>
              <w:tc>
                <w:tcPr>
                  <w:tcW w:w="3422" w:type="dxa"/>
                  <w:tcBorders>
                    <w:tl2br w:val="nil"/>
                    <w:tr2bl w:val="nil"/>
                  </w:tcBorders>
                  <w:noWrap w:val="0"/>
                  <w:vAlign w:val="center"/>
                </w:tcPr>
                <w:p w14:paraId="7A47EA70">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项目情况</w:t>
                  </w:r>
                </w:p>
              </w:tc>
              <w:tc>
                <w:tcPr>
                  <w:tcW w:w="1110" w:type="dxa"/>
                  <w:tcBorders>
                    <w:tl2br w:val="nil"/>
                    <w:tr2bl w:val="nil"/>
                  </w:tcBorders>
                  <w:noWrap w:val="0"/>
                  <w:vAlign w:val="center"/>
                </w:tcPr>
                <w:p w14:paraId="3FB1A519">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符合情况</w:t>
                  </w:r>
                </w:p>
              </w:tc>
            </w:tr>
            <w:tr w14:paraId="1A610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vMerge w:val="restart"/>
                  <w:tcBorders>
                    <w:tl2br w:val="nil"/>
                    <w:tr2bl w:val="nil"/>
                  </w:tcBorders>
                  <w:noWrap w:val="0"/>
                  <w:vAlign w:val="center"/>
                </w:tcPr>
                <w:p w14:paraId="08D36999">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全市总体</w:t>
                  </w:r>
                </w:p>
              </w:tc>
              <w:tc>
                <w:tcPr>
                  <w:tcW w:w="3421" w:type="dxa"/>
                  <w:tcBorders>
                    <w:tl2br w:val="nil"/>
                    <w:tr2bl w:val="nil"/>
                  </w:tcBorders>
                  <w:noWrap w:val="0"/>
                  <w:vAlign w:val="center"/>
                </w:tcPr>
                <w:p w14:paraId="22579E2A">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引导优化工业园区科学布局，新建项目原则上入园管理，推动现有工业项目集中进园。</w:t>
                  </w:r>
                </w:p>
              </w:tc>
              <w:tc>
                <w:tcPr>
                  <w:tcW w:w="3422" w:type="dxa"/>
                  <w:tcBorders>
                    <w:tl2br w:val="nil"/>
                    <w:tr2bl w:val="nil"/>
                  </w:tcBorders>
                  <w:noWrap w:val="0"/>
                  <w:vAlign w:val="center"/>
                </w:tcPr>
                <w:p w14:paraId="5461F7D1">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w:t>
                  </w:r>
                </w:p>
              </w:tc>
              <w:tc>
                <w:tcPr>
                  <w:tcW w:w="1110" w:type="dxa"/>
                  <w:tcBorders>
                    <w:tl2br w:val="nil"/>
                    <w:tr2bl w:val="nil"/>
                  </w:tcBorders>
                  <w:noWrap w:val="0"/>
                  <w:vAlign w:val="center"/>
                </w:tcPr>
                <w:p w14:paraId="1440E332">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24824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vMerge w:val="continue"/>
                  <w:tcBorders>
                    <w:tl2br w:val="nil"/>
                    <w:tr2bl w:val="nil"/>
                  </w:tcBorders>
                  <w:noWrap w:val="0"/>
                  <w:vAlign w:val="center"/>
                </w:tcPr>
                <w:p w14:paraId="17095455">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p>
              </w:tc>
              <w:tc>
                <w:tcPr>
                  <w:tcW w:w="3421" w:type="dxa"/>
                  <w:tcBorders>
                    <w:tl2br w:val="nil"/>
                    <w:tr2bl w:val="nil"/>
                  </w:tcBorders>
                  <w:noWrap w:val="0"/>
                  <w:vAlign w:val="center"/>
                </w:tcPr>
                <w:p w14:paraId="5AEA1D9B">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强化化工企业，金属矿采选、金属冶炼等涉重金属污染行业，工业园区和尾矿库等重点环境风险源的环境风险防控，定期开展环境安全风险隐患排查，针对重点园区及企业建立完善的污染源在线监控系统，落实环境风险应急预案。</w:t>
                  </w:r>
                </w:p>
              </w:tc>
              <w:tc>
                <w:tcPr>
                  <w:tcW w:w="3422" w:type="dxa"/>
                  <w:tcBorders>
                    <w:tl2br w:val="nil"/>
                    <w:tr2bl w:val="nil"/>
                  </w:tcBorders>
                  <w:noWrap w:val="0"/>
                  <w:vAlign w:val="center"/>
                </w:tcPr>
                <w:p w14:paraId="31C85A90">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本项目拟建设氨气检测报警系统，落实防爆、防雷、消防等安全生产和环境风险防范与应对措施，项目建成后将按照有关要求组织编制应急预案，运营后将定期开展环境安全风险隐患排查。</w:t>
                  </w:r>
                </w:p>
              </w:tc>
              <w:tc>
                <w:tcPr>
                  <w:tcW w:w="1110" w:type="dxa"/>
                  <w:tcBorders>
                    <w:tl2br w:val="nil"/>
                    <w:tr2bl w:val="nil"/>
                  </w:tcBorders>
                  <w:noWrap w:val="0"/>
                  <w:vAlign w:val="center"/>
                </w:tcPr>
                <w:p w14:paraId="727F24A3">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335EA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tcBorders>
                    <w:tl2br w:val="nil"/>
                    <w:tr2bl w:val="nil"/>
                  </w:tcBorders>
                  <w:noWrap w:val="0"/>
                  <w:vAlign w:val="center"/>
                </w:tcPr>
                <w:p w14:paraId="46EFC907">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云安区大气环境高排放重点管控区</w:t>
                  </w:r>
                </w:p>
              </w:tc>
              <w:tc>
                <w:tcPr>
                  <w:tcW w:w="3421" w:type="dxa"/>
                  <w:tcBorders>
                    <w:tl2br w:val="nil"/>
                    <w:tr2bl w:val="nil"/>
                  </w:tcBorders>
                  <w:noWrap w:val="0"/>
                  <w:vAlign w:val="center"/>
                </w:tcPr>
                <w:p w14:paraId="72FB7370">
                  <w:pPr>
                    <w:autoSpaceDE w:val="0"/>
                    <w:autoSpaceDN w:val="0"/>
                    <w:adjustRightInd w:val="0"/>
                    <w:snapToGrid w:val="0"/>
                    <w:spacing w:line="240" w:lineRule="auto"/>
                    <w:jc w:val="left"/>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环境风险防控：</w:t>
                  </w:r>
                </w:p>
                <w:p w14:paraId="20255AA3">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加强对生产原料在运输、储存、生产过程中的管理，防止其泄漏，威胁周边生态环境。</w:t>
                  </w:r>
                </w:p>
              </w:tc>
              <w:tc>
                <w:tcPr>
                  <w:tcW w:w="3422" w:type="dxa"/>
                  <w:tcBorders>
                    <w:tl2br w:val="nil"/>
                    <w:tr2bl w:val="nil"/>
                  </w:tcBorders>
                  <w:noWrap w:val="0"/>
                  <w:vAlign w:val="center"/>
                </w:tcPr>
                <w:p w14:paraId="461665AA">
                  <w:pPr>
                    <w:autoSpaceDE w:val="0"/>
                    <w:autoSpaceDN w:val="0"/>
                    <w:adjustRightInd w:val="0"/>
                    <w:snapToGrid w:val="0"/>
                    <w:spacing w:line="240" w:lineRule="auto"/>
                    <w:ind w:firstLine="420" w:firstLineChars="200"/>
                    <w:jc w:val="left"/>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eastAsia="zh-CN"/>
                    </w:rPr>
                    <w:t>本项目拟采取相应的环境风险防范措施，防止液氨</w:t>
                  </w:r>
                  <w:r>
                    <w:rPr>
                      <w:rFonts w:hint="eastAsia" w:ascii="Times New Roman" w:hAnsi="Times New Roman" w:eastAsia="宋体" w:cs="Times New Roman"/>
                      <w:kern w:val="0"/>
                      <w:sz w:val="21"/>
                      <w:szCs w:val="21"/>
                      <w:vertAlign w:val="baseline"/>
                      <w:lang w:val="en-US" w:eastAsia="zh-CN"/>
                    </w:rPr>
                    <w:t>/</w:t>
                  </w:r>
                  <w:r>
                    <w:rPr>
                      <w:rFonts w:hint="eastAsia" w:ascii="Times New Roman" w:hAnsi="Times New Roman" w:eastAsia="宋体" w:cs="Times New Roman"/>
                      <w:kern w:val="0"/>
                      <w:sz w:val="21"/>
                      <w:szCs w:val="21"/>
                      <w:vertAlign w:val="baseline"/>
                      <w:lang w:eastAsia="zh-CN"/>
                    </w:rPr>
                    <w:t>氨气泄漏，拟建设氨气检测报警系统。</w:t>
                  </w:r>
                </w:p>
              </w:tc>
              <w:tc>
                <w:tcPr>
                  <w:tcW w:w="1110" w:type="dxa"/>
                  <w:tcBorders>
                    <w:tl2br w:val="nil"/>
                    <w:tr2bl w:val="nil"/>
                  </w:tcBorders>
                  <w:noWrap w:val="0"/>
                  <w:vAlign w:val="center"/>
                </w:tcPr>
                <w:p w14:paraId="7C8B954B">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5061D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tcBorders>
                    <w:tl2br w:val="nil"/>
                    <w:tr2bl w:val="nil"/>
                  </w:tcBorders>
                  <w:noWrap w:val="0"/>
                  <w:vAlign w:val="center"/>
                </w:tcPr>
                <w:p w14:paraId="32648A65">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（生态空间）一般管控区</w:t>
                  </w:r>
                </w:p>
              </w:tc>
              <w:tc>
                <w:tcPr>
                  <w:tcW w:w="3421" w:type="dxa"/>
                  <w:tcBorders>
                    <w:tl2br w:val="nil"/>
                    <w:tr2bl w:val="nil"/>
                  </w:tcBorders>
                  <w:noWrap w:val="0"/>
                  <w:vAlign w:val="center"/>
                </w:tcPr>
                <w:p w14:paraId="009D3087">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w:t>
                  </w:r>
                </w:p>
              </w:tc>
              <w:tc>
                <w:tcPr>
                  <w:tcW w:w="3422" w:type="dxa"/>
                  <w:tcBorders>
                    <w:tl2br w:val="nil"/>
                    <w:tr2bl w:val="nil"/>
                  </w:tcBorders>
                  <w:noWrap w:val="0"/>
                  <w:vAlign w:val="center"/>
                </w:tcPr>
                <w:p w14:paraId="1C5A7989">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w:t>
                  </w:r>
                </w:p>
              </w:tc>
              <w:tc>
                <w:tcPr>
                  <w:tcW w:w="1110" w:type="dxa"/>
                  <w:tcBorders>
                    <w:tl2br w:val="nil"/>
                    <w:tr2bl w:val="nil"/>
                  </w:tcBorders>
                  <w:noWrap w:val="0"/>
                  <w:vAlign w:val="center"/>
                </w:tcPr>
                <w:p w14:paraId="56590796">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w:t>
                  </w:r>
                </w:p>
              </w:tc>
            </w:tr>
            <w:tr w14:paraId="26013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tcBorders>
                    <w:tl2br w:val="nil"/>
                    <w:tr2bl w:val="nil"/>
                  </w:tcBorders>
                  <w:noWrap w:val="0"/>
                  <w:vAlign w:val="center"/>
                </w:tcPr>
                <w:p w14:paraId="7BDEC27F">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逢源河云浮市六都镇控制单元</w:t>
                  </w:r>
                </w:p>
              </w:tc>
              <w:tc>
                <w:tcPr>
                  <w:tcW w:w="3421" w:type="dxa"/>
                  <w:tcBorders>
                    <w:tl2br w:val="nil"/>
                    <w:tr2bl w:val="nil"/>
                  </w:tcBorders>
                  <w:noWrap w:val="0"/>
                  <w:vAlign w:val="center"/>
                </w:tcPr>
                <w:p w14:paraId="6ECBFF03">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rPr>
                    <w:t>/</w:t>
                  </w:r>
                </w:p>
              </w:tc>
              <w:tc>
                <w:tcPr>
                  <w:tcW w:w="3422" w:type="dxa"/>
                  <w:tcBorders>
                    <w:tl2br w:val="nil"/>
                    <w:tr2bl w:val="nil"/>
                  </w:tcBorders>
                  <w:noWrap w:val="0"/>
                  <w:vAlign w:val="center"/>
                </w:tcPr>
                <w:p w14:paraId="05029B69">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rPr>
                    <w:t>/</w:t>
                  </w:r>
                </w:p>
              </w:tc>
              <w:tc>
                <w:tcPr>
                  <w:tcW w:w="1110" w:type="dxa"/>
                  <w:tcBorders>
                    <w:tl2br w:val="nil"/>
                    <w:tr2bl w:val="nil"/>
                  </w:tcBorders>
                  <w:noWrap w:val="0"/>
                  <w:vAlign w:val="center"/>
                </w:tcPr>
                <w:p w14:paraId="7AC88799">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bidi="ar-SA"/>
                    </w:rPr>
                  </w:pPr>
                  <w:r>
                    <w:rPr>
                      <w:rFonts w:hint="eastAsia" w:ascii="Times New Roman" w:hAnsi="Times New Roman" w:eastAsia="宋体" w:cs="Times New Roman"/>
                      <w:kern w:val="0"/>
                      <w:sz w:val="21"/>
                      <w:szCs w:val="21"/>
                      <w:vertAlign w:val="baseline"/>
                      <w:lang w:val="en-US" w:eastAsia="zh-CN"/>
                    </w:rPr>
                    <w:t>/</w:t>
                  </w:r>
                </w:p>
              </w:tc>
            </w:tr>
            <w:tr w14:paraId="3DDBC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vMerge w:val="restart"/>
                  <w:tcBorders>
                    <w:tl2br w:val="nil"/>
                    <w:tr2bl w:val="nil"/>
                  </w:tcBorders>
                  <w:noWrap w:val="0"/>
                  <w:vAlign w:val="center"/>
                </w:tcPr>
                <w:p w14:paraId="138845F1">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六都镇大气环境高排放重点管控区</w:t>
                  </w:r>
                </w:p>
              </w:tc>
              <w:tc>
                <w:tcPr>
                  <w:tcW w:w="3421" w:type="dxa"/>
                  <w:tcBorders>
                    <w:tl2br w:val="nil"/>
                    <w:tr2bl w:val="nil"/>
                  </w:tcBorders>
                  <w:noWrap w:val="0"/>
                  <w:vAlign w:val="center"/>
                </w:tcPr>
                <w:p w14:paraId="5CF4E86D">
                  <w:pPr>
                    <w:autoSpaceDE w:val="0"/>
                    <w:autoSpaceDN w:val="0"/>
                    <w:adjustRightInd w:val="0"/>
                    <w:snapToGrid w:val="0"/>
                    <w:spacing w:line="240" w:lineRule="auto"/>
                    <w:jc w:val="left"/>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区域布局管控：</w:t>
                  </w:r>
                </w:p>
                <w:p w14:paraId="7B7224B5">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引导优化工业园区科学布局，新建项目原则上入园管理，推动现有工业项目集中进园，推进“三线一单”在钢铁等“两高”项目环境准入及管控要求方面的严格落实。</w:t>
                  </w:r>
                </w:p>
              </w:tc>
              <w:tc>
                <w:tcPr>
                  <w:tcW w:w="3422" w:type="dxa"/>
                  <w:tcBorders>
                    <w:tl2br w:val="nil"/>
                    <w:tr2bl w:val="nil"/>
                  </w:tcBorders>
                  <w:noWrap w:val="0"/>
                  <w:vAlign w:val="center"/>
                </w:tcPr>
                <w:p w14:paraId="5077637F">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w:t>
                  </w:r>
                </w:p>
                <w:p w14:paraId="1ED4B929">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本项目不属于“两高”项目。</w:t>
                  </w:r>
                </w:p>
              </w:tc>
              <w:tc>
                <w:tcPr>
                  <w:tcW w:w="1110" w:type="dxa"/>
                  <w:tcBorders>
                    <w:tl2br w:val="nil"/>
                    <w:tr2bl w:val="nil"/>
                  </w:tcBorders>
                  <w:noWrap w:val="0"/>
                  <w:vAlign w:val="center"/>
                </w:tcPr>
                <w:p w14:paraId="769DA3B3">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59C44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vMerge w:val="continue"/>
                  <w:tcBorders>
                    <w:tl2br w:val="nil"/>
                    <w:tr2bl w:val="nil"/>
                  </w:tcBorders>
                  <w:noWrap w:val="0"/>
                  <w:vAlign w:val="center"/>
                </w:tcPr>
                <w:p w14:paraId="470B23AF">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p>
              </w:tc>
              <w:tc>
                <w:tcPr>
                  <w:tcW w:w="3421" w:type="dxa"/>
                  <w:tcBorders>
                    <w:tl2br w:val="nil"/>
                    <w:tr2bl w:val="nil"/>
                  </w:tcBorders>
                  <w:noWrap w:val="0"/>
                  <w:vAlign w:val="center"/>
                </w:tcPr>
                <w:p w14:paraId="6A26D4C1">
                  <w:pPr>
                    <w:autoSpaceDE w:val="0"/>
                    <w:autoSpaceDN w:val="0"/>
                    <w:adjustRightInd w:val="0"/>
                    <w:snapToGrid w:val="0"/>
                    <w:spacing w:line="240" w:lineRule="auto"/>
                    <w:jc w:val="left"/>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eastAsia="zh-CN"/>
                    </w:rPr>
                    <w:t>污染物排放管控</w:t>
                  </w:r>
                  <w:r>
                    <w:rPr>
                      <w:rFonts w:hint="eastAsia" w:ascii="Times New Roman" w:hAnsi="Times New Roman" w:eastAsia="宋体" w:cs="Times New Roman"/>
                      <w:b/>
                      <w:bCs/>
                      <w:kern w:val="0"/>
                      <w:sz w:val="21"/>
                      <w:szCs w:val="21"/>
                      <w:vertAlign w:val="baseline"/>
                      <w:lang w:val="en-US" w:eastAsia="zh-CN"/>
                    </w:rPr>
                    <w:t>：</w:t>
                  </w:r>
                </w:p>
                <w:p w14:paraId="411B4D97">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以火力发电、钢铁、水泥等行业为重点，持续推进工业大气污染物全面稳定达标排放。</w:t>
                  </w:r>
                </w:p>
              </w:tc>
              <w:tc>
                <w:tcPr>
                  <w:tcW w:w="3422" w:type="dxa"/>
                  <w:tcBorders>
                    <w:tl2br w:val="nil"/>
                    <w:tr2bl w:val="nil"/>
                  </w:tcBorders>
                  <w:noWrap w:val="0"/>
                  <w:vAlign w:val="center"/>
                </w:tcPr>
                <w:p w14:paraId="2D9DF0E0">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本项目拟采取相应的污染防治措施，使大气污染物稳定达标排放。</w:t>
                  </w:r>
                </w:p>
              </w:tc>
              <w:tc>
                <w:tcPr>
                  <w:tcW w:w="1110" w:type="dxa"/>
                  <w:tcBorders>
                    <w:tl2br w:val="nil"/>
                    <w:tr2bl w:val="nil"/>
                  </w:tcBorders>
                  <w:noWrap w:val="0"/>
                  <w:vAlign w:val="center"/>
                </w:tcPr>
                <w:p w14:paraId="124F1804">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2053B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241" w:type="dxa"/>
                  <w:vMerge w:val="continue"/>
                  <w:tcBorders>
                    <w:tl2br w:val="nil"/>
                    <w:tr2bl w:val="nil"/>
                  </w:tcBorders>
                  <w:noWrap w:val="0"/>
                  <w:vAlign w:val="center"/>
                </w:tcPr>
                <w:p w14:paraId="26A8448F">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p>
              </w:tc>
              <w:tc>
                <w:tcPr>
                  <w:tcW w:w="3421" w:type="dxa"/>
                  <w:tcBorders>
                    <w:tl2br w:val="nil"/>
                    <w:tr2bl w:val="nil"/>
                  </w:tcBorders>
                  <w:noWrap w:val="0"/>
                  <w:vAlign w:val="center"/>
                </w:tcPr>
                <w:p w14:paraId="552938BB">
                  <w:pPr>
                    <w:autoSpaceDE w:val="0"/>
                    <w:autoSpaceDN w:val="0"/>
                    <w:adjustRightInd w:val="0"/>
                    <w:snapToGrid w:val="0"/>
                    <w:spacing w:line="240" w:lineRule="auto"/>
                    <w:jc w:val="left"/>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环境风险防控：</w:t>
                  </w:r>
                </w:p>
                <w:p w14:paraId="4BA03884">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重点加强环境风险分级分类管理，建立区域联动环境预警应急响应体系，实行联防联控。</w:t>
                  </w:r>
                </w:p>
              </w:tc>
              <w:tc>
                <w:tcPr>
                  <w:tcW w:w="3422" w:type="dxa"/>
                  <w:tcBorders>
                    <w:tl2br w:val="nil"/>
                    <w:tr2bl w:val="nil"/>
                  </w:tcBorders>
                  <w:noWrap w:val="0"/>
                  <w:vAlign w:val="center"/>
                </w:tcPr>
                <w:p w14:paraId="1EB38CEE">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本项目建成后将按照有关要求组织编制应急预案，并要求与园区、云安区环境风险应急预案形成区域联动，实行联防联控。</w:t>
                  </w:r>
                </w:p>
              </w:tc>
              <w:tc>
                <w:tcPr>
                  <w:tcW w:w="1110" w:type="dxa"/>
                  <w:tcBorders>
                    <w:tl2br w:val="nil"/>
                    <w:tr2bl w:val="nil"/>
                  </w:tcBorders>
                  <w:noWrap w:val="0"/>
                  <w:vAlign w:val="center"/>
                </w:tcPr>
                <w:p w14:paraId="38A5437C">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bl>
          <w:p w14:paraId="747ED806">
            <w:pPr>
              <w:pStyle w:val="14"/>
              <w:bidi w:val="0"/>
              <w:rPr>
                <w:rFonts w:hint="eastAsia"/>
                <w:lang w:eastAsia="zh-CN"/>
              </w:rPr>
            </w:pPr>
          </w:p>
          <w:p w14:paraId="19B0A994">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综上，本项目符合《云浮市人民政府关于印发云浮市“三线一单”生态环境分区管控方案（2024版）的通知（云府〔2024〕20号）》有关要求。</w:t>
            </w:r>
          </w:p>
          <w:p w14:paraId="39D8EF4E">
            <w:pPr>
              <w:autoSpaceDE w:val="0"/>
              <w:autoSpaceDN w:val="0"/>
              <w:adjustRightInd w:val="0"/>
              <w:snapToGrid w:val="0"/>
              <w:spacing w:line="240" w:lineRule="auto"/>
              <w:jc w:val="left"/>
              <w:rPr>
                <w:rFonts w:hint="eastAsia" w:ascii="Times New Roman" w:hAnsi="Times New Roman" w:eastAsia="宋体" w:cs="Times New Roman"/>
                <w:b w:val="0"/>
                <w:bCs w:val="0"/>
                <w:kern w:val="0"/>
                <w:sz w:val="24"/>
                <w:szCs w:val="24"/>
                <w:lang w:eastAsia="zh-CN"/>
              </w:rPr>
            </w:pPr>
          </w:p>
          <w:p w14:paraId="7BF85747">
            <w:pPr>
              <w:autoSpaceDE w:val="0"/>
              <w:autoSpaceDN w:val="0"/>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b/>
                <w:bCs/>
                <w:kern w:val="0"/>
                <w:sz w:val="24"/>
                <w:szCs w:val="24"/>
                <w:lang w:eastAsia="zh-CN"/>
              </w:rPr>
              <w:t>6、与《广东省生态环境保护“十四五”规划》（粤环〔2021〕10号）符合性分析</w:t>
            </w:r>
          </w:p>
          <w:p w14:paraId="4C110CB4">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本项目与《广东省生态环境保护“十四五”规划》（粤环〔2021〕10号）有关要求的符合性分析见表1-3。</w:t>
            </w:r>
          </w:p>
          <w:p w14:paraId="4B5E9623">
            <w:pPr>
              <w:pStyle w:val="15"/>
              <w:bidi w:val="0"/>
              <w:rPr>
                <w:rFonts w:hint="eastAsia"/>
                <w:lang w:eastAsia="zh-CN"/>
              </w:rPr>
            </w:pPr>
            <w:r>
              <w:rPr>
                <w:rFonts w:hint="eastAsia"/>
                <w:lang w:eastAsia="zh-CN"/>
              </w:rPr>
              <w:t>表1-3 与广东省环保“十四五”规划符合性分析</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48"/>
              <w:gridCol w:w="4437"/>
              <w:gridCol w:w="2850"/>
              <w:gridCol w:w="1130"/>
            </w:tblGrid>
            <w:tr w14:paraId="5670A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648" w:type="dxa"/>
                  <w:tcBorders>
                    <w:tl2br w:val="nil"/>
                    <w:tr2bl w:val="nil"/>
                  </w:tcBorders>
                  <w:noWrap w:val="0"/>
                  <w:vAlign w:val="center"/>
                </w:tcPr>
                <w:p w14:paraId="373DB0BD">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序号</w:t>
                  </w:r>
                </w:p>
              </w:tc>
              <w:tc>
                <w:tcPr>
                  <w:tcW w:w="4437" w:type="dxa"/>
                  <w:tcBorders>
                    <w:tl2br w:val="nil"/>
                    <w:tr2bl w:val="nil"/>
                  </w:tcBorders>
                  <w:noWrap w:val="0"/>
                  <w:vAlign w:val="center"/>
                </w:tcPr>
                <w:p w14:paraId="3138246B">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有关要求</w:t>
                  </w:r>
                </w:p>
              </w:tc>
              <w:tc>
                <w:tcPr>
                  <w:tcW w:w="2850" w:type="dxa"/>
                  <w:tcBorders>
                    <w:tl2br w:val="nil"/>
                    <w:tr2bl w:val="nil"/>
                  </w:tcBorders>
                  <w:noWrap w:val="0"/>
                  <w:vAlign w:val="center"/>
                </w:tcPr>
                <w:p w14:paraId="3924C3DD">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项目情况</w:t>
                  </w:r>
                </w:p>
              </w:tc>
              <w:tc>
                <w:tcPr>
                  <w:tcW w:w="1130" w:type="dxa"/>
                  <w:tcBorders>
                    <w:tl2br w:val="nil"/>
                    <w:tr2bl w:val="nil"/>
                  </w:tcBorders>
                  <w:noWrap w:val="0"/>
                  <w:vAlign w:val="center"/>
                </w:tcPr>
                <w:p w14:paraId="1CD2518E">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符合情况</w:t>
                  </w:r>
                </w:p>
              </w:tc>
            </w:tr>
            <w:tr w14:paraId="3B918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8" w:type="dxa"/>
                  <w:tcBorders>
                    <w:tl2br w:val="nil"/>
                    <w:tr2bl w:val="nil"/>
                  </w:tcBorders>
                  <w:noWrap w:val="0"/>
                  <w:vAlign w:val="center"/>
                </w:tcPr>
                <w:p w14:paraId="41A5B0B1">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w:t>
                  </w:r>
                </w:p>
              </w:tc>
              <w:tc>
                <w:tcPr>
                  <w:tcW w:w="4437" w:type="dxa"/>
                  <w:tcBorders>
                    <w:tl2br w:val="nil"/>
                    <w:tr2bl w:val="nil"/>
                  </w:tcBorders>
                  <w:noWrap w:val="0"/>
                  <w:vAlign w:val="center"/>
                </w:tcPr>
                <w:p w14:paraId="2B13FC0E">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引导工业项目科学布局，新建项目原则上入园管理，推动现有工业项目集中进园。</w:t>
                  </w:r>
                </w:p>
              </w:tc>
              <w:tc>
                <w:tcPr>
                  <w:tcW w:w="2850" w:type="dxa"/>
                  <w:tcBorders>
                    <w:tl2br w:val="nil"/>
                    <w:tr2bl w:val="nil"/>
                  </w:tcBorders>
                  <w:noWrap w:val="0"/>
                  <w:vAlign w:val="center"/>
                </w:tcPr>
                <w:p w14:paraId="55661923">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w:t>
                  </w:r>
                </w:p>
              </w:tc>
              <w:tc>
                <w:tcPr>
                  <w:tcW w:w="1130" w:type="dxa"/>
                  <w:tcBorders>
                    <w:tl2br w:val="nil"/>
                    <w:tr2bl w:val="nil"/>
                  </w:tcBorders>
                  <w:noWrap w:val="0"/>
                  <w:vAlign w:val="center"/>
                </w:tcPr>
                <w:p w14:paraId="6AACF66C">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4C7F2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8" w:type="dxa"/>
                  <w:tcBorders>
                    <w:tl2br w:val="nil"/>
                    <w:tr2bl w:val="nil"/>
                  </w:tcBorders>
                  <w:noWrap w:val="0"/>
                  <w:vAlign w:val="center"/>
                </w:tcPr>
                <w:p w14:paraId="0DE82DF9">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2</w:t>
                  </w:r>
                </w:p>
              </w:tc>
              <w:tc>
                <w:tcPr>
                  <w:tcW w:w="4437" w:type="dxa"/>
                  <w:tcBorders>
                    <w:tl2br w:val="nil"/>
                    <w:tr2bl w:val="nil"/>
                  </w:tcBorders>
                  <w:noWrap w:val="0"/>
                  <w:vAlign w:val="center"/>
                </w:tcPr>
                <w:p w14:paraId="2196FC6B">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加强大气氨、有毒有害污染物防控。加强大气氨排放控制，探索建立大气氨规范化排放清单，摸清重点排放源，探索推进养殖业、种植业大气氨减排。</w:t>
                  </w:r>
                </w:p>
              </w:tc>
              <w:tc>
                <w:tcPr>
                  <w:tcW w:w="2850" w:type="dxa"/>
                  <w:tcBorders>
                    <w:tl2br w:val="nil"/>
                    <w:tr2bl w:val="nil"/>
                  </w:tcBorders>
                  <w:noWrap w:val="0"/>
                  <w:vAlign w:val="center"/>
                </w:tcPr>
                <w:p w14:paraId="7CFFBFCB">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本项目拟采取相应的污染防治措施以加强氨的排放控制，使氨稳定达标排放。</w:t>
                  </w:r>
                </w:p>
              </w:tc>
              <w:tc>
                <w:tcPr>
                  <w:tcW w:w="1130" w:type="dxa"/>
                  <w:tcBorders>
                    <w:tl2br w:val="nil"/>
                    <w:tr2bl w:val="nil"/>
                  </w:tcBorders>
                  <w:noWrap w:val="0"/>
                  <w:vAlign w:val="center"/>
                </w:tcPr>
                <w:p w14:paraId="583CE8F6">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6DAD9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8" w:type="dxa"/>
                  <w:tcBorders>
                    <w:tl2br w:val="nil"/>
                    <w:tr2bl w:val="nil"/>
                  </w:tcBorders>
                  <w:noWrap w:val="0"/>
                  <w:vAlign w:val="center"/>
                </w:tcPr>
                <w:p w14:paraId="774DD076">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w:t>
                  </w:r>
                </w:p>
              </w:tc>
              <w:tc>
                <w:tcPr>
                  <w:tcW w:w="4437" w:type="dxa"/>
                  <w:tcBorders>
                    <w:tl2br w:val="nil"/>
                    <w:tr2bl w:val="nil"/>
                  </w:tcBorders>
                  <w:noWrap w:val="0"/>
                  <w:vAlign w:val="center"/>
                </w:tcPr>
                <w:p w14:paraId="3FB05EE9">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优化涉危险化学品企业布局，对于危险化学品生产装置或者储存数量构成重大危险源的危险化学品储存设施严格执行与居民区安全距离等有关规定合理布局，淘汰落后生产储存设施，推动城镇人口密集区危险化学品生产企业搬迁改造。</w:t>
                  </w:r>
                </w:p>
              </w:tc>
              <w:tc>
                <w:tcPr>
                  <w:tcW w:w="2850" w:type="dxa"/>
                  <w:tcBorders>
                    <w:tl2br w:val="nil"/>
                    <w:tr2bl w:val="nil"/>
                  </w:tcBorders>
                  <w:noWrap w:val="0"/>
                  <w:vAlign w:val="center"/>
                </w:tcPr>
                <w:p w14:paraId="77491046">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本项目建设位于云浮循环经济工业园化工专区内，与居民区的距离符合有关规定要求。</w:t>
                  </w:r>
                </w:p>
              </w:tc>
              <w:tc>
                <w:tcPr>
                  <w:tcW w:w="1130" w:type="dxa"/>
                  <w:tcBorders>
                    <w:tl2br w:val="nil"/>
                    <w:tr2bl w:val="nil"/>
                  </w:tcBorders>
                  <w:noWrap w:val="0"/>
                  <w:vAlign w:val="center"/>
                </w:tcPr>
                <w:p w14:paraId="3DC7B2D4">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bl>
          <w:p w14:paraId="39A8AA63">
            <w:pPr>
              <w:autoSpaceDE w:val="0"/>
              <w:autoSpaceDN w:val="0"/>
              <w:adjustRightInd w:val="0"/>
              <w:snapToGrid w:val="0"/>
              <w:spacing w:line="240" w:lineRule="auto"/>
              <w:ind w:firstLine="480" w:firstLineChars="200"/>
              <w:jc w:val="left"/>
              <w:rPr>
                <w:rFonts w:hint="eastAsia" w:ascii="Times New Roman" w:hAnsi="Times New Roman" w:eastAsia="宋体" w:cs="Times New Roman"/>
                <w:kern w:val="0"/>
                <w:sz w:val="24"/>
                <w:szCs w:val="24"/>
                <w:lang w:eastAsia="zh-CN"/>
              </w:rPr>
            </w:pPr>
          </w:p>
          <w:p w14:paraId="06A11FE7">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综上，本项目符合《广东省生态环境保护“十四五”规划》（粤环〔2021〕10号）有关要求。</w:t>
            </w:r>
          </w:p>
          <w:p w14:paraId="4A2CD432">
            <w:pPr>
              <w:autoSpaceDE w:val="0"/>
              <w:autoSpaceDN w:val="0"/>
              <w:adjustRightInd w:val="0"/>
              <w:snapToGrid w:val="0"/>
              <w:spacing w:line="240" w:lineRule="auto"/>
              <w:jc w:val="left"/>
              <w:rPr>
                <w:rFonts w:hint="eastAsia" w:ascii="Times New Roman" w:hAnsi="Times New Roman" w:eastAsia="宋体" w:cs="Times New Roman"/>
                <w:b w:val="0"/>
                <w:bCs w:val="0"/>
                <w:kern w:val="0"/>
                <w:sz w:val="24"/>
                <w:szCs w:val="24"/>
                <w:lang w:val="en-US" w:eastAsia="zh-CN"/>
              </w:rPr>
            </w:pPr>
          </w:p>
          <w:p w14:paraId="1BA363C9">
            <w:pPr>
              <w:autoSpaceDE w:val="0"/>
              <w:autoSpaceDN w:val="0"/>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7、与《云浮市生态环境保护“十四五”规划》（云府办〔2021〕12号）符合性分析</w:t>
            </w:r>
          </w:p>
          <w:p w14:paraId="05915D67">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本项目与《云浮市生态环境保护“十四五”规划》（云府办〔2021〕12号）有关要求的符合性分析见表1-4。</w:t>
            </w:r>
          </w:p>
          <w:p w14:paraId="71F9516C">
            <w:pPr>
              <w:pStyle w:val="15"/>
              <w:bidi w:val="0"/>
              <w:rPr>
                <w:rFonts w:hint="default"/>
                <w:lang w:val="en-US" w:eastAsia="zh-CN"/>
              </w:rPr>
            </w:pPr>
            <w:r>
              <w:rPr>
                <w:rFonts w:hint="eastAsia"/>
                <w:lang w:val="en-US" w:eastAsia="zh-CN"/>
              </w:rPr>
              <w:t>表1-4 与云浮市保护“十四五”规划符合性分析</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53"/>
              <w:gridCol w:w="4432"/>
              <w:gridCol w:w="2835"/>
              <w:gridCol w:w="1125"/>
            </w:tblGrid>
            <w:tr w14:paraId="43D22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53" w:type="dxa"/>
                  <w:tcBorders>
                    <w:tl2br w:val="nil"/>
                    <w:tr2bl w:val="nil"/>
                  </w:tcBorders>
                  <w:noWrap w:val="0"/>
                  <w:vAlign w:val="center"/>
                </w:tcPr>
                <w:p w14:paraId="7BA07742">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序号</w:t>
                  </w:r>
                </w:p>
              </w:tc>
              <w:tc>
                <w:tcPr>
                  <w:tcW w:w="4432" w:type="dxa"/>
                  <w:tcBorders>
                    <w:tl2br w:val="nil"/>
                    <w:tr2bl w:val="nil"/>
                  </w:tcBorders>
                  <w:noWrap w:val="0"/>
                  <w:vAlign w:val="center"/>
                </w:tcPr>
                <w:p w14:paraId="7DC7C68E">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有关要求</w:t>
                  </w:r>
                </w:p>
              </w:tc>
              <w:tc>
                <w:tcPr>
                  <w:tcW w:w="2835" w:type="dxa"/>
                  <w:tcBorders>
                    <w:tl2br w:val="nil"/>
                    <w:tr2bl w:val="nil"/>
                  </w:tcBorders>
                  <w:noWrap w:val="0"/>
                  <w:vAlign w:val="center"/>
                </w:tcPr>
                <w:p w14:paraId="731415F5">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项目情况</w:t>
                  </w:r>
                </w:p>
              </w:tc>
              <w:tc>
                <w:tcPr>
                  <w:tcW w:w="1125" w:type="dxa"/>
                  <w:tcBorders>
                    <w:tl2br w:val="nil"/>
                    <w:tr2bl w:val="nil"/>
                  </w:tcBorders>
                  <w:noWrap w:val="0"/>
                  <w:vAlign w:val="center"/>
                </w:tcPr>
                <w:p w14:paraId="228ED2BE">
                  <w:pPr>
                    <w:autoSpaceDE w:val="0"/>
                    <w:autoSpaceDN w:val="0"/>
                    <w:adjustRightInd w:val="0"/>
                    <w:snapToGrid w:val="0"/>
                    <w:spacing w:line="240" w:lineRule="auto"/>
                    <w:jc w:val="center"/>
                    <w:rPr>
                      <w:rFonts w:hint="eastAsia" w:ascii="Times New Roman" w:hAnsi="Times New Roman" w:eastAsia="宋体" w:cs="Times New Roman"/>
                      <w:b/>
                      <w:bCs/>
                      <w:kern w:val="0"/>
                      <w:sz w:val="21"/>
                      <w:szCs w:val="21"/>
                      <w:vertAlign w:val="baseline"/>
                      <w:lang w:eastAsia="zh-CN"/>
                    </w:rPr>
                  </w:pPr>
                  <w:r>
                    <w:rPr>
                      <w:rFonts w:hint="eastAsia" w:ascii="Times New Roman" w:hAnsi="Times New Roman" w:eastAsia="宋体" w:cs="Times New Roman"/>
                      <w:b/>
                      <w:bCs/>
                      <w:kern w:val="0"/>
                      <w:sz w:val="21"/>
                      <w:szCs w:val="21"/>
                      <w:vertAlign w:val="baseline"/>
                      <w:lang w:eastAsia="zh-CN"/>
                    </w:rPr>
                    <w:t>符合情况</w:t>
                  </w:r>
                </w:p>
              </w:tc>
            </w:tr>
            <w:tr w14:paraId="6530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53" w:type="dxa"/>
                  <w:tcBorders>
                    <w:tl2br w:val="nil"/>
                    <w:tr2bl w:val="nil"/>
                  </w:tcBorders>
                  <w:noWrap w:val="0"/>
                  <w:vAlign w:val="center"/>
                </w:tcPr>
                <w:p w14:paraId="658A567A">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w:t>
                  </w:r>
                </w:p>
              </w:tc>
              <w:tc>
                <w:tcPr>
                  <w:tcW w:w="4432" w:type="dxa"/>
                  <w:tcBorders>
                    <w:tl2br w:val="nil"/>
                    <w:tr2bl w:val="nil"/>
                  </w:tcBorders>
                  <w:noWrap w:val="0"/>
                  <w:vAlign w:val="center"/>
                </w:tcPr>
                <w:p w14:paraId="2143F66F">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建立“三线一单”生态环境分区管控体系，严把项目节能和环评审查关，实施更严格的环境准入，新引进制造业项目原则上应入园发展。</w:t>
                  </w:r>
                </w:p>
              </w:tc>
              <w:tc>
                <w:tcPr>
                  <w:tcW w:w="2835" w:type="dxa"/>
                  <w:tcBorders>
                    <w:tl2br w:val="nil"/>
                    <w:tr2bl w:val="nil"/>
                  </w:tcBorders>
                  <w:noWrap w:val="0"/>
                  <w:vAlign w:val="center"/>
                </w:tcPr>
                <w:p w14:paraId="102CC447">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w:t>
                  </w:r>
                </w:p>
              </w:tc>
              <w:tc>
                <w:tcPr>
                  <w:tcW w:w="1125" w:type="dxa"/>
                  <w:tcBorders>
                    <w:tl2br w:val="nil"/>
                    <w:tr2bl w:val="nil"/>
                  </w:tcBorders>
                  <w:noWrap w:val="0"/>
                  <w:vAlign w:val="center"/>
                </w:tcPr>
                <w:p w14:paraId="739D9364">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0E75D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53" w:type="dxa"/>
                  <w:tcBorders>
                    <w:tl2br w:val="nil"/>
                    <w:tr2bl w:val="nil"/>
                  </w:tcBorders>
                  <w:noWrap w:val="0"/>
                  <w:vAlign w:val="center"/>
                </w:tcPr>
                <w:p w14:paraId="349779B6">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2</w:t>
                  </w:r>
                </w:p>
              </w:tc>
              <w:tc>
                <w:tcPr>
                  <w:tcW w:w="4432" w:type="dxa"/>
                  <w:tcBorders>
                    <w:tl2br w:val="nil"/>
                    <w:tr2bl w:val="nil"/>
                  </w:tcBorders>
                  <w:noWrap w:val="0"/>
                  <w:vAlign w:val="center"/>
                </w:tcPr>
                <w:p w14:paraId="01E2618B">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坚决遏制不符合产业政策、未落实能耗指标来源的“两高”项目盲目上马，禁止新建陶瓷（新型特种陶瓷项目除外）、玻璃、电解铝、水泥（粉磨站除外）项目。</w:t>
                  </w:r>
                </w:p>
              </w:tc>
              <w:tc>
                <w:tcPr>
                  <w:tcW w:w="2835" w:type="dxa"/>
                  <w:tcBorders>
                    <w:tl2br w:val="nil"/>
                    <w:tr2bl w:val="nil"/>
                  </w:tcBorders>
                  <w:noWrap w:val="0"/>
                  <w:vAlign w:val="center"/>
                </w:tcPr>
                <w:p w14:paraId="60C66843">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本项目不属于“两高”项目；不属于要求中所列的禁止项目。</w:t>
                  </w:r>
                </w:p>
              </w:tc>
              <w:tc>
                <w:tcPr>
                  <w:tcW w:w="1125" w:type="dxa"/>
                  <w:tcBorders>
                    <w:tl2br w:val="nil"/>
                    <w:tr2bl w:val="nil"/>
                  </w:tcBorders>
                  <w:noWrap w:val="0"/>
                  <w:vAlign w:val="center"/>
                </w:tcPr>
                <w:p w14:paraId="70D78321">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0DDDC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53" w:type="dxa"/>
                  <w:tcBorders>
                    <w:tl2br w:val="nil"/>
                    <w:tr2bl w:val="nil"/>
                  </w:tcBorders>
                  <w:noWrap w:val="0"/>
                  <w:vAlign w:val="center"/>
                </w:tcPr>
                <w:p w14:paraId="137BFDD2">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w:t>
                  </w:r>
                </w:p>
              </w:tc>
              <w:tc>
                <w:tcPr>
                  <w:tcW w:w="4432" w:type="dxa"/>
                  <w:tcBorders>
                    <w:tl2br w:val="nil"/>
                    <w:tr2bl w:val="nil"/>
                  </w:tcBorders>
                  <w:noWrap w:val="0"/>
                  <w:vAlign w:val="center"/>
                </w:tcPr>
                <w:p w14:paraId="21F5256D">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严禁在经规划环评审查的产业园区以外区域，新建及扩建石化、化工、有色金属冶炼、平板玻璃项目。</w:t>
                  </w:r>
                </w:p>
              </w:tc>
              <w:tc>
                <w:tcPr>
                  <w:tcW w:w="2835" w:type="dxa"/>
                  <w:tcBorders>
                    <w:tl2br w:val="nil"/>
                    <w:tr2bl w:val="nil"/>
                  </w:tcBorders>
                  <w:noWrap w:val="0"/>
                  <w:vAlign w:val="center"/>
                </w:tcPr>
                <w:p w14:paraId="4DF611C4">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本项目建设位于云浮循环经济工业园化工专区内。云浮循环经济工业园化工专区规划环境影响报告书已取得规划环评批复。</w:t>
                  </w:r>
                </w:p>
              </w:tc>
              <w:tc>
                <w:tcPr>
                  <w:tcW w:w="1125" w:type="dxa"/>
                  <w:tcBorders>
                    <w:tl2br w:val="nil"/>
                    <w:tr2bl w:val="nil"/>
                  </w:tcBorders>
                  <w:noWrap w:val="0"/>
                  <w:vAlign w:val="center"/>
                </w:tcPr>
                <w:p w14:paraId="738FEB34">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r w14:paraId="7C08F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53" w:type="dxa"/>
                  <w:tcBorders>
                    <w:tl2br w:val="nil"/>
                    <w:tr2bl w:val="nil"/>
                  </w:tcBorders>
                  <w:noWrap w:val="0"/>
                  <w:vAlign w:val="center"/>
                </w:tcPr>
                <w:p w14:paraId="05CBF603">
                  <w:pPr>
                    <w:autoSpaceDE w:val="0"/>
                    <w:autoSpaceDN w:val="0"/>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w:t>
                  </w:r>
                </w:p>
              </w:tc>
              <w:tc>
                <w:tcPr>
                  <w:tcW w:w="4432" w:type="dxa"/>
                  <w:tcBorders>
                    <w:tl2br w:val="nil"/>
                    <w:tr2bl w:val="nil"/>
                  </w:tcBorders>
                  <w:noWrap w:val="0"/>
                  <w:vAlign w:val="center"/>
                </w:tcPr>
                <w:p w14:paraId="5349636B">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优化涉危险化学品企业布局，对危险化学品生产装置或者储存数量构成重大危险源的危险化学品储存设施，严格执行与居民区安全距离等有关规定合理布局，淘汰落后生产储存设施，推动违规危险化学品企业搬迁。</w:t>
                  </w:r>
                </w:p>
              </w:tc>
              <w:tc>
                <w:tcPr>
                  <w:tcW w:w="2835" w:type="dxa"/>
                  <w:tcBorders>
                    <w:tl2br w:val="nil"/>
                    <w:tr2bl w:val="nil"/>
                  </w:tcBorders>
                  <w:noWrap w:val="0"/>
                  <w:vAlign w:val="center"/>
                </w:tcPr>
                <w:p w14:paraId="5551D514">
                  <w:pPr>
                    <w:autoSpaceDE w:val="0"/>
                    <w:autoSpaceDN w:val="0"/>
                    <w:adjustRightInd w:val="0"/>
                    <w:snapToGrid w:val="0"/>
                    <w:spacing w:line="240" w:lineRule="auto"/>
                    <w:ind w:firstLine="420" w:firstLineChars="200"/>
                    <w:jc w:val="left"/>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本项目建设位于云浮循环经济工业园化工专区内，与居民区的距离符合有关规定要求。</w:t>
                  </w:r>
                </w:p>
              </w:tc>
              <w:tc>
                <w:tcPr>
                  <w:tcW w:w="1125" w:type="dxa"/>
                  <w:tcBorders>
                    <w:tl2br w:val="nil"/>
                    <w:tr2bl w:val="nil"/>
                  </w:tcBorders>
                  <w:noWrap w:val="0"/>
                  <w:vAlign w:val="center"/>
                </w:tcPr>
                <w:p w14:paraId="186B8140">
                  <w:pPr>
                    <w:autoSpaceDE w:val="0"/>
                    <w:autoSpaceDN w:val="0"/>
                    <w:adjustRightInd w:val="0"/>
                    <w:snapToGrid w:val="0"/>
                    <w:spacing w:line="240" w:lineRule="auto"/>
                    <w:jc w:val="center"/>
                    <w:rPr>
                      <w:rFonts w:hint="eastAsia" w:ascii="Times New Roman" w:hAnsi="Times New Roman" w:eastAsia="宋体" w:cs="Times New Roman"/>
                      <w:kern w:val="0"/>
                      <w:sz w:val="21"/>
                      <w:szCs w:val="21"/>
                      <w:vertAlign w:val="baseline"/>
                      <w:lang w:eastAsia="zh-CN"/>
                    </w:rPr>
                  </w:pPr>
                  <w:r>
                    <w:rPr>
                      <w:rFonts w:hint="eastAsia" w:ascii="Times New Roman" w:hAnsi="Times New Roman" w:eastAsia="宋体" w:cs="Times New Roman"/>
                      <w:kern w:val="0"/>
                      <w:sz w:val="21"/>
                      <w:szCs w:val="21"/>
                      <w:vertAlign w:val="baseline"/>
                      <w:lang w:eastAsia="zh-CN"/>
                    </w:rPr>
                    <w:t>符合</w:t>
                  </w:r>
                </w:p>
              </w:tc>
            </w:tr>
          </w:tbl>
          <w:p w14:paraId="07D4417A">
            <w:pPr>
              <w:autoSpaceDE w:val="0"/>
              <w:autoSpaceDN w:val="0"/>
              <w:adjustRightInd w:val="0"/>
              <w:snapToGrid w:val="0"/>
              <w:spacing w:line="240" w:lineRule="auto"/>
              <w:jc w:val="left"/>
              <w:rPr>
                <w:rFonts w:hint="eastAsia" w:ascii="Times New Roman" w:hAnsi="Times New Roman" w:eastAsia="宋体" w:cs="Times New Roman"/>
                <w:kern w:val="0"/>
                <w:sz w:val="24"/>
                <w:szCs w:val="24"/>
                <w:lang w:eastAsia="zh-CN"/>
              </w:rPr>
            </w:pPr>
          </w:p>
          <w:p w14:paraId="35F5DBBD">
            <w:pPr>
              <w:autoSpaceDE w:val="0"/>
              <w:autoSpaceDN w:val="0"/>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综上，本项目符合《云浮市生态环境保护“十四五”规划》（云府办〔2021〕12号）有关要求。</w:t>
            </w:r>
          </w:p>
          <w:p w14:paraId="432F5E52">
            <w:pPr>
              <w:autoSpaceDE w:val="0"/>
              <w:autoSpaceDN w:val="0"/>
              <w:adjustRightInd w:val="0"/>
              <w:snapToGrid w:val="0"/>
              <w:spacing w:line="240" w:lineRule="auto"/>
              <w:jc w:val="left"/>
              <w:rPr>
                <w:rFonts w:hint="eastAsia" w:ascii="Times New Roman" w:hAnsi="Times New Roman" w:eastAsia="宋体" w:cs="Times New Roman"/>
                <w:kern w:val="0"/>
                <w:sz w:val="24"/>
                <w:szCs w:val="24"/>
                <w:lang w:eastAsia="zh-CN"/>
              </w:rPr>
            </w:pPr>
          </w:p>
          <w:p w14:paraId="2169402B">
            <w:pPr>
              <w:autoSpaceDE w:val="0"/>
              <w:autoSpaceDN w:val="0"/>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b/>
                <w:bCs/>
                <w:kern w:val="0"/>
                <w:sz w:val="24"/>
                <w:szCs w:val="24"/>
                <w:lang w:eastAsia="zh-CN"/>
              </w:rPr>
              <w:t>8、土地利用规划符合性分析</w:t>
            </w:r>
          </w:p>
          <w:p w14:paraId="3A7D0A93">
            <w:pPr>
              <w:adjustRightInd w:val="0"/>
              <w:snapToGrid w:val="0"/>
              <w:ind w:firstLine="480" w:firstLineChars="200"/>
            </w:pPr>
            <w:r>
              <w:rPr>
                <w:rFonts w:hint="eastAsia" w:ascii="Times New Roman" w:hAnsi="Times New Roman" w:eastAsia="宋体" w:cs="Times New Roman"/>
                <w:kern w:val="0"/>
                <w:sz w:val="24"/>
                <w:szCs w:val="24"/>
                <w:lang w:eastAsia="zh-CN"/>
              </w:rPr>
              <w:t>本项目建设位于云浮循环经济工业园化工专区内。根据《云浮循环经济工业园化工专区总体规划》，本项目地块属于三类工业用地，因此本项目用地符合土地利用规划。</w:t>
            </w:r>
          </w:p>
          <w:p w14:paraId="31666142">
            <w:pPr>
              <w:ind w:firstLine="480" w:firstLineChars="200"/>
              <w:rPr>
                <w:kern w:val="0"/>
                <w:szCs w:val="21"/>
              </w:rPr>
            </w:pPr>
          </w:p>
        </w:tc>
      </w:tr>
    </w:tbl>
    <w:p w14:paraId="5C23AEAB">
      <w:pPr>
        <w:outlineLvl w:val="0"/>
        <w:rPr>
          <w:rFonts w:eastAsia="黑体"/>
          <w:color w:val="000000" w:themeColor="text1"/>
          <w:sz w:val="30"/>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528DC84">
      <w:pPr>
        <w:spacing w:line="240" w:lineRule="auto"/>
        <w:jc w:val="center"/>
        <w:outlineLvl w:val="0"/>
        <w:rPr>
          <w:rFonts w:ascii="黑体" w:hAnsi="黑体" w:eastAsia="黑体"/>
          <w:snapToGrid w:val="0"/>
          <w:sz w:val="30"/>
          <w:szCs w:val="30"/>
        </w:rPr>
      </w:pPr>
      <w:bookmarkStart w:id="2" w:name="_Toc7900"/>
      <w:r>
        <w:rPr>
          <w:rFonts w:hint="eastAsia" w:ascii="黑体" w:hAnsi="黑体" w:eastAsia="黑体"/>
          <w:snapToGrid w:val="0"/>
          <w:sz w:val="30"/>
          <w:szCs w:val="30"/>
        </w:rPr>
        <w:t>二、建设项目工程分析</w:t>
      </w:r>
      <w:bookmarkEnd w:id="2"/>
    </w:p>
    <w:tbl>
      <w:tblPr>
        <w:tblStyle w:val="11"/>
        <w:tblW w:w="101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719"/>
      </w:tblGrid>
      <w:tr w14:paraId="0BC49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2" w:hRule="atLeast"/>
          <w:jc w:val="center"/>
        </w:trPr>
        <w:tc>
          <w:tcPr>
            <w:tcW w:w="427" w:type="dxa"/>
            <w:vAlign w:val="center"/>
          </w:tcPr>
          <w:p w14:paraId="1D35914C">
            <w:pPr>
              <w:adjustRightInd w:val="0"/>
              <w:snapToGrid w:val="0"/>
              <w:jc w:val="center"/>
              <w:rPr>
                <w:rFonts w:cs="宋体"/>
                <w:sz w:val="21"/>
                <w:szCs w:val="21"/>
              </w:rPr>
            </w:pPr>
            <w:r>
              <w:rPr>
                <w:rFonts w:hint="eastAsia" w:cs="宋体"/>
                <w:b/>
                <w:bCs/>
                <w:sz w:val="21"/>
                <w:szCs w:val="21"/>
              </w:rPr>
              <w:t>建设内容</w:t>
            </w:r>
          </w:p>
        </w:tc>
        <w:tc>
          <w:tcPr>
            <w:tcW w:w="9719" w:type="dxa"/>
          </w:tcPr>
          <w:p w14:paraId="418B63DE">
            <w:pPr>
              <w:adjustRightInd w:val="0"/>
              <w:snapToGrid w:val="0"/>
              <w:ind w:firstLine="482" w:firstLineChars="200"/>
              <w:rPr>
                <w:b/>
                <w:bCs/>
              </w:rPr>
            </w:pPr>
            <w:r>
              <w:rPr>
                <w:rFonts w:hint="eastAsia"/>
                <w:b/>
                <w:bCs/>
              </w:rPr>
              <w:t>一、项目由来</w:t>
            </w:r>
          </w:p>
          <w:p w14:paraId="12E6CA11">
            <w:pPr>
              <w:adjustRightInd w:val="0"/>
              <w:snapToGrid w:val="0"/>
              <w:ind w:firstLine="480" w:firstLineChars="200"/>
              <w:rPr>
                <w:rFonts w:hint="eastAsia"/>
              </w:rPr>
            </w:pPr>
            <w:r>
              <w:rPr>
                <w:rFonts w:hint="eastAsia"/>
                <w:lang w:eastAsia="zh-CN"/>
              </w:rPr>
              <w:t>本项目</w:t>
            </w:r>
            <w:r>
              <w:rPr>
                <w:rFonts w:hint="eastAsia"/>
              </w:rPr>
              <w:t>主要产品：液氨、工业氨水。其中，约1.8万吨液氨用于保供</w:t>
            </w:r>
            <w:r>
              <w:rPr>
                <w:rFonts w:hint="eastAsia"/>
                <w:color w:val="000000" w:themeColor="text1"/>
                <w14:textFill>
                  <w14:solidFill>
                    <w14:schemeClr w14:val="tx1"/>
                  </w14:solidFill>
                </w14:textFill>
              </w:rPr>
              <w:t>“广东云硫环保新材料科技有限公司10万吨/年精制湿法磷酸项目”，以保障该湿法磷酸项目的连续生产，</w:t>
            </w:r>
            <w:r>
              <w:rPr>
                <w:rFonts w:hint="eastAsia"/>
              </w:rPr>
              <w:t>属于配套项目，15万吨氨水可供应周边200公里内水泥加工厂，剩余0.2万吨钢瓶液氨，同样供应周边区域内有需求的其他企业，以先进的液氨以及氨水工艺技术和装备，满足客户要求。</w:t>
            </w:r>
          </w:p>
          <w:p w14:paraId="5125254F">
            <w:pPr>
              <w:adjustRightInd w:val="0"/>
              <w:snapToGrid w:val="0"/>
              <w:ind w:firstLine="480" w:firstLineChars="200"/>
              <w:rPr>
                <w:rFonts w:hint="eastAsia"/>
              </w:rPr>
            </w:pPr>
            <w:r>
              <w:rPr>
                <w:rFonts w:hint="eastAsia"/>
              </w:rPr>
              <w:t>氨水又称阿摩尼亚水，主要成分为NH</w:t>
            </w:r>
            <w:r>
              <w:rPr>
                <w:rFonts w:hint="eastAsia"/>
                <w:vertAlign w:val="subscript"/>
              </w:rPr>
              <w:t>3</w:t>
            </w:r>
            <w:r>
              <w:rPr>
                <w:rFonts w:hint="eastAsia"/>
              </w:rPr>
              <w:t>·H</w:t>
            </w:r>
            <w:r>
              <w:rPr>
                <w:rFonts w:hint="eastAsia"/>
                <w:vertAlign w:val="subscript"/>
              </w:rPr>
              <w:t>2</w:t>
            </w:r>
            <w:r>
              <w:rPr>
                <w:rFonts w:hint="eastAsia"/>
              </w:rPr>
              <w:t>O，是氨的水溶液。氨水为具有刺激性气味的无色透明液体，易挥发，具有部分碱的通性。</w:t>
            </w:r>
          </w:p>
          <w:p w14:paraId="2ADA11ED">
            <w:pPr>
              <w:adjustRightInd w:val="0"/>
              <w:snapToGrid w:val="0"/>
              <w:ind w:firstLine="480" w:firstLineChars="200"/>
              <w:rPr>
                <w:rFonts w:hint="eastAsia"/>
              </w:rPr>
            </w:pPr>
            <w:r>
              <w:rPr>
                <w:rFonts w:hint="eastAsia"/>
              </w:rPr>
              <w:t>根据用途和质量标准的不同，可将氨水分为工业级、电子级、医药级三大类。工业级氨水通常指含氨25%～28%的水溶液，氨水中仅有一小部分氨分子与水反应形成一水合氨，是仅存在于氨水中的弱碱。</w:t>
            </w:r>
          </w:p>
          <w:p w14:paraId="097A2E15">
            <w:pPr>
              <w:adjustRightInd w:val="0"/>
              <w:snapToGrid w:val="0"/>
              <w:ind w:firstLine="480" w:firstLineChars="200"/>
              <w:rPr>
                <w:rFonts w:hint="eastAsia"/>
              </w:rPr>
            </w:pPr>
            <w:r>
              <w:rPr>
                <w:rFonts w:hint="eastAsia"/>
              </w:rPr>
              <w:t>随着我国经济的快速发展，工业生产规模不断扩大，对氨水的需求也日益增加。氨水的生产规模和技术水平得到了提升，市场竞争也逐渐加剧。同时，一些大型化工企业开始进入氨水生产领域，加大了市场的供应量。这个阶段的发展表现出了行业竞争激烈、技术创新日益加强以及市场规模逐渐扩大的特点。</w:t>
            </w:r>
          </w:p>
          <w:p w14:paraId="6A2402D2">
            <w:pPr>
              <w:adjustRightInd w:val="0"/>
              <w:snapToGrid w:val="0"/>
              <w:ind w:firstLine="480" w:firstLineChars="200"/>
              <w:rPr>
                <w:rFonts w:hint="eastAsia"/>
              </w:rPr>
            </w:pPr>
            <w:r>
              <w:rPr>
                <w:rFonts w:hint="eastAsia"/>
              </w:rPr>
              <w:t>氨水的生产技术已经相对成熟稳定，市场需求趋于稳定，供应链和销售渠道也得到了完善。该项目液氨产品主要保供给云硫矿业精制湿法磷酸项目，从而保障精制湿法磷酸项目的连续生产，氨水可供应周边200公里内水泥加工厂，剩余钢瓶液氨供应周边区域内有需求的其他企业</w:t>
            </w:r>
            <w:r>
              <w:rPr>
                <w:rFonts w:hint="eastAsia"/>
                <w:lang w:eastAsia="zh-CN"/>
              </w:rPr>
              <w:t>，</w:t>
            </w:r>
            <w:r>
              <w:rPr>
                <w:rFonts w:hint="eastAsia"/>
              </w:rPr>
              <w:t>该建设项目也对云浮循环经济工业园有推进作用，促进了园区内的产业规划建设。</w:t>
            </w:r>
          </w:p>
          <w:p w14:paraId="51C99973">
            <w:pPr>
              <w:adjustRightInd w:val="0"/>
              <w:snapToGrid w:val="0"/>
              <w:ind w:firstLine="480" w:firstLineChars="200"/>
              <w:rPr>
                <w:rFonts w:hint="eastAsia"/>
              </w:rPr>
            </w:pPr>
            <w:r>
              <w:rPr>
                <w:rFonts w:hint="eastAsia"/>
              </w:rPr>
              <w:t>同时，由于环保意识的提高和法规的制定，氨水行业面临着更高的要求和挑战。相关企业需要持续创新，提高环保性能，保证产品质量和安全可靠性。此外，随着经济的不断发展，氨水行业将在国内外市场上拥有更广阔的发展空间。</w:t>
            </w:r>
          </w:p>
          <w:p w14:paraId="1AC6EB1E">
            <w:pPr>
              <w:adjustRightInd w:val="0"/>
              <w:snapToGrid w:val="0"/>
              <w:ind w:firstLine="480" w:firstLineChars="200"/>
              <w:rPr>
                <w:rFonts w:hint="eastAsia"/>
              </w:rPr>
            </w:pPr>
            <w:r>
              <w:rPr>
                <w:rFonts w:hint="eastAsia"/>
              </w:rPr>
              <w:t>综上所述，氨水行业发展现状呈现出供需平衡、技术创新不断推进以及面临挑战与机遇并存的态势。氨水行业将继续积极适应市场需求，加大技术创新力度，应对各种挑战并抓住机遇，为我国经济的繁荣和可持续发展做出积极贡献。</w:t>
            </w:r>
          </w:p>
          <w:p w14:paraId="21E98E9C">
            <w:pPr>
              <w:adjustRightInd w:val="0"/>
              <w:snapToGrid w:val="0"/>
              <w:ind w:firstLine="480" w:firstLineChars="200"/>
            </w:pPr>
            <w:r>
              <w:rPr>
                <w:rFonts w:hint="eastAsia"/>
              </w:rPr>
              <w:t>根据《中华人民共和国环境影响评价法》、《国务院关于修改〈建设项目环境保护管理条例〉的决定》（国务院[2017]第682号令）的有关规定，项目须进行环境影响评价。根据《建设项目环境影响评价分类管理名录（2021年版）》（生态环境部令16号，2021年1月1日起施行）的有关规定，本项目属于“二十三、化学原料和化学制品制造品 26—44 基础化学原料制造 261”中的“单纯物理分离、物理提纯、混合、分装的（不产生废水或挥发性有机物的除外）”须编制环境影响报告表。</w:t>
            </w:r>
          </w:p>
          <w:p w14:paraId="7FB6EB3F">
            <w:pPr>
              <w:adjustRightInd w:val="0"/>
              <w:snapToGrid w:val="0"/>
              <w:ind w:firstLine="480" w:firstLineChars="200"/>
              <w:rPr>
                <w:color w:val="000000" w:themeColor="text1"/>
                <w14:textFill>
                  <w14:solidFill>
                    <w14:schemeClr w14:val="tx1"/>
                  </w14:solidFill>
                </w14:textFill>
              </w:rPr>
            </w:pPr>
            <w:r>
              <w:rPr>
                <w:rFonts w:hint="eastAsia"/>
              </w:rPr>
              <w:t>广东省泓磬环保科技有限公司特委托云浮市金管家环保科技有限公司承担本项目的环境影响评价工作（委托书见附件5）；我公司接受委托后，通过对项目周围环境进行详细的实地勘查和相关资料的收集、核实与分析工作后，在此基础上，按照国家有关环境保护的法律法规、环境标准和环境影响评价技术导则等为依据，编制完成了</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广东省泓磬环保科技有限公司液氨储存及配套氨水生产项目</w:t>
            </w:r>
            <w:r>
              <w:rPr>
                <w:rFonts w:hint="eastAsia"/>
                <w:color w:val="000000" w:themeColor="text1"/>
                <w14:textFill>
                  <w14:solidFill>
                    <w14:schemeClr w14:val="tx1"/>
                  </w14:solidFill>
                </w14:textFill>
              </w:rPr>
              <w:t>环境影响报告表》，交由建设单位呈报给当地环保部门审批。</w:t>
            </w:r>
          </w:p>
          <w:p w14:paraId="3F462E6B">
            <w:pPr>
              <w:adjustRightInd w:val="0"/>
              <w:snapToGrid w:val="0"/>
              <w:ind w:firstLine="482" w:firstLineChars="200"/>
              <w:rPr>
                <w:rFonts w:eastAsia="宋体" w:cs="Times New Roman"/>
                <w:b/>
                <w:bCs/>
              </w:rPr>
            </w:pPr>
            <w:r>
              <w:rPr>
                <w:rFonts w:hint="eastAsia" w:eastAsia="宋体" w:cs="Times New Roman"/>
                <w:b/>
                <w:bCs/>
              </w:rPr>
              <w:t>二、工程项目概况</w:t>
            </w:r>
          </w:p>
          <w:p w14:paraId="3B14BD4F">
            <w:pPr>
              <w:adjustRightInd w:val="0"/>
              <w:snapToGrid w:val="0"/>
              <w:ind w:firstLine="480" w:firstLineChars="200"/>
              <w:rPr>
                <w:rFonts w:eastAsia="宋体" w:cs="Times New Roman"/>
              </w:rPr>
            </w:pPr>
            <w:r>
              <w:rPr>
                <w:rFonts w:hint="eastAsia" w:eastAsia="宋体" w:cs="Times New Roman"/>
              </w:rPr>
              <w:t>1、项目名称、建设性质、总投资</w:t>
            </w:r>
          </w:p>
          <w:p w14:paraId="7892A666">
            <w:pPr>
              <w:adjustRightInd w:val="0"/>
              <w:snapToGrid w:val="0"/>
              <w:ind w:firstLine="480" w:firstLineChars="200"/>
              <w:rPr>
                <w:rFonts w:eastAsia="宋体" w:cs="Times New Roman"/>
              </w:rPr>
            </w:pPr>
            <w:r>
              <w:rPr>
                <w:rFonts w:hint="eastAsia" w:eastAsia="宋体" w:cs="Times New Roman"/>
              </w:rPr>
              <w:t>项目名称：广东省泓磬环保科技有限公司液氨储存及配套氨水生产项目；</w:t>
            </w:r>
          </w:p>
          <w:p w14:paraId="1984C3A9">
            <w:pPr>
              <w:adjustRightInd w:val="0"/>
              <w:snapToGrid w:val="0"/>
              <w:ind w:firstLine="480" w:firstLineChars="200"/>
              <w:rPr>
                <w:rFonts w:eastAsia="宋体" w:cs="Times New Roman"/>
              </w:rPr>
            </w:pPr>
            <w:r>
              <w:rPr>
                <w:rFonts w:hint="eastAsia" w:eastAsia="宋体" w:cs="Times New Roman"/>
              </w:rPr>
              <w:t>建设性质：新建；</w:t>
            </w:r>
          </w:p>
          <w:p w14:paraId="3FE2BDA0">
            <w:pPr>
              <w:adjustRightInd w:val="0"/>
              <w:snapToGrid w:val="0"/>
              <w:ind w:firstLine="480" w:firstLineChars="200"/>
              <w:rPr>
                <w:rFonts w:eastAsia="宋体" w:cs="Times New Roman"/>
              </w:rPr>
            </w:pPr>
            <w:r>
              <w:rPr>
                <w:rFonts w:hint="eastAsia" w:eastAsia="宋体" w:cs="Times New Roman"/>
              </w:rPr>
              <w:t>总投资：</w:t>
            </w:r>
            <w:r>
              <w:rPr>
                <w:rFonts w:hint="eastAsia" w:eastAsia="宋体" w:cs="Times New Roman"/>
                <w:lang w:val="en-US" w:eastAsia="zh-CN"/>
              </w:rPr>
              <w:t>9000</w:t>
            </w:r>
            <w:r>
              <w:rPr>
                <w:rFonts w:hint="eastAsia" w:eastAsia="宋体" w:cs="Times New Roman"/>
              </w:rPr>
              <w:t>万元，其中环保投资</w:t>
            </w:r>
            <w:r>
              <w:rPr>
                <w:rFonts w:hint="eastAsia" w:eastAsia="宋体" w:cs="Times New Roman"/>
                <w:lang w:val="en-US" w:eastAsia="zh-CN"/>
              </w:rPr>
              <w:t>450</w:t>
            </w:r>
            <w:r>
              <w:rPr>
                <w:rFonts w:hint="eastAsia" w:eastAsia="宋体" w:cs="Times New Roman"/>
              </w:rPr>
              <w:t>万元；</w:t>
            </w:r>
          </w:p>
          <w:p w14:paraId="2A8BF7E0">
            <w:pPr>
              <w:adjustRightInd w:val="0"/>
              <w:snapToGrid w:val="0"/>
              <w:ind w:firstLine="480" w:firstLineChars="200"/>
              <w:rPr>
                <w:rFonts w:eastAsia="宋体" w:cs="Times New Roman"/>
              </w:rPr>
            </w:pPr>
            <w:r>
              <w:rPr>
                <w:rFonts w:hint="eastAsia" w:eastAsia="宋体" w:cs="Times New Roman"/>
              </w:rPr>
              <w:t>占地面积：</w:t>
            </w:r>
            <w:r>
              <w:rPr>
                <w:rFonts w:hint="eastAsia" w:eastAsia="宋体" w:cs="Times New Roman"/>
                <w:lang w:val="en-US" w:eastAsia="zh-CN"/>
              </w:rPr>
              <w:t>21666.86</w:t>
            </w:r>
            <w:r>
              <w:rPr>
                <w:rFonts w:hint="eastAsia" w:eastAsia="宋体" w:cs="Times New Roman"/>
              </w:rPr>
              <w:t>m</w:t>
            </w:r>
            <w:r>
              <w:rPr>
                <w:rFonts w:hint="eastAsia" w:eastAsia="宋体" w:cs="Times New Roman"/>
                <w:vertAlign w:val="superscript"/>
              </w:rPr>
              <w:t>2</w:t>
            </w:r>
            <w:r>
              <w:rPr>
                <w:rFonts w:hint="eastAsia" w:eastAsia="宋体" w:cs="Times New Roman"/>
              </w:rPr>
              <w:t>；建筑面积：</w:t>
            </w:r>
            <w:r>
              <w:rPr>
                <w:rFonts w:hint="eastAsia" w:cs="Times New Roman"/>
                <w:lang w:val="en-US" w:eastAsia="zh-CN"/>
              </w:rPr>
              <w:t>1124.4</w:t>
            </w:r>
            <w:r>
              <w:rPr>
                <w:rFonts w:hint="eastAsia" w:eastAsia="宋体" w:cs="Times New Roman"/>
              </w:rPr>
              <w:t>m</w:t>
            </w:r>
            <w:r>
              <w:rPr>
                <w:rFonts w:hint="eastAsia" w:eastAsia="宋体" w:cs="Times New Roman"/>
                <w:vertAlign w:val="superscript"/>
              </w:rPr>
              <w:t>2</w:t>
            </w:r>
            <w:r>
              <w:rPr>
                <w:rFonts w:hint="eastAsia" w:eastAsia="宋体" w:cs="Times New Roman"/>
              </w:rPr>
              <w:t>。</w:t>
            </w:r>
          </w:p>
          <w:p w14:paraId="5E34DBF0">
            <w:pPr>
              <w:adjustRightInd w:val="0"/>
              <w:snapToGrid w:val="0"/>
              <w:ind w:firstLine="480" w:firstLineChars="200"/>
              <w:rPr>
                <w:rFonts w:eastAsia="宋体" w:cs="Times New Roman"/>
              </w:rPr>
            </w:pPr>
            <w:r>
              <w:rPr>
                <w:rFonts w:hint="eastAsia" w:eastAsia="宋体" w:cs="Times New Roman"/>
              </w:rPr>
              <w:t>2、建设地点及四至情况</w:t>
            </w:r>
          </w:p>
          <w:p w14:paraId="07873499">
            <w:pPr>
              <w:adjustRightInd w:val="0"/>
              <w:snapToGrid w:val="0"/>
              <w:ind w:firstLine="480" w:firstLineChars="200"/>
              <w:rPr>
                <w:rFonts w:eastAsia="宋体" w:cs="Times New Roman"/>
              </w:rPr>
            </w:pPr>
            <w:r>
              <w:rPr>
                <w:rFonts w:hint="eastAsia" w:eastAsia="宋体" w:cs="Times New Roman"/>
              </w:rPr>
              <w:t>建设项目位于云浮市云安区六都镇茅坪坑。项目东面为</w:t>
            </w:r>
            <w:r>
              <w:rPr>
                <w:rFonts w:hint="eastAsia" w:eastAsia="宋体" w:cs="Times New Roman"/>
                <w:lang w:eastAsia="zh-CN"/>
              </w:rPr>
              <w:t>山林地</w:t>
            </w:r>
            <w:r>
              <w:rPr>
                <w:rFonts w:hint="eastAsia" w:eastAsia="宋体" w:cs="Times New Roman"/>
              </w:rPr>
              <w:t>，南面为</w:t>
            </w:r>
            <w:r>
              <w:rPr>
                <w:rFonts w:hint="eastAsia" w:eastAsia="宋体" w:cs="Times New Roman"/>
                <w:color w:val="000000"/>
                <w:lang w:eastAsia="zh-CN"/>
              </w:rPr>
              <w:t>青州大道</w:t>
            </w:r>
            <w:r>
              <w:rPr>
                <w:rFonts w:hint="eastAsia" w:eastAsia="宋体" w:cs="Times New Roman"/>
              </w:rPr>
              <w:t>，西面</w:t>
            </w:r>
            <w:r>
              <w:rPr>
                <w:rFonts w:hint="eastAsia" w:eastAsia="宋体" w:cs="Times New Roman"/>
                <w:lang w:eastAsia="zh-CN"/>
              </w:rPr>
              <w:t>和</w:t>
            </w:r>
            <w:r>
              <w:rPr>
                <w:rFonts w:hint="eastAsia" w:eastAsia="宋体" w:cs="Times New Roman"/>
              </w:rPr>
              <w:t>北面</w:t>
            </w:r>
            <w:r>
              <w:rPr>
                <w:rFonts w:hint="eastAsia" w:eastAsia="宋体" w:cs="Times New Roman"/>
                <w:lang w:eastAsia="zh-CN"/>
              </w:rPr>
              <w:t>现状为空地，最近环境敏感点为北面</w:t>
            </w:r>
            <w:r>
              <w:rPr>
                <w:rFonts w:hint="eastAsia" w:cs="Times New Roman"/>
                <w:color w:val="000000" w:themeColor="text1"/>
                <w:lang w:val="en-US" w:eastAsia="zh-CN"/>
                <w14:textFill>
                  <w14:solidFill>
                    <w14:schemeClr w14:val="tx1"/>
                  </w14:solidFill>
                </w14:textFill>
              </w:rPr>
              <w:t>430</w:t>
            </w:r>
            <w:r>
              <w:rPr>
                <w:rFonts w:hint="eastAsia" w:eastAsia="宋体" w:cs="Times New Roman"/>
                <w:color w:val="000000" w:themeColor="text1"/>
                <w:lang w:val="en-US" w:eastAsia="zh-CN"/>
                <w14:textFill>
                  <w14:solidFill>
                    <w14:schemeClr w14:val="tx1"/>
                  </w14:solidFill>
                </w14:textFill>
              </w:rPr>
              <w:t>米</w:t>
            </w:r>
            <w:r>
              <w:rPr>
                <w:rFonts w:hint="eastAsia" w:eastAsia="宋体" w:cs="Times New Roman"/>
                <w:lang w:val="en-US" w:eastAsia="zh-CN"/>
              </w:rPr>
              <w:t>处道城洞</w:t>
            </w:r>
            <w:r>
              <w:rPr>
                <w:rFonts w:hint="eastAsia" w:eastAsia="宋体" w:cs="Times New Roman"/>
              </w:rPr>
              <w:t>。</w:t>
            </w:r>
          </w:p>
          <w:p w14:paraId="5566D417">
            <w:pPr>
              <w:adjustRightInd w:val="0"/>
              <w:snapToGrid w:val="0"/>
              <w:ind w:firstLine="480" w:firstLineChars="200"/>
              <w:rPr>
                <w:rFonts w:eastAsia="宋体" w:cs="Times New Roman"/>
              </w:rPr>
            </w:pPr>
            <w:r>
              <w:rPr>
                <w:rFonts w:hint="eastAsia" w:eastAsia="宋体" w:cs="Times New Roman"/>
              </w:rPr>
              <w:t>本项目地理位置详见附图1，项目四至情况详见附图2，项目周边环境敏感点及环境影响评价范围详见附图4。</w:t>
            </w:r>
            <w:r>
              <w:rPr>
                <w:rFonts w:hint="eastAsia" w:eastAsia="宋体" w:cs="Times New Roman"/>
                <w:color w:val="000000"/>
                <w:lang w:eastAsia="zh-CN"/>
              </w:rPr>
              <w:t>项目</w:t>
            </w:r>
            <w:r>
              <w:rPr>
                <w:rFonts w:hint="eastAsia" w:eastAsia="宋体" w:cs="Times New Roman"/>
              </w:rPr>
              <w:t>平面布置详见</w:t>
            </w:r>
            <w:r>
              <w:rPr>
                <w:rFonts w:hint="eastAsia" w:eastAsia="宋体" w:cs="Times New Roman"/>
                <w:color w:val="000000" w:themeColor="text1"/>
                <w14:textFill>
                  <w14:solidFill>
                    <w14:schemeClr w14:val="tx1"/>
                  </w14:solidFill>
                </w14:textFill>
              </w:rPr>
              <w:t>附图</w:t>
            </w:r>
            <w:r>
              <w:rPr>
                <w:rFonts w:hint="eastAsia" w:cs="Times New Roman"/>
                <w:color w:val="000000" w:themeColor="text1"/>
                <w:lang w:val="en-US" w:eastAsia="zh-CN"/>
                <w14:textFill>
                  <w14:solidFill>
                    <w14:schemeClr w14:val="tx1"/>
                  </w14:solidFill>
                </w14:textFill>
              </w:rPr>
              <w:t>6</w:t>
            </w:r>
            <w:r>
              <w:rPr>
                <w:rFonts w:hint="eastAsia" w:eastAsia="宋体" w:cs="Times New Roman"/>
              </w:rPr>
              <w:t>。</w:t>
            </w:r>
          </w:p>
          <w:p w14:paraId="0112D07A">
            <w:pPr>
              <w:adjustRightInd w:val="0"/>
              <w:snapToGrid w:val="0"/>
              <w:ind w:firstLine="480" w:firstLineChars="200"/>
              <w:rPr>
                <w:rFonts w:eastAsia="宋体" w:cs="Times New Roman"/>
              </w:rPr>
            </w:pPr>
            <w:r>
              <w:rPr>
                <w:rFonts w:hint="eastAsia" w:eastAsia="宋体" w:cs="Times New Roman"/>
              </w:rPr>
              <w:t>3、工作制度及劳动定员</w:t>
            </w:r>
          </w:p>
          <w:p w14:paraId="19258174">
            <w:pPr>
              <w:adjustRightInd w:val="0"/>
              <w:snapToGrid w:val="0"/>
              <w:ind w:firstLine="480" w:firstLineChars="200"/>
              <w:rPr>
                <w:rFonts w:eastAsia="宋体" w:cs="Times New Roman"/>
              </w:rPr>
            </w:pPr>
            <w:r>
              <w:rPr>
                <w:rFonts w:hint="eastAsia" w:eastAsia="宋体" w:cs="Times New Roman"/>
              </w:rPr>
              <w:t>劳动定员：本项目员工人数为</w:t>
            </w:r>
            <w:r>
              <w:rPr>
                <w:rFonts w:hint="eastAsia" w:eastAsia="宋体" w:cs="Times New Roman"/>
                <w:lang w:val="en-US" w:eastAsia="zh-CN"/>
              </w:rPr>
              <w:t>47</w:t>
            </w:r>
            <w:r>
              <w:rPr>
                <w:rFonts w:hint="eastAsia" w:eastAsia="宋体" w:cs="Times New Roman"/>
              </w:rPr>
              <w:t>人。</w:t>
            </w:r>
          </w:p>
          <w:p w14:paraId="201158D4">
            <w:pPr>
              <w:adjustRightInd w:val="0"/>
              <w:snapToGrid w:val="0"/>
              <w:ind w:firstLine="480" w:firstLineChars="200"/>
              <w:rPr>
                <w:rFonts w:eastAsia="宋体" w:cs="Times New Roman"/>
              </w:rPr>
            </w:pPr>
            <w:r>
              <w:rPr>
                <w:rFonts w:hint="eastAsia" w:eastAsia="宋体" w:cs="Times New Roman"/>
              </w:rPr>
              <w:t>工作制度：</w:t>
            </w:r>
            <w:r>
              <w:rPr>
                <w:rFonts w:hint="eastAsia" w:eastAsia="宋体" w:cs="Times New Roman"/>
                <w:color w:val="000000"/>
              </w:rPr>
              <w:t>本项目液氨输送至厂外的湿法磷酸项目以及氨水生产均采用三班工作制，每班工作8小时，每年工作300天，年生产运行时间按</w:t>
            </w:r>
            <w:r>
              <w:rPr>
                <w:rFonts w:hint="eastAsia" w:eastAsia="宋体" w:cs="Times New Roman"/>
                <w:color w:val="000000"/>
                <w:lang w:val="en-US" w:eastAsia="zh-CN"/>
              </w:rPr>
              <w:t>7200</w:t>
            </w:r>
            <w:r>
              <w:rPr>
                <w:rFonts w:hint="eastAsia" w:eastAsia="宋体" w:cs="Times New Roman"/>
                <w:color w:val="000000"/>
              </w:rPr>
              <w:t>小时；液氨钢瓶充装采用单班8小时工作制，年生产300天</w:t>
            </w:r>
            <w:r>
              <w:rPr>
                <w:rFonts w:hint="eastAsia" w:eastAsia="宋体" w:cs="Times New Roman"/>
              </w:rPr>
              <w:t>，年生产运行时间按</w:t>
            </w:r>
            <w:r>
              <w:rPr>
                <w:rFonts w:hint="eastAsia" w:eastAsia="宋体" w:cs="Times New Roman"/>
                <w:lang w:val="en-US" w:eastAsia="zh-CN"/>
              </w:rPr>
              <w:t>2400</w:t>
            </w:r>
            <w:r>
              <w:rPr>
                <w:rFonts w:hint="eastAsia" w:eastAsia="宋体" w:cs="Times New Roman"/>
              </w:rPr>
              <w:t>小时，员工均不在项目内食宿</w:t>
            </w:r>
            <w:r>
              <w:rPr>
                <w:rFonts w:hint="eastAsia" w:eastAsia="宋体" w:cs="Times New Roman"/>
                <w:color w:val="000000"/>
              </w:rPr>
              <w:t>。</w:t>
            </w:r>
          </w:p>
          <w:p w14:paraId="37A3EB30">
            <w:pPr>
              <w:adjustRightInd w:val="0"/>
              <w:snapToGrid w:val="0"/>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三、建设项目主要建设内容</w:t>
            </w:r>
          </w:p>
          <w:p w14:paraId="248833BE">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工程建设</w:t>
            </w:r>
          </w:p>
          <w:p w14:paraId="50C5515F">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本项目总占地面积2</w:t>
            </w:r>
            <w:r>
              <w:rPr>
                <w:rFonts w:hint="eastAsia" w:ascii="Times New Roman" w:hAnsi="Times New Roman" w:eastAsia="宋体" w:cs="Times New Roman"/>
                <w:bCs/>
                <w:sz w:val="24"/>
                <w:szCs w:val="24"/>
                <w:lang w:val="en-US" w:eastAsia="zh-CN"/>
              </w:rPr>
              <w:t>1666.86</w:t>
            </w:r>
            <w:r>
              <w:rPr>
                <w:rFonts w:hint="eastAsia" w:ascii="Times New Roman" w:hAnsi="Times New Roman" w:eastAsia="宋体" w:cs="Times New Roman"/>
                <w:bCs/>
                <w:sz w:val="24"/>
                <w:szCs w:val="24"/>
                <w:lang w:eastAsia="zh-CN"/>
              </w:rPr>
              <w:t>平方米，主要建设</w:t>
            </w:r>
            <w:r>
              <w:rPr>
                <w:rFonts w:hint="eastAsia" w:ascii="Times New Roman" w:hAnsi="Times New Roman" w:eastAsia="宋体" w:cs="Times New Roman"/>
                <w:bCs/>
                <w:sz w:val="24"/>
                <w:szCs w:val="24"/>
                <w:highlight w:val="none"/>
                <w:lang w:val="en-US" w:eastAsia="zh-CN"/>
              </w:rPr>
              <w:t>1栋综合楼、1个生产车间、1个液氨球罐区、1个氨水罐区、2个循环水池、1个发电机房、2个消防水罐、1个消防泵房、1个事故应急池、1个初期雨水池和1个门卫室</w:t>
            </w:r>
            <w:r>
              <w:rPr>
                <w:rFonts w:hint="eastAsia" w:ascii="Times New Roman" w:hAnsi="Times New Roman" w:eastAsia="宋体" w:cs="Times New Roman"/>
                <w:bCs/>
                <w:sz w:val="24"/>
                <w:szCs w:val="24"/>
                <w:lang w:val="en-US" w:eastAsia="zh-CN"/>
              </w:rPr>
              <w:t>等，总建筑面积</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约</w:t>
            </w:r>
            <w:r>
              <w:rPr>
                <w:rFonts w:hint="eastAsia" w:cs="Times New Roman"/>
                <w:bCs/>
                <w:color w:val="000000" w:themeColor="text1"/>
                <w:sz w:val="24"/>
                <w:szCs w:val="24"/>
                <w:shd w:val="clear" w:color="FFFFFF"/>
                <w:lang w:val="en-US" w:eastAsia="zh-CN"/>
                <w14:textFill>
                  <w14:solidFill>
                    <w14:schemeClr w14:val="tx1"/>
                  </w14:solidFill>
                </w14:textFill>
              </w:rPr>
              <w:t>1124.4</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平</w:t>
            </w:r>
            <w:r>
              <w:rPr>
                <w:rFonts w:hint="eastAsia" w:ascii="Times New Roman" w:hAnsi="Times New Roman" w:eastAsia="宋体" w:cs="Times New Roman"/>
                <w:bCs/>
                <w:sz w:val="24"/>
                <w:szCs w:val="24"/>
                <w:lang w:val="en-US" w:eastAsia="zh-CN"/>
              </w:rPr>
              <w:t>方米。</w:t>
            </w:r>
          </w:p>
          <w:p w14:paraId="3147DADB">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本项目建构筑物见表2-1，工程建设内容见表2-2，厂区总平面布置见附图，其中生产车间平面布置见附图。</w:t>
            </w:r>
          </w:p>
          <w:p w14:paraId="6DFEAD1A">
            <w:pPr>
              <w:pStyle w:val="15"/>
              <w:bidi w:val="0"/>
              <w:rPr>
                <w:rFonts w:hint="default"/>
                <w:lang w:val="en-US" w:eastAsia="zh-CN"/>
              </w:rPr>
            </w:pPr>
            <w:r>
              <w:rPr>
                <w:rFonts w:hint="eastAsia"/>
                <w:lang w:val="en-US" w:eastAsia="zh-CN"/>
              </w:rPr>
              <w:t>表2-1 本项目建构筑物</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7"/>
              <w:gridCol w:w="1438"/>
              <w:gridCol w:w="1058"/>
              <w:gridCol w:w="764"/>
              <w:gridCol w:w="1370"/>
              <w:gridCol w:w="1111"/>
              <w:gridCol w:w="1125"/>
              <w:gridCol w:w="1240"/>
            </w:tblGrid>
            <w:tr w14:paraId="4CD5D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073982E7">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序号</w:t>
                  </w:r>
                </w:p>
              </w:tc>
              <w:tc>
                <w:tcPr>
                  <w:tcW w:w="1438" w:type="dxa"/>
                  <w:tcBorders>
                    <w:tl2br w:val="nil"/>
                    <w:tr2bl w:val="nil"/>
                  </w:tcBorders>
                  <w:noWrap w:val="0"/>
                  <w:vAlign w:val="center"/>
                </w:tcPr>
                <w:p w14:paraId="0D5BFF34">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名称</w:t>
                  </w:r>
                </w:p>
              </w:tc>
              <w:tc>
                <w:tcPr>
                  <w:tcW w:w="1058" w:type="dxa"/>
                  <w:tcBorders>
                    <w:tl2br w:val="nil"/>
                    <w:tr2bl w:val="nil"/>
                  </w:tcBorders>
                  <w:noWrap w:val="0"/>
                  <w:vAlign w:val="center"/>
                </w:tcPr>
                <w:p w14:paraId="51F0BEAD">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占地面积（m</w:t>
                  </w:r>
                  <w:r>
                    <w:rPr>
                      <w:rFonts w:hint="eastAsia" w:ascii="Times New Roman" w:hAnsi="Times New Roman" w:eastAsia="宋体" w:cs="Times New Roman"/>
                      <w:b/>
                      <w:bCs w:val="0"/>
                      <w:sz w:val="21"/>
                      <w:szCs w:val="21"/>
                      <w:vertAlign w:val="superscript"/>
                      <w:lang w:val="en-US" w:eastAsia="zh-CN"/>
                    </w:rPr>
                    <w:t>2</w:t>
                  </w:r>
                  <w:r>
                    <w:rPr>
                      <w:rFonts w:hint="eastAsia" w:ascii="Times New Roman" w:hAnsi="Times New Roman" w:eastAsia="宋体" w:cs="Times New Roman"/>
                      <w:b/>
                      <w:bCs w:val="0"/>
                      <w:sz w:val="21"/>
                      <w:szCs w:val="21"/>
                      <w:vertAlign w:val="baseline"/>
                      <w:lang w:val="en-US" w:eastAsia="zh-CN"/>
                    </w:rPr>
                    <w:t>）</w:t>
                  </w:r>
                </w:p>
              </w:tc>
              <w:tc>
                <w:tcPr>
                  <w:tcW w:w="764" w:type="dxa"/>
                  <w:tcBorders>
                    <w:tl2br w:val="nil"/>
                    <w:tr2bl w:val="nil"/>
                  </w:tcBorders>
                  <w:noWrap w:val="0"/>
                  <w:vAlign w:val="center"/>
                </w:tcPr>
                <w:p w14:paraId="3625E5DB">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层数</w:t>
                  </w:r>
                </w:p>
              </w:tc>
              <w:tc>
                <w:tcPr>
                  <w:tcW w:w="1370" w:type="dxa"/>
                  <w:tcBorders>
                    <w:tl2br w:val="nil"/>
                    <w:tr2bl w:val="nil"/>
                  </w:tcBorders>
                  <w:noWrap w:val="0"/>
                  <w:vAlign w:val="center"/>
                </w:tcPr>
                <w:p w14:paraId="7AAA3F29">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总高/深（m）</w:t>
                  </w:r>
                </w:p>
              </w:tc>
              <w:tc>
                <w:tcPr>
                  <w:tcW w:w="1111" w:type="dxa"/>
                  <w:tcBorders>
                    <w:tl2br w:val="nil"/>
                    <w:tr2bl w:val="nil"/>
                  </w:tcBorders>
                  <w:noWrap w:val="0"/>
                  <w:vAlign w:val="center"/>
                </w:tcPr>
                <w:p w14:paraId="2446BF39">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建筑面积</w:t>
                  </w:r>
                </w:p>
                <w:p w14:paraId="5064416E">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（m</w:t>
                  </w:r>
                  <w:r>
                    <w:rPr>
                      <w:rFonts w:hint="eastAsia" w:ascii="Times New Roman" w:hAnsi="Times New Roman" w:eastAsia="宋体" w:cs="Times New Roman"/>
                      <w:b/>
                      <w:bCs w:val="0"/>
                      <w:sz w:val="21"/>
                      <w:szCs w:val="21"/>
                      <w:vertAlign w:val="superscript"/>
                      <w:lang w:val="en-US" w:eastAsia="zh-CN"/>
                    </w:rPr>
                    <w:t>2</w:t>
                  </w:r>
                  <w:r>
                    <w:rPr>
                      <w:rFonts w:hint="eastAsia" w:ascii="Times New Roman" w:hAnsi="Times New Roman" w:eastAsia="宋体" w:cs="Times New Roman"/>
                      <w:b/>
                      <w:bCs w:val="0"/>
                      <w:sz w:val="21"/>
                      <w:szCs w:val="21"/>
                      <w:vertAlign w:val="baseline"/>
                      <w:lang w:val="en-US" w:eastAsia="zh-CN"/>
                    </w:rPr>
                    <w:t>）</w:t>
                  </w:r>
                </w:p>
              </w:tc>
              <w:tc>
                <w:tcPr>
                  <w:tcW w:w="1125" w:type="dxa"/>
                  <w:tcBorders>
                    <w:tl2br w:val="nil"/>
                    <w:tr2bl w:val="nil"/>
                  </w:tcBorders>
                  <w:noWrap w:val="0"/>
                  <w:vAlign w:val="center"/>
                </w:tcPr>
                <w:p w14:paraId="4145B31E">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结构形式</w:t>
                  </w:r>
                </w:p>
              </w:tc>
              <w:tc>
                <w:tcPr>
                  <w:tcW w:w="1240" w:type="dxa"/>
                  <w:tcBorders>
                    <w:tl2br w:val="nil"/>
                    <w:tr2bl w:val="nil"/>
                  </w:tcBorders>
                  <w:noWrap w:val="0"/>
                  <w:vAlign w:val="center"/>
                </w:tcPr>
                <w:p w14:paraId="215A7867">
                  <w:pPr>
                    <w:adjustRightInd w:val="0"/>
                    <w:snapToGrid w:val="0"/>
                    <w:spacing w:line="240" w:lineRule="auto"/>
                    <w:jc w:val="center"/>
                    <w:rPr>
                      <w:rFonts w:hint="eastAsia" w:ascii="Times New Roman" w:hAnsi="Times New Roman" w:eastAsia="宋体" w:cs="Times New Roman"/>
                      <w:b/>
                      <w:bCs w:val="0"/>
                      <w:sz w:val="21"/>
                      <w:szCs w:val="21"/>
                      <w:vertAlign w:val="baseline"/>
                      <w:lang w:val="en-US" w:eastAsia="zh-CN"/>
                    </w:rPr>
                  </w:pPr>
                  <w:r>
                    <w:rPr>
                      <w:rFonts w:hint="eastAsia" w:ascii="Times New Roman" w:hAnsi="Times New Roman" w:eastAsia="宋体" w:cs="Times New Roman"/>
                      <w:b/>
                      <w:bCs w:val="0"/>
                      <w:sz w:val="21"/>
                      <w:szCs w:val="21"/>
                      <w:vertAlign w:val="baseline"/>
                      <w:lang w:val="en-US" w:eastAsia="zh-CN"/>
                    </w:rPr>
                    <w:t>火灾危险性类别</w:t>
                  </w:r>
                </w:p>
              </w:tc>
            </w:tr>
            <w:tr w14:paraId="0BAC8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0F9DC61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w:t>
                  </w:r>
                </w:p>
              </w:tc>
              <w:tc>
                <w:tcPr>
                  <w:tcW w:w="1438" w:type="dxa"/>
                  <w:tcBorders>
                    <w:tl2br w:val="nil"/>
                    <w:tr2bl w:val="nil"/>
                  </w:tcBorders>
                  <w:noWrap w:val="0"/>
                  <w:vAlign w:val="center"/>
                </w:tcPr>
                <w:p w14:paraId="2863248C">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综合楼</w:t>
                  </w:r>
                </w:p>
              </w:tc>
              <w:tc>
                <w:tcPr>
                  <w:tcW w:w="1058" w:type="dxa"/>
                  <w:tcBorders>
                    <w:tl2br w:val="nil"/>
                    <w:tr2bl w:val="nil"/>
                  </w:tcBorders>
                  <w:noWrap w:val="0"/>
                  <w:vAlign w:val="center"/>
                </w:tcPr>
                <w:p w14:paraId="4E98C5ED">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432</w:t>
                  </w:r>
                </w:p>
              </w:tc>
              <w:tc>
                <w:tcPr>
                  <w:tcW w:w="764" w:type="dxa"/>
                  <w:tcBorders>
                    <w:tl2br w:val="nil"/>
                    <w:tr2bl w:val="nil"/>
                  </w:tcBorders>
                  <w:noWrap w:val="0"/>
                  <w:vAlign w:val="center"/>
                </w:tcPr>
                <w:p w14:paraId="56EF9D93">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1</w:t>
                  </w:r>
                </w:p>
              </w:tc>
              <w:tc>
                <w:tcPr>
                  <w:tcW w:w="1370" w:type="dxa"/>
                  <w:tcBorders>
                    <w:tl2br w:val="nil"/>
                    <w:tr2bl w:val="nil"/>
                  </w:tcBorders>
                  <w:noWrap w:val="0"/>
                  <w:vAlign w:val="center"/>
                </w:tcPr>
                <w:p w14:paraId="1E813F39">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4.95</w:t>
                  </w:r>
                </w:p>
              </w:tc>
              <w:tc>
                <w:tcPr>
                  <w:tcW w:w="1111" w:type="dxa"/>
                  <w:tcBorders>
                    <w:tl2br w:val="nil"/>
                    <w:tr2bl w:val="nil"/>
                  </w:tcBorders>
                  <w:noWrap w:val="0"/>
                  <w:vAlign w:val="center"/>
                </w:tcPr>
                <w:p w14:paraId="1C13010B">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432</w:t>
                  </w:r>
                </w:p>
              </w:tc>
              <w:tc>
                <w:tcPr>
                  <w:tcW w:w="1125" w:type="dxa"/>
                  <w:tcBorders>
                    <w:tl2br w:val="nil"/>
                    <w:tr2bl w:val="nil"/>
                  </w:tcBorders>
                  <w:noWrap w:val="0"/>
                  <w:vAlign w:val="center"/>
                </w:tcPr>
                <w:p w14:paraId="01C2BC9A">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钢混框架</w:t>
                  </w:r>
                </w:p>
              </w:tc>
              <w:tc>
                <w:tcPr>
                  <w:tcW w:w="1240" w:type="dxa"/>
                  <w:tcBorders>
                    <w:tl2br w:val="nil"/>
                    <w:tr2bl w:val="nil"/>
                  </w:tcBorders>
                  <w:noWrap w:val="0"/>
                  <w:vAlign w:val="center"/>
                </w:tcPr>
                <w:p w14:paraId="4B51AF12">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民用</w:t>
                  </w:r>
                </w:p>
              </w:tc>
            </w:tr>
            <w:tr w14:paraId="1DD66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48AFE8CA">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2</w:t>
                  </w:r>
                </w:p>
              </w:tc>
              <w:tc>
                <w:tcPr>
                  <w:tcW w:w="1438" w:type="dxa"/>
                  <w:tcBorders>
                    <w:tl2br w:val="nil"/>
                    <w:tr2bl w:val="nil"/>
                  </w:tcBorders>
                  <w:noWrap w:val="0"/>
                  <w:vAlign w:val="center"/>
                </w:tcPr>
                <w:p w14:paraId="0D0470AE">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生产车间</w:t>
                  </w:r>
                </w:p>
              </w:tc>
              <w:tc>
                <w:tcPr>
                  <w:tcW w:w="1058" w:type="dxa"/>
                  <w:tcBorders>
                    <w:tl2br w:val="nil"/>
                    <w:tr2bl w:val="nil"/>
                  </w:tcBorders>
                  <w:noWrap w:val="0"/>
                  <w:vAlign w:val="center"/>
                </w:tcPr>
                <w:p w14:paraId="44B05266">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414.4</w:t>
                  </w:r>
                </w:p>
              </w:tc>
              <w:tc>
                <w:tcPr>
                  <w:tcW w:w="764" w:type="dxa"/>
                  <w:tcBorders>
                    <w:tl2br w:val="nil"/>
                    <w:tr2bl w:val="nil"/>
                  </w:tcBorders>
                  <w:noWrap w:val="0"/>
                  <w:vAlign w:val="center"/>
                </w:tcPr>
                <w:p w14:paraId="4A536E67">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w:t>
                  </w:r>
                </w:p>
              </w:tc>
              <w:tc>
                <w:tcPr>
                  <w:tcW w:w="1370" w:type="dxa"/>
                  <w:tcBorders>
                    <w:tl2br w:val="nil"/>
                    <w:tr2bl w:val="nil"/>
                  </w:tcBorders>
                  <w:noWrap w:val="0"/>
                  <w:vAlign w:val="center"/>
                </w:tcPr>
                <w:p w14:paraId="372957E4">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10.4</w:t>
                  </w:r>
                </w:p>
              </w:tc>
              <w:tc>
                <w:tcPr>
                  <w:tcW w:w="1111" w:type="dxa"/>
                  <w:tcBorders>
                    <w:tl2br w:val="nil"/>
                    <w:tr2bl w:val="nil"/>
                  </w:tcBorders>
                  <w:noWrap w:val="0"/>
                  <w:vAlign w:val="center"/>
                </w:tcPr>
                <w:p w14:paraId="52D5E355">
                  <w:pPr>
                    <w:adjustRightInd w:val="0"/>
                    <w:snapToGrid w:val="0"/>
                    <w:spacing w:line="240" w:lineRule="auto"/>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414.4</w:t>
                  </w:r>
                </w:p>
              </w:tc>
              <w:tc>
                <w:tcPr>
                  <w:tcW w:w="1125" w:type="dxa"/>
                  <w:tcBorders>
                    <w:tl2br w:val="nil"/>
                    <w:tr2bl w:val="nil"/>
                  </w:tcBorders>
                  <w:noWrap w:val="0"/>
                  <w:vAlign w:val="center"/>
                </w:tcPr>
                <w:p w14:paraId="05531D73">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钢混框架</w:t>
                  </w:r>
                </w:p>
              </w:tc>
              <w:tc>
                <w:tcPr>
                  <w:tcW w:w="1240" w:type="dxa"/>
                  <w:tcBorders>
                    <w:tl2br w:val="nil"/>
                    <w:tr2bl w:val="nil"/>
                  </w:tcBorders>
                  <w:noWrap w:val="0"/>
                  <w:vAlign w:val="center"/>
                </w:tcPr>
                <w:p w14:paraId="31B3B842">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乙类</w:t>
                  </w:r>
                </w:p>
              </w:tc>
            </w:tr>
            <w:tr w14:paraId="131E6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687DFB3A">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w:t>
                  </w:r>
                </w:p>
              </w:tc>
              <w:tc>
                <w:tcPr>
                  <w:tcW w:w="1438" w:type="dxa"/>
                  <w:tcBorders>
                    <w:tl2br w:val="nil"/>
                    <w:tr2bl w:val="nil"/>
                  </w:tcBorders>
                  <w:noWrap w:val="0"/>
                  <w:vAlign w:val="center"/>
                </w:tcPr>
                <w:p w14:paraId="0F3B20DB">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门卫室</w:t>
                  </w:r>
                </w:p>
              </w:tc>
              <w:tc>
                <w:tcPr>
                  <w:tcW w:w="1058" w:type="dxa"/>
                  <w:tcBorders>
                    <w:tl2br w:val="nil"/>
                    <w:tr2bl w:val="nil"/>
                  </w:tcBorders>
                  <w:noWrap w:val="0"/>
                  <w:vAlign w:val="center"/>
                </w:tcPr>
                <w:p w14:paraId="70AFBDEC">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24</w:t>
                  </w:r>
                </w:p>
              </w:tc>
              <w:tc>
                <w:tcPr>
                  <w:tcW w:w="764" w:type="dxa"/>
                  <w:tcBorders>
                    <w:tl2br w:val="nil"/>
                    <w:tr2bl w:val="nil"/>
                  </w:tcBorders>
                  <w:noWrap w:val="0"/>
                  <w:vAlign w:val="center"/>
                </w:tcPr>
                <w:p w14:paraId="25B2F38C">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w:t>
                  </w:r>
                </w:p>
              </w:tc>
              <w:tc>
                <w:tcPr>
                  <w:tcW w:w="1370" w:type="dxa"/>
                  <w:tcBorders>
                    <w:tl2br w:val="nil"/>
                    <w:tr2bl w:val="nil"/>
                  </w:tcBorders>
                  <w:noWrap w:val="0"/>
                  <w:vAlign w:val="center"/>
                </w:tcPr>
                <w:p w14:paraId="623A9F5D">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4.4</w:t>
                  </w:r>
                </w:p>
              </w:tc>
              <w:tc>
                <w:tcPr>
                  <w:tcW w:w="1111" w:type="dxa"/>
                  <w:tcBorders>
                    <w:tl2br w:val="nil"/>
                    <w:tr2bl w:val="nil"/>
                  </w:tcBorders>
                  <w:noWrap w:val="0"/>
                  <w:vAlign w:val="center"/>
                </w:tcPr>
                <w:p w14:paraId="3B6B21F2">
                  <w:pPr>
                    <w:adjustRightInd w:val="0"/>
                    <w:snapToGrid w:val="0"/>
                    <w:spacing w:line="240" w:lineRule="auto"/>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24</w:t>
                  </w:r>
                </w:p>
              </w:tc>
              <w:tc>
                <w:tcPr>
                  <w:tcW w:w="1125" w:type="dxa"/>
                  <w:tcBorders>
                    <w:tl2br w:val="nil"/>
                    <w:tr2bl w:val="nil"/>
                  </w:tcBorders>
                  <w:noWrap w:val="0"/>
                  <w:vAlign w:val="center"/>
                </w:tcPr>
                <w:p w14:paraId="24DC4B2E">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砖混</w:t>
                  </w:r>
                </w:p>
              </w:tc>
              <w:tc>
                <w:tcPr>
                  <w:tcW w:w="1240" w:type="dxa"/>
                  <w:tcBorders>
                    <w:tl2br w:val="nil"/>
                    <w:tr2bl w:val="nil"/>
                  </w:tcBorders>
                  <w:noWrap w:val="0"/>
                  <w:vAlign w:val="center"/>
                </w:tcPr>
                <w:p w14:paraId="1E2E1885">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民用</w:t>
                  </w:r>
                </w:p>
              </w:tc>
            </w:tr>
            <w:tr w14:paraId="56C29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3FA1444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4</w:t>
                  </w:r>
                </w:p>
              </w:tc>
              <w:tc>
                <w:tcPr>
                  <w:tcW w:w="1438" w:type="dxa"/>
                  <w:tcBorders>
                    <w:tl2br w:val="nil"/>
                    <w:tr2bl w:val="nil"/>
                  </w:tcBorders>
                  <w:noWrap w:val="0"/>
                  <w:vAlign w:val="center"/>
                </w:tcPr>
                <w:p w14:paraId="5C620A41">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液氨球罐区</w:t>
                  </w:r>
                </w:p>
              </w:tc>
              <w:tc>
                <w:tcPr>
                  <w:tcW w:w="1058" w:type="dxa"/>
                  <w:tcBorders>
                    <w:tl2br w:val="nil"/>
                    <w:tr2bl w:val="nil"/>
                  </w:tcBorders>
                  <w:noWrap w:val="0"/>
                  <w:vAlign w:val="center"/>
                </w:tcPr>
                <w:p w14:paraId="2C2F727D">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2655.51</w:t>
                  </w:r>
                </w:p>
              </w:tc>
              <w:tc>
                <w:tcPr>
                  <w:tcW w:w="764" w:type="dxa"/>
                  <w:tcBorders>
                    <w:tl2br w:val="nil"/>
                    <w:tr2bl w:val="nil"/>
                  </w:tcBorders>
                  <w:noWrap w:val="0"/>
                  <w:vAlign w:val="center"/>
                </w:tcPr>
                <w:p w14:paraId="7329DA83">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370" w:type="dxa"/>
                  <w:tcBorders>
                    <w:tl2br w:val="nil"/>
                    <w:tr2bl w:val="nil"/>
                  </w:tcBorders>
                  <w:noWrap w:val="0"/>
                  <w:vAlign w:val="center"/>
                </w:tcPr>
                <w:p w14:paraId="484DAB70">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111" w:type="dxa"/>
                  <w:tcBorders>
                    <w:tl2br w:val="nil"/>
                    <w:tr2bl w:val="nil"/>
                  </w:tcBorders>
                  <w:noWrap w:val="0"/>
                  <w:vAlign w:val="center"/>
                </w:tcPr>
                <w:p w14:paraId="37C94992">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125" w:type="dxa"/>
                  <w:tcBorders>
                    <w:tl2br w:val="nil"/>
                    <w:tr2bl w:val="nil"/>
                  </w:tcBorders>
                  <w:noWrap w:val="0"/>
                  <w:vAlign w:val="center"/>
                </w:tcPr>
                <w:p w14:paraId="38524411">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30D53125">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乙类</w:t>
                  </w:r>
                </w:p>
              </w:tc>
            </w:tr>
            <w:tr w14:paraId="7490F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7EC6E46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5</w:t>
                  </w:r>
                </w:p>
              </w:tc>
              <w:tc>
                <w:tcPr>
                  <w:tcW w:w="1438" w:type="dxa"/>
                  <w:tcBorders>
                    <w:tl2br w:val="nil"/>
                    <w:tr2bl w:val="nil"/>
                  </w:tcBorders>
                  <w:noWrap w:val="0"/>
                  <w:vAlign w:val="center"/>
                </w:tcPr>
                <w:p w14:paraId="568704C3">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氨水罐区</w:t>
                  </w:r>
                </w:p>
              </w:tc>
              <w:tc>
                <w:tcPr>
                  <w:tcW w:w="1058" w:type="dxa"/>
                  <w:tcBorders>
                    <w:tl2br w:val="nil"/>
                    <w:tr2bl w:val="nil"/>
                  </w:tcBorders>
                  <w:noWrap w:val="0"/>
                  <w:vAlign w:val="center"/>
                </w:tcPr>
                <w:p w14:paraId="22E09F12">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1802.25</w:t>
                  </w:r>
                </w:p>
              </w:tc>
              <w:tc>
                <w:tcPr>
                  <w:tcW w:w="764" w:type="dxa"/>
                  <w:tcBorders>
                    <w:tl2br w:val="nil"/>
                    <w:tr2bl w:val="nil"/>
                  </w:tcBorders>
                  <w:noWrap w:val="0"/>
                  <w:vAlign w:val="center"/>
                </w:tcPr>
                <w:p w14:paraId="4685B98E">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370" w:type="dxa"/>
                  <w:tcBorders>
                    <w:tl2br w:val="nil"/>
                    <w:tr2bl w:val="nil"/>
                  </w:tcBorders>
                  <w:noWrap w:val="0"/>
                  <w:vAlign w:val="center"/>
                </w:tcPr>
                <w:p w14:paraId="68291987">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111" w:type="dxa"/>
                  <w:tcBorders>
                    <w:tl2br w:val="nil"/>
                    <w:tr2bl w:val="nil"/>
                  </w:tcBorders>
                  <w:noWrap w:val="0"/>
                  <w:vAlign w:val="center"/>
                </w:tcPr>
                <w:p w14:paraId="1DB39B02">
                  <w:pPr>
                    <w:adjustRightInd w:val="0"/>
                    <w:snapToGrid w:val="0"/>
                    <w:spacing w:line="24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1125" w:type="dxa"/>
                  <w:tcBorders>
                    <w:tl2br w:val="nil"/>
                    <w:tr2bl w:val="nil"/>
                  </w:tcBorders>
                  <w:noWrap w:val="0"/>
                  <w:vAlign w:val="center"/>
                </w:tcPr>
                <w:p w14:paraId="125345A5">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624A1529">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戊类</w:t>
                  </w:r>
                </w:p>
              </w:tc>
            </w:tr>
            <w:tr w14:paraId="7E4A3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3BB617A0">
                  <w:pPr>
                    <w:adjustRightInd w:val="0"/>
                    <w:snapToGrid w:val="0"/>
                    <w:spacing w:line="240" w:lineRule="auto"/>
                    <w:jc w:val="center"/>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6</w:t>
                  </w:r>
                </w:p>
              </w:tc>
              <w:tc>
                <w:tcPr>
                  <w:tcW w:w="1438" w:type="dxa"/>
                  <w:tcBorders>
                    <w:tl2br w:val="nil"/>
                    <w:tr2bl w:val="nil"/>
                  </w:tcBorders>
                  <w:noWrap w:val="0"/>
                  <w:vAlign w:val="center"/>
                </w:tcPr>
                <w:p w14:paraId="4A687869">
                  <w:pPr>
                    <w:adjustRightInd w:val="0"/>
                    <w:snapToGrid w:val="0"/>
                    <w:spacing w:line="240" w:lineRule="auto"/>
                    <w:jc w:val="center"/>
                    <w:rPr>
                      <w:rFonts w:hint="eastAsia" w:ascii="Times New Roman" w:hAnsi="Times New Roman" w:eastAsia="宋体" w:cs="Times New Roman"/>
                      <w:bCs/>
                      <w:kern w:val="2"/>
                      <w:sz w:val="21"/>
                      <w:szCs w:val="21"/>
                      <w:highlight w:val="none"/>
                      <w:vertAlign w:val="baseline"/>
                      <w:lang w:val="en-US" w:eastAsia="zh-CN" w:bidi="ar-SA"/>
                    </w:rPr>
                  </w:pPr>
                  <w:r>
                    <w:rPr>
                      <w:rFonts w:hint="eastAsia" w:ascii="Times New Roman" w:hAnsi="Times New Roman" w:eastAsia="宋体" w:cs="Times New Roman"/>
                      <w:bCs/>
                      <w:kern w:val="2"/>
                      <w:sz w:val="21"/>
                      <w:szCs w:val="21"/>
                      <w:highlight w:val="none"/>
                      <w:vertAlign w:val="baseline"/>
                      <w:lang w:val="en-US" w:eastAsia="zh-CN" w:bidi="ar-SA"/>
                    </w:rPr>
                    <w:t>防晒循环水池</w:t>
                  </w:r>
                </w:p>
              </w:tc>
              <w:tc>
                <w:tcPr>
                  <w:tcW w:w="1058" w:type="dxa"/>
                  <w:tcBorders>
                    <w:tl2br w:val="nil"/>
                    <w:tr2bl w:val="nil"/>
                  </w:tcBorders>
                  <w:noWrap w:val="0"/>
                  <w:vAlign w:val="center"/>
                </w:tcPr>
                <w:p w14:paraId="09635EC4">
                  <w:pPr>
                    <w:adjustRightInd w:val="0"/>
                    <w:snapToGrid w:val="0"/>
                    <w:spacing w:line="240" w:lineRule="auto"/>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kern w:val="2"/>
                      <w:sz w:val="21"/>
                      <w:szCs w:val="21"/>
                      <w:vertAlign w:val="baseline"/>
                      <w:lang w:val="en-US" w:eastAsia="zh-CN" w:bidi="ar-SA"/>
                    </w:rPr>
                    <w:t>67.5</w:t>
                  </w:r>
                </w:p>
              </w:tc>
              <w:tc>
                <w:tcPr>
                  <w:tcW w:w="764" w:type="dxa"/>
                  <w:tcBorders>
                    <w:tl2br w:val="nil"/>
                    <w:tr2bl w:val="nil"/>
                  </w:tcBorders>
                  <w:noWrap w:val="0"/>
                  <w:vAlign w:val="center"/>
                </w:tcPr>
                <w:p w14:paraId="58DE78AC">
                  <w:pPr>
                    <w:adjustRightInd w:val="0"/>
                    <w:snapToGrid w:val="0"/>
                    <w:spacing w:line="240" w:lineRule="auto"/>
                    <w:jc w:val="center"/>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w:t>
                  </w:r>
                </w:p>
              </w:tc>
              <w:tc>
                <w:tcPr>
                  <w:tcW w:w="1370" w:type="dxa"/>
                  <w:tcBorders>
                    <w:tl2br w:val="nil"/>
                    <w:tr2bl w:val="nil"/>
                  </w:tcBorders>
                  <w:noWrap w:val="0"/>
                  <w:vAlign w:val="center"/>
                </w:tcPr>
                <w:p w14:paraId="0817BA9B">
                  <w:pPr>
                    <w:adjustRightInd w:val="0"/>
                    <w:snapToGrid w:val="0"/>
                    <w:spacing w:line="240" w:lineRule="auto"/>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kern w:val="2"/>
                      <w:sz w:val="21"/>
                      <w:szCs w:val="21"/>
                      <w:vertAlign w:val="baseline"/>
                      <w:lang w:val="en-US" w:eastAsia="zh-CN" w:bidi="ar-SA"/>
                    </w:rPr>
                    <w:t>3</w:t>
                  </w:r>
                </w:p>
              </w:tc>
              <w:tc>
                <w:tcPr>
                  <w:tcW w:w="1111" w:type="dxa"/>
                  <w:tcBorders>
                    <w:tl2br w:val="nil"/>
                    <w:tr2bl w:val="nil"/>
                  </w:tcBorders>
                  <w:noWrap w:val="0"/>
                  <w:vAlign w:val="center"/>
                </w:tcPr>
                <w:p w14:paraId="3DEF8CF6">
                  <w:pPr>
                    <w:adjustRightInd w:val="0"/>
                    <w:snapToGrid w:val="0"/>
                    <w:spacing w:line="240" w:lineRule="auto"/>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w:t>
                  </w:r>
                </w:p>
              </w:tc>
              <w:tc>
                <w:tcPr>
                  <w:tcW w:w="1125" w:type="dxa"/>
                  <w:tcBorders>
                    <w:tl2br w:val="nil"/>
                    <w:tr2bl w:val="nil"/>
                  </w:tcBorders>
                  <w:noWrap w:val="0"/>
                  <w:vAlign w:val="center"/>
                </w:tcPr>
                <w:p w14:paraId="53F78F81">
                  <w:pPr>
                    <w:adjustRightInd w:val="0"/>
                    <w:snapToGrid w:val="0"/>
                    <w:spacing w:line="240" w:lineRule="auto"/>
                    <w:jc w:val="center"/>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2E51BADA">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r w14:paraId="01630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2CB46CFC">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7</w:t>
                  </w:r>
                </w:p>
              </w:tc>
              <w:tc>
                <w:tcPr>
                  <w:tcW w:w="1438" w:type="dxa"/>
                  <w:tcBorders>
                    <w:tl2br w:val="nil"/>
                    <w:tr2bl w:val="nil"/>
                  </w:tcBorders>
                  <w:noWrap w:val="0"/>
                  <w:vAlign w:val="center"/>
                </w:tcPr>
                <w:p w14:paraId="61B54A93">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冷却循环水池</w:t>
                  </w:r>
                </w:p>
              </w:tc>
              <w:tc>
                <w:tcPr>
                  <w:tcW w:w="1058" w:type="dxa"/>
                  <w:tcBorders>
                    <w:tl2br w:val="nil"/>
                    <w:tr2bl w:val="nil"/>
                  </w:tcBorders>
                  <w:noWrap w:val="0"/>
                  <w:vAlign w:val="center"/>
                </w:tcPr>
                <w:p w14:paraId="2E34CED8">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27</w:t>
                  </w:r>
                </w:p>
              </w:tc>
              <w:tc>
                <w:tcPr>
                  <w:tcW w:w="764" w:type="dxa"/>
                  <w:tcBorders>
                    <w:tl2br w:val="nil"/>
                    <w:tr2bl w:val="nil"/>
                  </w:tcBorders>
                  <w:noWrap w:val="0"/>
                  <w:vAlign w:val="center"/>
                </w:tcPr>
                <w:p w14:paraId="11E32C5E">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370" w:type="dxa"/>
                  <w:tcBorders>
                    <w:tl2br w:val="nil"/>
                    <w:tr2bl w:val="nil"/>
                  </w:tcBorders>
                  <w:noWrap w:val="0"/>
                  <w:vAlign w:val="center"/>
                </w:tcPr>
                <w:p w14:paraId="552E0DBA">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w:t>
                  </w:r>
                </w:p>
              </w:tc>
              <w:tc>
                <w:tcPr>
                  <w:tcW w:w="1111" w:type="dxa"/>
                  <w:tcBorders>
                    <w:tl2br w:val="nil"/>
                    <w:tr2bl w:val="nil"/>
                  </w:tcBorders>
                  <w:noWrap w:val="0"/>
                  <w:vAlign w:val="center"/>
                </w:tcPr>
                <w:p w14:paraId="15D6998E">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25" w:type="dxa"/>
                  <w:tcBorders>
                    <w:tl2br w:val="nil"/>
                    <w:tr2bl w:val="nil"/>
                  </w:tcBorders>
                  <w:noWrap w:val="0"/>
                  <w:vAlign w:val="center"/>
                </w:tcPr>
                <w:p w14:paraId="5859C60E">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7B7A825E">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r w14:paraId="1D952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619D98D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8</w:t>
                  </w:r>
                </w:p>
              </w:tc>
              <w:tc>
                <w:tcPr>
                  <w:tcW w:w="1438" w:type="dxa"/>
                  <w:tcBorders>
                    <w:tl2br w:val="nil"/>
                    <w:tr2bl w:val="nil"/>
                  </w:tcBorders>
                  <w:noWrap w:val="0"/>
                  <w:vAlign w:val="center"/>
                </w:tcPr>
                <w:p w14:paraId="3ED4845C">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发电机房</w:t>
                  </w:r>
                </w:p>
              </w:tc>
              <w:tc>
                <w:tcPr>
                  <w:tcW w:w="1058" w:type="dxa"/>
                  <w:tcBorders>
                    <w:tl2br w:val="nil"/>
                    <w:tr2bl w:val="nil"/>
                  </w:tcBorders>
                  <w:noWrap w:val="0"/>
                  <w:vAlign w:val="center"/>
                </w:tcPr>
                <w:p w14:paraId="672ADFEF">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74</w:t>
                  </w:r>
                </w:p>
              </w:tc>
              <w:tc>
                <w:tcPr>
                  <w:tcW w:w="764" w:type="dxa"/>
                  <w:tcBorders>
                    <w:tl2br w:val="nil"/>
                    <w:tr2bl w:val="nil"/>
                  </w:tcBorders>
                  <w:noWrap w:val="0"/>
                  <w:vAlign w:val="center"/>
                </w:tcPr>
                <w:p w14:paraId="7866CB8C">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w:t>
                  </w:r>
                </w:p>
              </w:tc>
              <w:tc>
                <w:tcPr>
                  <w:tcW w:w="1370" w:type="dxa"/>
                  <w:tcBorders>
                    <w:tl2br w:val="nil"/>
                    <w:tr2bl w:val="nil"/>
                  </w:tcBorders>
                  <w:noWrap w:val="0"/>
                  <w:vAlign w:val="center"/>
                </w:tcPr>
                <w:p w14:paraId="54B90F3B">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11" w:type="dxa"/>
                  <w:tcBorders>
                    <w:tl2br w:val="nil"/>
                    <w:tr2bl w:val="nil"/>
                  </w:tcBorders>
                  <w:noWrap w:val="0"/>
                  <w:vAlign w:val="center"/>
                </w:tcPr>
                <w:p w14:paraId="25783C5C">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74</w:t>
                  </w:r>
                </w:p>
              </w:tc>
              <w:tc>
                <w:tcPr>
                  <w:tcW w:w="1125" w:type="dxa"/>
                  <w:tcBorders>
                    <w:tl2br w:val="nil"/>
                    <w:tr2bl w:val="nil"/>
                  </w:tcBorders>
                  <w:noWrap w:val="0"/>
                  <w:vAlign w:val="center"/>
                </w:tcPr>
                <w:p w14:paraId="5B54D5A6">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20F0B33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r w14:paraId="0A721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625AFA71">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9</w:t>
                  </w:r>
                </w:p>
              </w:tc>
              <w:tc>
                <w:tcPr>
                  <w:tcW w:w="1438" w:type="dxa"/>
                  <w:tcBorders>
                    <w:tl2br w:val="nil"/>
                    <w:tr2bl w:val="nil"/>
                  </w:tcBorders>
                  <w:noWrap w:val="0"/>
                  <w:vAlign w:val="center"/>
                </w:tcPr>
                <w:p w14:paraId="60787AEB">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消防水罐</w:t>
                  </w:r>
                </w:p>
              </w:tc>
              <w:tc>
                <w:tcPr>
                  <w:tcW w:w="1058" w:type="dxa"/>
                  <w:tcBorders>
                    <w:tl2br w:val="nil"/>
                    <w:tr2bl w:val="nil"/>
                  </w:tcBorders>
                  <w:noWrap w:val="0"/>
                  <w:vAlign w:val="center"/>
                </w:tcPr>
                <w:p w14:paraId="67840569">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286.28</w:t>
                  </w:r>
                </w:p>
              </w:tc>
              <w:tc>
                <w:tcPr>
                  <w:tcW w:w="764" w:type="dxa"/>
                  <w:tcBorders>
                    <w:tl2br w:val="nil"/>
                    <w:tr2bl w:val="nil"/>
                  </w:tcBorders>
                  <w:noWrap w:val="0"/>
                  <w:vAlign w:val="center"/>
                </w:tcPr>
                <w:p w14:paraId="71681AC3">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370" w:type="dxa"/>
                  <w:tcBorders>
                    <w:tl2br w:val="nil"/>
                    <w:tr2bl w:val="nil"/>
                  </w:tcBorders>
                  <w:noWrap w:val="0"/>
                  <w:vAlign w:val="center"/>
                </w:tcPr>
                <w:p w14:paraId="1626E335">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11" w:type="dxa"/>
                  <w:tcBorders>
                    <w:tl2br w:val="nil"/>
                    <w:tr2bl w:val="nil"/>
                  </w:tcBorders>
                  <w:noWrap w:val="0"/>
                  <w:vAlign w:val="center"/>
                </w:tcPr>
                <w:p w14:paraId="6B1119E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25" w:type="dxa"/>
                  <w:tcBorders>
                    <w:tl2br w:val="nil"/>
                    <w:tr2bl w:val="nil"/>
                  </w:tcBorders>
                  <w:noWrap w:val="0"/>
                  <w:vAlign w:val="center"/>
                </w:tcPr>
                <w:p w14:paraId="4ED249C6">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1BAC43BF">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r w14:paraId="68A3E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5809247B">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10</w:t>
                  </w:r>
                </w:p>
              </w:tc>
              <w:tc>
                <w:tcPr>
                  <w:tcW w:w="1438" w:type="dxa"/>
                  <w:tcBorders>
                    <w:tl2br w:val="nil"/>
                    <w:tr2bl w:val="nil"/>
                  </w:tcBorders>
                  <w:noWrap w:val="0"/>
                  <w:vAlign w:val="center"/>
                </w:tcPr>
                <w:p w14:paraId="2119F4AA">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消防泵房</w:t>
                  </w:r>
                </w:p>
              </w:tc>
              <w:tc>
                <w:tcPr>
                  <w:tcW w:w="1058" w:type="dxa"/>
                  <w:tcBorders>
                    <w:tl2br w:val="nil"/>
                    <w:tr2bl w:val="nil"/>
                  </w:tcBorders>
                  <w:noWrap w:val="0"/>
                  <w:vAlign w:val="center"/>
                </w:tcPr>
                <w:p w14:paraId="33C85FA9">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180</w:t>
                  </w:r>
                </w:p>
              </w:tc>
              <w:tc>
                <w:tcPr>
                  <w:tcW w:w="764" w:type="dxa"/>
                  <w:tcBorders>
                    <w:tl2br w:val="nil"/>
                    <w:tr2bl w:val="nil"/>
                  </w:tcBorders>
                  <w:noWrap w:val="0"/>
                  <w:vAlign w:val="center"/>
                </w:tcPr>
                <w:p w14:paraId="56E6B63C">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w:t>
                  </w:r>
                </w:p>
              </w:tc>
              <w:tc>
                <w:tcPr>
                  <w:tcW w:w="1370" w:type="dxa"/>
                  <w:tcBorders>
                    <w:tl2br w:val="nil"/>
                    <w:tr2bl w:val="nil"/>
                  </w:tcBorders>
                  <w:noWrap w:val="0"/>
                  <w:vAlign w:val="center"/>
                </w:tcPr>
                <w:p w14:paraId="10A7036F">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11" w:type="dxa"/>
                  <w:tcBorders>
                    <w:tl2br w:val="nil"/>
                    <w:tr2bl w:val="nil"/>
                  </w:tcBorders>
                  <w:noWrap w:val="0"/>
                  <w:vAlign w:val="center"/>
                </w:tcPr>
                <w:p w14:paraId="7B4D4494">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180</w:t>
                  </w:r>
                </w:p>
              </w:tc>
              <w:tc>
                <w:tcPr>
                  <w:tcW w:w="1125" w:type="dxa"/>
                  <w:tcBorders>
                    <w:tl2br w:val="nil"/>
                    <w:tr2bl w:val="nil"/>
                  </w:tcBorders>
                  <w:noWrap w:val="0"/>
                  <w:vAlign w:val="center"/>
                </w:tcPr>
                <w:p w14:paraId="072D7CEA">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6BD212C3">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r w14:paraId="2EBAC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694EF453">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11</w:t>
                  </w:r>
                </w:p>
              </w:tc>
              <w:tc>
                <w:tcPr>
                  <w:tcW w:w="1438" w:type="dxa"/>
                  <w:tcBorders>
                    <w:tl2br w:val="nil"/>
                    <w:tr2bl w:val="nil"/>
                  </w:tcBorders>
                  <w:noWrap w:val="0"/>
                  <w:vAlign w:val="center"/>
                </w:tcPr>
                <w:p w14:paraId="29B8BA7B">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事故应急池</w:t>
                  </w:r>
                </w:p>
              </w:tc>
              <w:tc>
                <w:tcPr>
                  <w:tcW w:w="1058" w:type="dxa"/>
                  <w:tcBorders>
                    <w:tl2br w:val="nil"/>
                    <w:tr2bl w:val="nil"/>
                  </w:tcBorders>
                  <w:noWrap w:val="0"/>
                  <w:vAlign w:val="center"/>
                </w:tcPr>
                <w:p w14:paraId="026F8B35">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525</w:t>
                  </w:r>
                </w:p>
              </w:tc>
              <w:tc>
                <w:tcPr>
                  <w:tcW w:w="764" w:type="dxa"/>
                  <w:tcBorders>
                    <w:tl2br w:val="nil"/>
                    <w:tr2bl w:val="nil"/>
                  </w:tcBorders>
                  <w:noWrap w:val="0"/>
                  <w:vAlign w:val="center"/>
                </w:tcPr>
                <w:p w14:paraId="4B21005A">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370" w:type="dxa"/>
                  <w:tcBorders>
                    <w:tl2br w:val="nil"/>
                    <w:tr2bl w:val="nil"/>
                  </w:tcBorders>
                  <w:noWrap w:val="0"/>
                  <w:vAlign w:val="center"/>
                </w:tcPr>
                <w:p w14:paraId="5816F0EC">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6</w:t>
                  </w:r>
                </w:p>
              </w:tc>
              <w:tc>
                <w:tcPr>
                  <w:tcW w:w="1111" w:type="dxa"/>
                  <w:tcBorders>
                    <w:tl2br w:val="nil"/>
                    <w:tr2bl w:val="nil"/>
                  </w:tcBorders>
                  <w:noWrap w:val="0"/>
                  <w:vAlign w:val="center"/>
                </w:tcPr>
                <w:p w14:paraId="6D85CEAD">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25" w:type="dxa"/>
                  <w:tcBorders>
                    <w:tl2br w:val="nil"/>
                    <w:tr2bl w:val="nil"/>
                  </w:tcBorders>
                  <w:noWrap w:val="0"/>
                  <w:vAlign w:val="center"/>
                </w:tcPr>
                <w:p w14:paraId="5471892D">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6B4C6DB3">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r w14:paraId="49CD0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7" w:type="dxa"/>
                  <w:tcBorders>
                    <w:tl2br w:val="nil"/>
                    <w:tr2bl w:val="nil"/>
                  </w:tcBorders>
                  <w:noWrap w:val="0"/>
                  <w:vAlign w:val="center"/>
                </w:tcPr>
                <w:p w14:paraId="550205F6">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12</w:t>
                  </w:r>
                </w:p>
              </w:tc>
              <w:tc>
                <w:tcPr>
                  <w:tcW w:w="1438" w:type="dxa"/>
                  <w:tcBorders>
                    <w:tl2br w:val="nil"/>
                    <w:tr2bl w:val="nil"/>
                  </w:tcBorders>
                  <w:noWrap w:val="0"/>
                  <w:vAlign w:val="center"/>
                </w:tcPr>
                <w:p w14:paraId="51A62C24">
                  <w:pPr>
                    <w:adjustRightInd w:val="0"/>
                    <w:snapToGrid w:val="0"/>
                    <w:spacing w:line="240" w:lineRule="auto"/>
                    <w:jc w:val="center"/>
                    <w:rPr>
                      <w:rFonts w:hint="eastAsia" w:ascii="Times New Roman" w:hAnsi="Times New Roman" w:eastAsia="宋体" w:cs="Times New Roman"/>
                      <w:bCs/>
                      <w:sz w:val="21"/>
                      <w:szCs w:val="21"/>
                      <w:highlight w:val="none"/>
                      <w:vertAlign w:val="baseline"/>
                      <w:lang w:val="en-US" w:eastAsia="zh-CN"/>
                    </w:rPr>
                  </w:pPr>
                  <w:r>
                    <w:rPr>
                      <w:rFonts w:hint="eastAsia" w:ascii="Times New Roman" w:hAnsi="Times New Roman" w:eastAsia="宋体" w:cs="Times New Roman"/>
                      <w:bCs/>
                      <w:sz w:val="21"/>
                      <w:szCs w:val="21"/>
                      <w:highlight w:val="none"/>
                      <w:vertAlign w:val="baseline"/>
                      <w:lang w:val="en-US" w:eastAsia="zh-CN"/>
                    </w:rPr>
                    <w:t>初期雨水池</w:t>
                  </w:r>
                </w:p>
              </w:tc>
              <w:tc>
                <w:tcPr>
                  <w:tcW w:w="1058" w:type="dxa"/>
                  <w:tcBorders>
                    <w:tl2br w:val="nil"/>
                    <w:tr2bl w:val="nil"/>
                  </w:tcBorders>
                  <w:noWrap w:val="0"/>
                  <w:vAlign w:val="center"/>
                </w:tcPr>
                <w:p w14:paraId="330335D7">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66.67</w:t>
                  </w:r>
                </w:p>
              </w:tc>
              <w:tc>
                <w:tcPr>
                  <w:tcW w:w="764" w:type="dxa"/>
                  <w:tcBorders>
                    <w:tl2br w:val="nil"/>
                    <w:tr2bl w:val="nil"/>
                  </w:tcBorders>
                  <w:noWrap w:val="0"/>
                  <w:vAlign w:val="center"/>
                </w:tcPr>
                <w:p w14:paraId="4555A63E">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370" w:type="dxa"/>
                  <w:tcBorders>
                    <w:tl2br w:val="nil"/>
                    <w:tr2bl w:val="nil"/>
                  </w:tcBorders>
                  <w:noWrap w:val="0"/>
                  <w:vAlign w:val="center"/>
                </w:tcPr>
                <w:p w14:paraId="393F8534">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6</w:t>
                  </w:r>
                </w:p>
              </w:tc>
              <w:tc>
                <w:tcPr>
                  <w:tcW w:w="1111" w:type="dxa"/>
                  <w:tcBorders>
                    <w:tl2br w:val="nil"/>
                    <w:tr2bl w:val="nil"/>
                  </w:tcBorders>
                  <w:noWrap w:val="0"/>
                  <w:vAlign w:val="center"/>
                </w:tcPr>
                <w:p w14:paraId="18B31435">
                  <w:pPr>
                    <w:adjustRightInd w:val="0"/>
                    <w:snapToGrid w:val="0"/>
                    <w:spacing w:line="240" w:lineRule="auto"/>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125" w:type="dxa"/>
                  <w:tcBorders>
                    <w:tl2br w:val="nil"/>
                    <w:tr2bl w:val="nil"/>
                  </w:tcBorders>
                  <w:noWrap w:val="0"/>
                  <w:vAlign w:val="center"/>
                </w:tcPr>
                <w:p w14:paraId="2FFB6986">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c>
                <w:tcPr>
                  <w:tcW w:w="1240" w:type="dxa"/>
                  <w:tcBorders>
                    <w:tl2br w:val="nil"/>
                    <w:tr2bl w:val="nil"/>
                  </w:tcBorders>
                  <w:noWrap w:val="0"/>
                  <w:vAlign w:val="center"/>
                </w:tcPr>
                <w:p w14:paraId="2A7EAE20">
                  <w:pPr>
                    <w:adjustRightInd w:val="0"/>
                    <w:snapToGrid w:val="0"/>
                    <w:spacing w:line="240" w:lineRule="auto"/>
                    <w:jc w:val="center"/>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w:t>
                  </w:r>
                </w:p>
              </w:tc>
            </w:tr>
          </w:tbl>
          <w:p w14:paraId="4CEA80F5">
            <w:pPr>
              <w:pStyle w:val="15"/>
              <w:bidi w:val="0"/>
              <w:rPr>
                <w:rFonts w:hint="eastAsia"/>
                <w:lang w:eastAsia="zh-CN"/>
              </w:rPr>
            </w:pPr>
          </w:p>
          <w:p w14:paraId="08BFB4C4">
            <w:pPr>
              <w:pStyle w:val="15"/>
              <w:bidi w:val="0"/>
              <w:rPr>
                <w:rFonts w:hint="default"/>
                <w:lang w:val="en-US" w:eastAsia="zh-CN"/>
              </w:rPr>
            </w:pPr>
            <w:r>
              <w:rPr>
                <w:rFonts w:hint="eastAsia"/>
                <w:lang w:eastAsia="zh-CN"/>
              </w:rPr>
              <w:t>表</w:t>
            </w:r>
            <w:r>
              <w:rPr>
                <w:rFonts w:hint="eastAsia"/>
                <w:lang w:val="en-US" w:eastAsia="zh-CN"/>
              </w:rPr>
              <w:t>2-2 本项目工程建设</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01"/>
              <w:gridCol w:w="7141"/>
            </w:tblGrid>
            <w:tr w14:paraId="4D542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tcBorders>
                    <w:tl2br w:val="nil"/>
                    <w:tr2bl w:val="nil"/>
                  </w:tcBorders>
                  <w:noWrap w:val="0"/>
                  <w:vAlign w:val="center"/>
                </w:tcPr>
                <w:p w14:paraId="3D82543A">
                  <w:pPr>
                    <w:adjustRightInd w:val="0"/>
                    <w:snapToGrid w:val="0"/>
                    <w:spacing w:line="240" w:lineRule="auto"/>
                    <w:jc w:val="center"/>
                    <w:rPr>
                      <w:rFonts w:hint="eastAsia" w:ascii="Times New Roman" w:hAnsi="Times New Roman" w:eastAsia="宋体" w:cs="Times New Roman"/>
                      <w:b/>
                      <w:bCs w:val="0"/>
                      <w:sz w:val="21"/>
                      <w:szCs w:val="21"/>
                      <w:vertAlign w:val="baseline"/>
                      <w:lang w:eastAsia="zh-CN"/>
                    </w:rPr>
                  </w:pPr>
                  <w:r>
                    <w:rPr>
                      <w:rFonts w:hint="eastAsia" w:ascii="Times New Roman" w:hAnsi="Times New Roman" w:eastAsia="宋体" w:cs="Times New Roman"/>
                      <w:b/>
                      <w:bCs w:val="0"/>
                      <w:sz w:val="21"/>
                      <w:szCs w:val="21"/>
                      <w:vertAlign w:val="baseline"/>
                      <w:lang w:eastAsia="zh-CN"/>
                    </w:rPr>
                    <w:t>工程类型</w:t>
                  </w:r>
                </w:p>
              </w:tc>
              <w:tc>
                <w:tcPr>
                  <w:tcW w:w="1101" w:type="dxa"/>
                  <w:tcBorders>
                    <w:tl2br w:val="nil"/>
                    <w:tr2bl w:val="nil"/>
                  </w:tcBorders>
                  <w:noWrap w:val="0"/>
                  <w:vAlign w:val="center"/>
                </w:tcPr>
                <w:p w14:paraId="021228D3">
                  <w:pPr>
                    <w:adjustRightInd w:val="0"/>
                    <w:snapToGrid w:val="0"/>
                    <w:spacing w:line="240" w:lineRule="auto"/>
                    <w:jc w:val="center"/>
                    <w:rPr>
                      <w:rFonts w:hint="eastAsia" w:ascii="Times New Roman" w:hAnsi="Times New Roman" w:eastAsia="宋体" w:cs="Times New Roman"/>
                      <w:b/>
                      <w:bCs w:val="0"/>
                      <w:sz w:val="21"/>
                      <w:szCs w:val="21"/>
                      <w:vertAlign w:val="baseline"/>
                      <w:lang w:eastAsia="zh-CN"/>
                    </w:rPr>
                  </w:pPr>
                  <w:r>
                    <w:rPr>
                      <w:rFonts w:hint="eastAsia" w:ascii="Times New Roman" w:hAnsi="Times New Roman" w:eastAsia="宋体" w:cs="Times New Roman"/>
                      <w:b/>
                      <w:bCs w:val="0"/>
                      <w:sz w:val="21"/>
                      <w:szCs w:val="21"/>
                      <w:vertAlign w:val="baseline"/>
                      <w:lang w:eastAsia="zh-CN"/>
                    </w:rPr>
                    <w:t>工程名称</w:t>
                  </w:r>
                </w:p>
              </w:tc>
              <w:tc>
                <w:tcPr>
                  <w:tcW w:w="7141" w:type="dxa"/>
                  <w:tcBorders>
                    <w:tl2br w:val="nil"/>
                    <w:tr2bl w:val="nil"/>
                  </w:tcBorders>
                  <w:noWrap w:val="0"/>
                  <w:vAlign w:val="center"/>
                </w:tcPr>
                <w:p w14:paraId="7531B291">
                  <w:pPr>
                    <w:adjustRightInd w:val="0"/>
                    <w:snapToGrid w:val="0"/>
                    <w:spacing w:line="240" w:lineRule="auto"/>
                    <w:jc w:val="center"/>
                    <w:rPr>
                      <w:rFonts w:hint="eastAsia" w:ascii="Times New Roman" w:hAnsi="Times New Roman" w:eastAsia="宋体" w:cs="Times New Roman"/>
                      <w:b/>
                      <w:bCs w:val="0"/>
                      <w:sz w:val="21"/>
                      <w:szCs w:val="21"/>
                      <w:vertAlign w:val="baseline"/>
                      <w:lang w:eastAsia="zh-CN"/>
                    </w:rPr>
                  </w:pPr>
                  <w:r>
                    <w:rPr>
                      <w:rFonts w:hint="eastAsia" w:ascii="Times New Roman" w:hAnsi="Times New Roman" w:eastAsia="宋体" w:cs="Times New Roman"/>
                      <w:b/>
                      <w:bCs w:val="0"/>
                      <w:sz w:val="21"/>
                      <w:szCs w:val="21"/>
                      <w:vertAlign w:val="baseline"/>
                      <w:lang w:eastAsia="zh-CN"/>
                    </w:rPr>
                    <w:t>工程内容</w:t>
                  </w:r>
                </w:p>
              </w:tc>
            </w:tr>
            <w:tr w14:paraId="0A255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tcBorders>
                    <w:tl2br w:val="nil"/>
                    <w:tr2bl w:val="nil"/>
                  </w:tcBorders>
                  <w:noWrap w:val="0"/>
                  <w:vAlign w:val="center"/>
                </w:tcPr>
                <w:p w14:paraId="0F9497D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主体工程</w:t>
                  </w:r>
                </w:p>
              </w:tc>
              <w:tc>
                <w:tcPr>
                  <w:tcW w:w="1101" w:type="dxa"/>
                  <w:tcBorders>
                    <w:tl2br w:val="nil"/>
                    <w:tr2bl w:val="nil"/>
                  </w:tcBorders>
                  <w:noWrap w:val="0"/>
                  <w:vAlign w:val="center"/>
                </w:tcPr>
                <w:p w14:paraId="13A2776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生产车间</w:t>
                  </w:r>
                </w:p>
              </w:tc>
              <w:tc>
                <w:tcPr>
                  <w:tcW w:w="7141" w:type="dxa"/>
                  <w:tcBorders>
                    <w:tl2br w:val="nil"/>
                    <w:tr2bl w:val="nil"/>
                  </w:tcBorders>
                  <w:noWrap w:val="0"/>
                  <w:vAlign w:val="center"/>
                </w:tcPr>
                <w:p w14:paraId="72748063">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半敞开结构，按照生产功能分区为：①氨水生产区；②液氨充装区；③液氨钢瓶存放区。</w:t>
                  </w:r>
                </w:p>
              </w:tc>
            </w:tr>
            <w:tr w14:paraId="2A784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restart"/>
                  <w:tcBorders>
                    <w:tl2br w:val="nil"/>
                    <w:tr2bl w:val="nil"/>
                  </w:tcBorders>
                  <w:noWrap w:val="0"/>
                  <w:vAlign w:val="center"/>
                </w:tcPr>
                <w:p w14:paraId="14A0F3F3">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辅助工程</w:t>
                  </w:r>
                </w:p>
              </w:tc>
              <w:tc>
                <w:tcPr>
                  <w:tcW w:w="1101" w:type="dxa"/>
                  <w:tcBorders>
                    <w:tl2br w:val="nil"/>
                    <w:tr2bl w:val="nil"/>
                  </w:tcBorders>
                  <w:noWrap w:val="0"/>
                  <w:vAlign w:val="center"/>
                </w:tcPr>
                <w:p w14:paraId="03AF8C35">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综合楼</w:t>
                  </w:r>
                </w:p>
              </w:tc>
              <w:tc>
                <w:tcPr>
                  <w:tcW w:w="7141" w:type="dxa"/>
                  <w:tcBorders>
                    <w:tl2br w:val="nil"/>
                    <w:tr2bl w:val="nil"/>
                  </w:tcBorders>
                  <w:noWrap w:val="0"/>
                  <w:vAlign w:val="center"/>
                </w:tcPr>
                <w:p w14:paraId="5CD25A55">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用于员工日常办公。</w:t>
                  </w:r>
                </w:p>
              </w:tc>
            </w:tr>
            <w:tr w14:paraId="3369E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3276E7DC">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63F4C058">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门卫室</w:t>
                  </w:r>
                </w:p>
              </w:tc>
              <w:tc>
                <w:tcPr>
                  <w:tcW w:w="7141" w:type="dxa"/>
                  <w:tcBorders>
                    <w:tl2br w:val="nil"/>
                    <w:tr2bl w:val="nil"/>
                  </w:tcBorders>
                  <w:noWrap w:val="0"/>
                  <w:vAlign w:val="center"/>
                </w:tcPr>
                <w:p w14:paraId="2A9B56A8">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用于管理车辆人员进出等。</w:t>
                  </w:r>
                </w:p>
              </w:tc>
            </w:tr>
            <w:tr w14:paraId="68905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restart"/>
                  <w:tcBorders>
                    <w:tl2br w:val="nil"/>
                    <w:tr2bl w:val="nil"/>
                  </w:tcBorders>
                  <w:noWrap w:val="0"/>
                  <w:vAlign w:val="center"/>
                </w:tcPr>
                <w:p w14:paraId="7583A4E0">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公用工程</w:t>
                  </w:r>
                </w:p>
              </w:tc>
              <w:tc>
                <w:tcPr>
                  <w:tcW w:w="1101" w:type="dxa"/>
                  <w:tcBorders>
                    <w:tl2br w:val="nil"/>
                    <w:tr2bl w:val="nil"/>
                  </w:tcBorders>
                  <w:noWrap w:val="0"/>
                  <w:vAlign w:val="center"/>
                </w:tcPr>
                <w:p w14:paraId="5182E4A1">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给水</w:t>
                  </w:r>
                </w:p>
              </w:tc>
              <w:tc>
                <w:tcPr>
                  <w:tcW w:w="7141" w:type="dxa"/>
                  <w:tcBorders>
                    <w:tl2br w:val="nil"/>
                    <w:tr2bl w:val="nil"/>
                  </w:tcBorders>
                  <w:noWrap w:val="0"/>
                  <w:vAlign w:val="center"/>
                </w:tcPr>
                <w:p w14:paraId="367EC199">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①项目用水包括生产用水、生活用水和消防备用水，均采用市政供水；</w:t>
                  </w:r>
                </w:p>
                <w:p w14:paraId="7CDC9783">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②包括厂区内给水系统、生产工艺用水系统和厂区室内外消防水系统。</w:t>
                  </w:r>
                </w:p>
              </w:tc>
            </w:tr>
            <w:tr w14:paraId="78E10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0C7A5B96">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20BF843F">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排水</w:t>
                  </w:r>
                </w:p>
              </w:tc>
              <w:tc>
                <w:tcPr>
                  <w:tcW w:w="7141" w:type="dxa"/>
                  <w:tcBorders>
                    <w:tl2br w:val="nil"/>
                    <w:tr2bl w:val="nil"/>
                  </w:tcBorders>
                  <w:noWrap w:val="0"/>
                  <w:vAlign w:val="center"/>
                </w:tcPr>
                <w:p w14:paraId="55F5CF4B">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采用雨污分流制：</w:t>
                  </w:r>
                </w:p>
                <w:p w14:paraId="777E51E8">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①制备纯水时产生的浓水直接排入园区雨水管网；</w:t>
                  </w:r>
                </w:p>
                <w:p w14:paraId="793235B1">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②生活污水经三级化粪池处理，出水排入园区污水处理厂进一步处理；</w:t>
                  </w:r>
                </w:p>
                <w:p w14:paraId="293A2C9E">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③综合楼、生产车间、罐区等的屋面棚顶雨水通过斜坡汇流至天沟，再通过管道落下就近排入园区雨水管网；</w:t>
                  </w:r>
                </w:p>
                <w:p w14:paraId="5DF37B4E">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④地面初期雨水通过路边雨水沟收集，通过闸阀控制进入初期雨水池进行</w:t>
                  </w:r>
                  <w:r>
                    <w:rPr>
                      <w:rFonts w:hint="eastAsia" w:cs="Times New Roman"/>
                      <w:bCs/>
                      <w:color w:val="000000" w:themeColor="text1"/>
                      <w:sz w:val="21"/>
                      <w:szCs w:val="21"/>
                      <w:vertAlign w:val="baseline"/>
                      <w:lang w:eastAsia="zh-CN"/>
                      <w14:textFill>
                        <w14:solidFill>
                          <w14:schemeClr w14:val="tx1"/>
                        </w14:solidFill>
                      </w14:textFill>
                    </w:rPr>
                    <w:t>暂存</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，交由有资质的污水处理单位安排槽罐车清运处置</w:t>
                  </w:r>
                  <w:r>
                    <w:rPr>
                      <w:rFonts w:hint="eastAsia" w:ascii="Times New Roman" w:hAnsi="Times New Roman" w:eastAsia="宋体" w:cs="Times New Roman"/>
                      <w:bCs/>
                      <w:sz w:val="21"/>
                      <w:szCs w:val="21"/>
                      <w:vertAlign w:val="baseline"/>
                      <w:lang w:eastAsia="zh-CN"/>
                    </w:rPr>
                    <w:t>；</w:t>
                  </w:r>
                </w:p>
                <w:p w14:paraId="4998B6F5">
                  <w:pPr>
                    <w:adjustRightInd w:val="0"/>
                    <w:snapToGrid w:val="0"/>
                    <w:spacing w:line="240" w:lineRule="auto"/>
                    <w:jc w:val="left"/>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eastAsia="zh-CN"/>
                    </w:rPr>
                    <w:t>⑤降雨</w:t>
                  </w:r>
                  <w:r>
                    <w:rPr>
                      <w:rFonts w:hint="eastAsia" w:ascii="Times New Roman" w:hAnsi="Times New Roman" w:eastAsia="宋体" w:cs="Times New Roman"/>
                      <w:bCs/>
                      <w:sz w:val="21"/>
                      <w:szCs w:val="21"/>
                      <w:vertAlign w:val="baseline"/>
                      <w:lang w:val="en-US" w:eastAsia="zh-CN"/>
                    </w:rPr>
                    <w:t>15min后的</w:t>
                  </w:r>
                  <w:r>
                    <w:rPr>
                      <w:rFonts w:hint="eastAsia" w:ascii="Times New Roman" w:hAnsi="Times New Roman" w:eastAsia="宋体" w:cs="Times New Roman"/>
                      <w:bCs/>
                      <w:sz w:val="21"/>
                      <w:szCs w:val="21"/>
                      <w:vertAlign w:val="baseline"/>
                      <w:lang w:eastAsia="zh-CN"/>
                    </w:rPr>
                    <w:t>地面</w:t>
                  </w:r>
                  <w:r>
                    <w:rPr>
                      <w:rFonts w:hint="eastAsia" w:ascii="Times New Roman" w:hAnsi="Times New Roman" w:eastAsia="宋体" w:cs="Times New Roman"/>
                      <w:bCs/>
                      <w:sz w:val="21"/>
                      <w:szCs w:val="21"/>
                      <w:vertAlign w:val="baseline"/>
                      <w:lang w:val="en-US" w:eastAsia="zh-CN"/>
                    </w:rPr>
                    <w:t>雨水通过</w:t>
                  </w:r>
                  <w:r>
                    <w:rPr>
                      <w:rFonts w:hint="eastAsia" w:ascii="Times New Roman" w:hAnsi="Times New Roman" w:eastAsia="宋体" w:cs="Times New Roman"/>
                      <w:bCs/>
                      <w:sz w:val="21"/>
                      <w:szCs w:val="21"/>
                      <w:vertAlign w:val="baseline"/>
                      <w:lang w:eastAsia="zh-CN"/>
                    </w:rPr>
                    <w:t>路边雨水沟收集，</w:t>
                  </w:r>
                  <w:r>
                    <w:rPr>
                      <w:rFonts w:hint="eastAsia" w:ascii="Times New Roman" w:hAnsi="Times New Roman" w:eastAsia="宋体" w:cs="Times New Roman"/>
                      <w:bCs/>
                      <w:sz w:val="21"/>
                      <w:szCs w:val="21"/>
                      <w:vertAlign w:val="baseline"/>
                      <w:lang w:val="en-US" w:eastAsia="zh-CN"/>
                    </w:rPr>
                    <w:t>通过闸阀控制直接排入园区雨水管网；</w:t>
                  </w:r>
                </w:p>
                <w:p w14:paraId="114CFADB">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val="en-US" w:eastAsia="zh-CN"/>
                    </w:rPr>
                    <w:t>⑥事故废水利用闸阀控制不排出厂区外，排入事故应急池暂存，后委托外运处置</w:t>
                  </w:r>
                  <w:r>
                    <w:rPr>
                      <w:rFonts w:hint="eastAsia" w:ascii="Times New Roman" w:hAnsi="Times New Roman" w:eastAsia="宋体" w:cs="Times New Roman"/>
                      <w:bCs/>
                      <w:sz w:val="21"/>
                      <w:szCs w:val="21"/>
                      <w:vertAlign w:val="baseline"/>
                      <w:lang w:eastAsia="zh-CN"/>
                    </w:rPr>
                    <w:t>。</w:t>
                  </w:r>
                </w:p>
              </w:tc>
            </w:tr>
            <w:tr w14:paraId="2253F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62DA48F6">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56D6A300">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供电</w:t>
                  </w:r>
                </w:p>
              </w:tc>
              <w:tc>
                <w:tcPr>
                  <w:tcW w:w="7141" w:type="dxa"/>
                  <w:tcBorders>
                    <w:tl2br w:val="nil"/>
                    <w:tr2bl w:val="nil"/>
                  </w:tcBorders>
                  <w:noWrap w:val="0"/>
                  <w:vAlign w:val="center"/>
                </w:tcPr>
                <w:p w14:paraId="761A7367">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①项目生产用电和生活用电均采用市政供电，在综合楼一楼设置变配电室；</w:t>
                  </w:r>
                </w:p>
                <w:p w14:paraId="3FF056EE">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②项目设置</w:t>
                  </w:r>
                  <w:r>
                    <w:rPr>
                      <w:rFonts w:hint="eastAsia" w:ascii="Times New Roman" w:hAnsi="Times New Roman" w:eastAsia="宋体" w:cs="Times New Roman"/>
                      <w:bCs/>
                      <w:sz w:val="21"/>
                      <w:szCs w:val="21"/>
                      <w:vertAlign w:val="baseline"/>
                      <w:lang w:val="en-US" w:eastAsia="zh-CN"/>
                    </w:rPr>
                    <w:t>1个发电机房，内设置1台8</w:t>
                  </w:r>
                  <w:r>
                    <w:rPr>
                      <w:rFonts w:hint="eastAsia" w:ascii="Times New Roman" w:hAnsi="Times New Roman" w:eastAsia="宋体" w:cs="Times New Roman"/>
                      <w:bCs/>
                      <w:sz w:val="21"/>
                      <w:szCs w:val="21"/>
                      <w:vertAlign w:val="baseline"/>
                      <w:lang w:eastAsia="zh-CN"/>
                    </w:rPr>
                    <w:t>00kW的柴油发电机和储油间，用于应急供电。</w:t>
                  </w:r>
                </w:p>
              </w:tc>
            </w:tr>
            <w:tr w14:paraId="12D1C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3012B4CE">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366BCED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循环水池</w:t>
                  </w:r>
                </w:p>
              </w:tc>
              <w:tc>
                <w:tcPr>
                  <w:tcW w:w="7141" w:type="dxa"/>
                  <w:tcBorders>
                    <w:tl2br w:val="nil"/>
                    <w:tr2bl w:val="nil"/>
                  </w:tcBorders>
                  <w:noWrap w:val="0"/>
                  <w:vAlign w:val="center"/>
                </w:tcPr>
                <w:p w14:paraId="2F585369">
                  <w:pPr>
                    <w:adjustRightInd w:val="0"/>
                    <w:snapToGrid w:val="0"/>
                    <w:spacing w:line="240" w:lineRule="auto"/>
                    <w:jc w:val="left"/>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eastAsia="zh-CN"/>
                    </w:rPr>
                    <w:t>①设置</w:t>
                  </w:r>
                  <w:r>
                    <w:rPr>
                      <w:rFonts w:hint="eastAsia" w:ascii="Times New Roman" w:hAnsi="Times New Roman" w:eastAsia="宋体" w:cs="Times New Roman"/>
                      <w:bCs/>
                      <w:sz w:val="21"/>
                      <w:szCs w:val="21"/>
                      <w:vertAlign w:val="baseline"/>
                      <w:lang w:val="en-US" w:eastAsia="zh-CN"/>
                    </w:rPr>
                    <w:t>1个防晒循环水池，占地面积67.5m</w:t>
                  </w:r>
                  <w:r>
                    <w:rPr>
                      <w:rFonts w:hint="eastAsia" w:ascii="Times New Roman" w:hAnsi="Times New Roman" w:eastAsia="宋体" w:cs="Times New Roman"/>
                      <w:bCs/>
                      <w:sz w:val="21"/>
                      <w:szCs w:val="21"/>
                      <w:vertAlign w:val="superscript"/>
                      <w:lang w:val="en-US" w:eastAsia="zh-CN"/>
                    </w:rPr>
                    <w:t>2</w:t>
                  </w:r>
                  <w:r>
                    <w:rPr>
                      <w:rFonts w:hint="eastAsia" w:ascii="Times New Roman" w:hAnsi="Times New Roman" w:eastAsia="宋体" w:cs="Times New Roman"/>
                      <w:bCs/>
                      <w:sz w:val="21"/>
                      <w:szCs w:val="21"/>
                      <w:vertAlign w:val="baseline"/>
                      <w:lang w:val="en-US" w:eastAsia="zh-CN"/>
                    </w:rPr>
                    <w:t>，池深3m，容积200m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，配备水泵，为液氨储罐喷淋降温供水；</w:t>
                  </w:r>
                </w:p>
                <w:p w14:paraId="26E85AF7">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②设置</w:t>
                  </w:r>
                  <w:r>
                    <w:rPr>
                      <w:rFonts w:hint="eastAsia" w:ascii="Times New Roman" w:hAnsi="Times New Roman" w:eastAsia="宋体" w:cs="Times New Roman"/>
                      <w:bCs/>
                      <w:sz w:val="21"/>
                      <w:szCs w:val="21"/>
                      <w:vertAlign w:val="baseline"/>
                      <w:lang w:val="en-US" w:eastAsia="zh-CN"/>
                    </w:rPr>
                    <w:t>1个冷却循环水池，占地面积27m</w:t>
                  </w:r>
                  <w:r>
                    <w:rPr>
                      <w:rFonts w:hint="eastAsia" w:ascii="Times New Roman" w:hAnsi="Times New Roman" w:eastAsia="宋体" w:cs="Times New Roman"/>
                      <w:bCs/>
                      <w:sz w:val="21"/>
                      <w:szCs w:val="21"/>
                      <w:vertAlign w:val="superscript"/>
                      <w:lang w:val="en-US" w:eastAsia="zh-CN"/>
                    </w:rPr>
                    <w:t>2</w:t>
                  </w:r>
                  <w:r>
                    <w:rPr>
                      <w:rFonts w:hint="eastAsia" w:ascii="Times New Roman" w:hAnsi="Times New Roman" w:eastAsia="宋体" w:cs="Times New Roman"/>
                      <w:bCs/>
                      <w:sz w:val="21"/>
                      <w:szCs w:val="21"/>
                      <w:vertAlign w:val="baseline"/>
                      <w:lang w:val="en-US" w:eastAsia="zh-CN"/>
                    </w:rPr>
                    <w:t>，池深3m，容积80m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，配备水泵，为氨水生产过程的降温供水</w:t>
                  </w:r>
                  <w:r>
                    <w:rPr>
                      <w:rFonts w:hint="eastAsia" w:ascii="Times New Roman" w:hAnsi="Times New Roman" w:eastAsia="宋体" w:cs="Times New Roman"/>
                      <w:bCs/>
                      <w:sz w:val="21"/>
                      <w:szCs w:val="21"/>
                      <w:vertAlign w:val="baseline"/>
                      <w:lang w:eastAsia="zh-CN"/>
                    </w:rPr>
                    <w:t>。</w:t>
                  </w:r>
                </w:p>
              </w:tc>
            </w:tr>
            <w:tr w14:paraId="6B345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restart"/>
                  <w:tcBorders>
                    <w:tl2br w:val="nil"/>
                    <w:tr2bl w:val="nil"/>
                  </w:tcBorders>
                  <w:noWrap w:val="0"/>
                  <w:vAlign w:val="center"/>
                </w:tcPr>
                <w:p w14:paraId="745CCB8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环保工程</w:t>
                  </w:r>
                </w:p>
              </w:tc>
              <w:tc>
                <w:tcPr>
                  <w:tcW w:w="1101" w:type="dxa"/>
                  <w:tcBorders>
                    <w:tl2br w:val="nil"/>
                    <w:tr2bl w:val="nil"/>
                  </w:tcBorders>
                  <w:noWrap w:val="0"/>
                  <w:vAlign w:val="center"/>
                </w:tcPr>
                <w:p w14:paraId="544154C5">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废水处理</w:t>
                  </w:r>
                </w:p>
              </w:tc>
              <w:tc>
                <w:tcPr>
                  <w:tcW w:w="7141" w:type="dxa"/>
                  <w:tcBorders>
                    <w:tl2br w:val="nil"/>
                    <w:tr2bl w:val="nil"/>
                  </w:tcBorders>
                  <w:noWrap w:val="0"/>
                  <w:vAlign w:val="center"/>
                </w:tcPr>
                <w:p w14:paraId="29D88BFA">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①制备纯水时产生的浓水属于清净下水，直接经管道排入园区雨水管网；</w:t>
                  </w:r>
                </w:p>
                <w:p w14:paraId="7A84B8E3">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②生活污水经三级化粪池处理，出水排出进入园区污水处理厂进一步处理；</w:t>
                  </w:r>
                </w:p>
                <w:p w14:paraId="114F597C">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③地面初期雨水通过路边雨水沟收集</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，通过闸阀控制进入初期雨水池进行</w:t>
                  </w:r>
                  <w:r>
                    <w:rPr>
                      <w:rFonts w:hint="eastAsia" w:cs="Times New Roman"/>
                      <w:bCs/>
                      <w:color w:val="000000" w:themeColor="text1"/>
                      <w:sz w:val="21"/>
                      <w:szCs w:val="21"/>
                      <w:vertAlign w:val="baseline"/>
                      <w:lang w:eastAsia="zh-CN"/>
                      <w14:textFill>
                        <w14:solidFill>
                          <w14:schemeClr w14:val="tx1"/>
                        </w14:solidFill>
                      </w14:textFill>
                    </w:rPr>
                    <w:t>暂存</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，交由有资质的污水处理单位安排槽罐车清运处置</w:t>
                  </w:r>
                  <w:r>
                    <w:rPr>
                      <w:rFonts w:hint="eastAsia" w:ascii="Times New Roman" w:hAnsi="Times New Roman" w:eastAsia="宋体" w:cs="Times New Roman"/>
                      <w:bCs/>
                      <w:sz w:val="21"/>
                      <w:szCs w:val="21"/>
                      <w:vertAlign w:val="baseline"/>
                      <w:lang w:eastAsia="zh-CN"/>
                    </w:rPr>
                    <w:t>；</w:t>
                  </w:r>
                </w:p>
                <w:p w14:paraId="6F76B79D">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④事故废水利用闸阀控制排入事故应急池暂存，后委托外运处置。</w:t>
                  </w:r>
                </w:p>
              </w:tc>
            </w:tr>
            <w:tr w14:paraId="0343D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71380FCD">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21C4D05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废气处理</w:t>
                  </w:r>
                </w:p>
              </w:tc>
              <w:tc>
                <w:tcPr>
                  <w:tcW w:w="7141" w:type="dxa"/>
                  <w:tcBorders>
                    <w:tl2br w:val="nil"/>
                    <w:tr2bl w:val="nil"/>
                  </w:tcBorders>
                  <w:noWrap w:val="0"/>
                  <w:vAlign w:val="center"/>
                </w:tcPr>
                <w:p w14:paraId="735120BA">
                  <w:pPr>
                    <w:adjustRightInd w:val="0"/>
                    <w:snapToGrid w:val="0"/>
                    <w:spacing w:line="240" w:lineRule="auto"/>
                    <w:jc w:val="left"/>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eastAsia="zh-CN"/>
                    </w:rPr>
                    <w:t>①吹扫废气、液氨球罐和氨水储罐呼吸废气进入氨气回收装置吸收回收处理，最后经</w:t>
                  </w:r>
                  <w:r>
                    <w:rPr>
                      <w:rFonts w:hint="eastAsia" w:ascii="Times New Roman" w:hAnsi="Times New Roman" w:eastAsia="宋体" w:cs="Times New Roman"/>
                      <w:bCs/>
                      <w:sz w:val="21"/>
                      <w:szCs w:val="21"/>
                      <w:vertAlign w:val="baseline"/>
                      <w:lang w:val="en-US" w:eastAsia="zh-CN"/>
                    </w:rPr>
                    <w:t>1条15m高排气筒排放；</w:t>
                  </w:r>
                </w:p>
                <w:p w14:paraId="7D22277F">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val="en-US" w:eastAsia="zh-CN"/>
                    </w:rPr>
                    <w:t>②备用发电机废气经1条5m高烟管排放</w:t>
                  </w:r>
                  <w:r>
                    <w:rPr>
                      <w:rFonts w:hint="eastAsia" w:ascii="Times New Roman" w:hAnsi="Times New Roman" w:eastAsia="宋体" w:cs="Times New Roman"/>
                      <w:bCs/>
                      <w:sz w:val="21"/>
                      <w:szCs w:val="21"/>
                      <w:vertAlign w:val="baseline"/>
                      <w:lang w:eastAsia="zh-CN"/>
                    </w:rPr>
                    <w:t>。</w:t>
                  </w:r>
                </w:p>
              </w:tc>
            </w:tr>
            <w:tr w14:paraId="47C44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2DA8B3A5">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3FA0678F">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噪声控制</w:t>
                  </w:r>
                </w:p>
              </w:tc>
              <w:tc>
                <w:tcPr>
                  <w:tcW w:w="7141" w:type="dxa"/>
                  <w:tcBorders>
                    <w:tl2br w:val="nil"/>
                    <w:tr2bl w:val="nil"/>
                  </w:tcBorders>
                  <w:noWrap w:val="0"/>
                  <w:vAlign w:val="center"/>
                </w:tcPr>
                <w:p w14:paraId="038E1260">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①选用低噪声设备；</w:t>
                  </w:r>
                </w:p>
                <w:p w14:paraId="54C2C919">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②对产噪声设备进行基础减振，降低噪声源强；</w:t>
                  </w:r>
                </w:p>
                <w:p w14:paraId="3CBF09B2">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③将产噪声设备布置在室内，利用建筑物对噪声产生阻隔衰减；</w:t>
                  </w:r>
                </w:p>
                <w:p w14:paraId="2809A3A4">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④利用噪声传播过程自身产生的几何发散衰减。</w:t>
                  </w:r>
                </w:p>
              </w:tc>
            </w:tr>
            <w:tr w14:paraId="14E61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7769F37D">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33359FE2">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固废处理</w:t>
                  </w:r>
                </w:p>
              </w:tc>
              <w:tc>
                <w:tcPr>
                  <w:tcW w:w="7141" w:type="dxa"/>
                  <w:tcBorders>
                    <w:tl2br w:val="nil"/>
                    <w:tr2bl w:val="nil"/>
                  </w:tcBorders>
                  <w:noWrap w:val="0"/>
                  <w:vAlign w:val="center"/>
                </w:tcPr>
                <w:p w14:paraId="66DF9C03">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生活垃圾由环卫部门清运处置。</w:t>
                  </w:r>
                </w:p>
              </w:tc>
            </w:tr>
            <w:tr w14:paraId="70CFE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48F084BB">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2527AAF6">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环境风险</w:t>
                  </w:r>
                </w:p>
              </w:tc>
              <w:tc>
                <w:tcPr>
                  <w:tcW w:w="7141" w:type="dxa"/>
                  <w:tcBorders>
                    <w:tl2br w:val="nil"/>
                    <w:tr2bl w:val="nil"/>
                  </w:tcBorders>
                  <w:noWrap w:val="0"/>
                  <w:vAlign w:val="center"/>
                </w:tcPr>
                <w:p w14:paraId="5101D0D5">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①落实防火、防爆、防雷、防静电、氨气浓度监测报警等安全生产和环境风险防范与应对措施；</w:t>
                  </w:r>
                </w:p>
                <w:p w14:paraId="2B26B94D">
                  <w:pPr>
                    <w:adjustRightInd w:val="0"/>
                    <w:snapToGrid w:val="0"/>
                    <w:spacing w:line="240" w:lineRule="auto"/>
                    <w:jc w:val="left"/>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eastAsia="zh-CN"/>
                    </w:rPr>
                    <w:t>②设置</w:t>
                  </w:r>
                  <w:r>
                    <w:rPr>
                      <w:rFonts w:hint="eastAsia" w:ascii="Times New Roman" w:hAnsi="Times New Roman" w:eastAsia="宋体" w:cs="Times New Roman"/>
                      <w:bCs/>
                      <w:sz w:val="21"/>
                      <w:szCs w:val="21"/>
                      <w:vertAlign w:val="baseline"/>
                      <w:lang w:val="en-US" w:eastAsia="zh-CN"/>
                    </w:rPr>
                    <w:t>2个消防水罐（每个直径13.5m，高18m，有效容积2200m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），储备消防用水；</w:t>
                  </w:r>
                </w:p>
                <w:p w14:paraId="3C88D5DC">
                  <w:pPr>
                    <w:adjustRightInd w:val="0"/>
                    <w:snapToGrid w:val="0"/>
                    <w:spacing w:line="240" w:lineRule="auto"/>
                    <w:jc w:val="left"/>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③设置1个消防泵房，内设置4台消防给水泵（其中2台为电泵，其余2台为柴油机泵）；</w:t>
                  </w:r>
                </w:p>
                <w:p w14:paraId="369C7D41">
                  <w:pPr>
                    <w:adjustRightInd w:val="0"/>
                    <w:snapToGrid w:val="0"/>
                    <w:spacing w:line="240" w:lineRule="auto"/>
                    <w:jc w:val="left"/>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④设置1个事故应急池（占地面积525m</w:t>
                  </w:r>
                  <w:r>
                    <w:rPr>
                      <w:rFonts w:hint="eastAsia" w:ascii="Times New Roman" w:hAnsi="Times New Roman" w:eastAsia="宋体" w:cs="Times New Roman"/>
                      <w:bCs/>
                      <w:sz w:val="21"/>
                      <w:szCs w:val="21"/>
                      <w:vertAlign w:val="superscript"/>
                      <w:lang w:val="en-US" w:eastAsia="zh-CN"/>
                    </w:rPr>
                    <w:t>2</w:t>
                  </w:r>
                  <w:r>
                    <w:rPr>
                      <w:rFonts w:hint="eastAsia" w:ascii="Times New Roman" w:hAnsi="Times New Roman" w:eastAsia="宋体" w:cs="Times New Roman"/>
                      <w:bCs/>
                      <w:sz w:val="21"/>
                      <w:szCs w:val="21"/>
                      <w:vertAlign w:val="baseline"/>
                      <w:lang w:val="en-US" w:eastAsia="zh-CN"/>
                    </w:rPr>
                    <w:t>，深6m，容积3150m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），用于暂存事故废水。</w:t>
                  </w:r>
                </w:p>
              </w:tc>
            </w:tr>
            <w:tr w14:paraId="3C902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restart"/>
                  <w:tcBorders>
                    <w:tl2br w:val="nil"/>
                    <w:tr2bl w:val="nil"/>
                  </w:tcBorders>
                  <w:noWrap w:val="0"/>
                  <w:vAlign w:val="center"/>
                </w:tcPr>
                <w:p w14:paraId="38B45496">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储运工程</w:t>
                  </w:r>
                </w:p>
              </w:tc>
              <w:tc>
                <w:tcPr>
                  <w:tcW w:w="1101" w:type="dxa"/>
                  <w:tcBorders>
                    <w:tl2br w:val="nil"/>
                    <w:tr2bl w:val="nil"/>
                  </w:tcBorders>
                  <w:noWrap w:val="0"/>
                  <w:vAlign w:val="center"/>
                </w:tcPr>
                <w:p w14:paraId="5DA736FF">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液氨球罐区</w:t>
                  </w:r>
                </w:p>
              </w:tc>
              <w:tc>
                <w:tcPr>
                  <w:tcW w:w="7141" w:type="dxa"/>
                  <w:tcBorders>
                    <w:tl2br w:val="nil"/>
                    <w:tr2bl w:val="nil"/>
                  </w:tcBorders>
                  <w:noWrap w:val="0"/>
                  <w:vAlign w:val="center"/>
                </w:tcPr>
                <w:p w14:paraId="728D8CA7">
                  <w:pPr>
                    <w:adjustRightInd w:val="0"/>
                    <w:snapToGrid w:val="0"/>
                    <w:spacing w:line="240" w:lineRule="auto"/>
                    <w:jc w:val="left"/>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eastAsia="zh-CN"/>
                    </w:rPr>
                    <w:t>①罐区内设置</w:t>
                  </w:r>
                  <w:r>
                    <w:rPr>
                      <w:rFonts w:hint="eastAsia" w:ascii="Times New Roman" w:hAnsi="Times New Roman" w:eastAsia="宋体" w:cs="Times New Roman"/>
                      <w:bCs/>
                      <w:sz w:val="21"/>
                      <w:szCs w:val="21"/>
                      <w:vertAlign w:val="baseline"/>
                      <w:lang w:val="en-US" w:eastAsia="zh-CN"/>
                    </w:rPr>
                    <w:t>4个液氨球罐，每个直径12.5m，容积1000m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，用于储存液氨</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，罐区内球罐总</w:t>
                  </w:r>
                  <w:r>
                    <w:rPr>
                      <w:rFonts w:hint="eastAsia" w:cs="Times New Roman"/>
                      <w:bCs/>
                      <w:color w:val="000000" w:themeColor="text1"/>
                      <w:sz w:val="21"/>
                      <w:szCs w:val="21"/>
                      <w:vertAlign w:val="baseline"/>
                      <w:lang w:val="en-US" w:eastAsia="zh-CN"/>
                      <w14:textFill>
                        <w14:solidFill>
                          <w14:schemeClr w14:val="tx1"/>
                        </w14:solidFill>
                      </w14:textFill>
                    </w:rPr>
                    <w:t>容积为4000m</w:t>
                  </w:r>
                  <w:r>
                    <w:rPr>
                      <w:rFonts w:hint="eastAsia"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sz w:val="21"/>
                      <w:szCs w:val="21"/>
                      <w:vertAlign w:val="baseline"/>
                      <w:lang w:val="en-US" w:eastAsia="zh-CN"/>
                    </w:rPr>
                    <w:t>；球罐上均配备液位、温度、压力监测设备，以及氨气浓度监测报警装置；</w:t>
                  </w:r>
                </w:p>
                <w:p w14:paraId="7C0441DD">
                  <w:pPr>
                    <w:adjustRightInd w:val="0"/>
                    <w:snapToGrid w:val="0"/>
                    <w:spacing w:line="240" w:lineRule="auto"/>
                    <w:jc w:val="left"/>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②罐区内设置1个液氨泵区，内设置2套</w:t>
                  </w:r>
                  <w:r>
                    <w:rPr>
                      <w:rFonts w:hint="eastAsia" w:cs="Times New Roman"/>
                      <w:bCs/>
                      <w:color w:val="000000" w:themeColor="text1"/>
                      <w:sz w:val="21"/>
                      <w:szCs w:val="21"/>
                      <w:vertAlign w:val="baseline"/>
                      <w:lang w:val="en-US" w:eastAsia="zh-CN"/>
                      <w14:textFill>
                        <w14:solidFill>
                          <w14:schemeClr w14:val="tx1"/>
                        </w14:solidFill>
                      </w14:textFill>
                    </w:rPr>
                    <w:t>液氨</w:t>
                  </w:r>
                  <w:r>
                    <w:rPr>
                      <w:rFonts w:hint="eastAsia" w:ascii="Times New Roman" w:hAnsi="Times New Roman" w:eastAsia="宋体" w:cs="Times New Roman"/>
                      <w:bCs/>
                      <w:sz w:val="21"/>
                      <w:szCs w:val="21"/>
                      <w:vertAlign w:val="baseline"/>
                      <w:lang w:val="en-US" w:eastAsia="zh-CN"/>
                    </w:rPr>
                    <w:t>压缩机，</w:t>
                  </w:r>
                  <w:r>
                    <w:rPr>
                      <w:rFonts w:hint="eastAsia" w:cs="Times New Roman"/>
                      <w:bCs/>
                      <w:color w:val="000000" w:themeColor="text1"/>
                      <w:sz w:val="21"/>
                      <w:szCs w:val="21"/>
                      <w:vertAlign w:val="baseline"/>
                      <w:lang w:val="en-US" w:eastAsia="zh-CN"/>
                      <w14:textFill>
                        <w14:solidFill>
                          <w14:schemeClr w14:val="tx1"/>
                        </w14:solidFill>
                      </w14:textFill>
                    </w:rPr>
                    <w:t>1#压缩机</w:t>
                  </w:r>
                  <w:r>
                    <w:rPr>
                      <w:rFonts w:hint="eastAsia" w:ascii="Times New Roman" w:hAnsi="Times New Roman" w:eastAsia="宋体" w:cs="Times New Roman"/>
                      <w:bCs/>
                      <w:sz w:val="21"/>
                      <w:szCs w:val="21"/>
                      <w:vertAlign w:val="baseline"/>
                      <w:lang w:val="en-US" w:eastAsia="zh-CN"/>
                    </w:rPr>
                    <w:t>用于从液氨槽罐车卸载液氨至液氨球罐；</w:t>
                  </w:r>
                  <w:r>
                    <w:rPr>
                      <w:rFonts w:hint="eastAsia" w:cs="Times New Roman"/>
                      <w:bCs/>
                      <w:color w:val="000000" w:themeColor="text1"/>
                      <w:sz w:val="21"/>
                      <w:szCs w:val="21"/>
                      <w:vertAlign w:val="baseline"/>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#压缩机</w:t>
                  </w:r>
                  <w:r>
                    <w:rPr>
                      <w:rFonts w:hint="eastAsia" w:ascii="Times New Roman" w:hAnsi="Times New Roman" w:eastAsia="宋体" w:cs="Times New Roman"/>
                      <w:bCs/>
                      <w:sz w:val="21"/>
                      <w:szCs w:val="21"/>
                      <w:vertAlign w:val="baseline"/>
                      <w:lang w:val="en-US" w:eastAsia="zh-CN"/>
                    </w:rPr>
                    <w:t>用于将液氨输送至厂外的湿法磷酸项目；</w:t>
                  </w:r>
                </w:p>
                <w:p w14:paraId="735CE637">
                  <w:pPr>
                    <w:adjustRightInd w:val="0"/>
                    <w:snapToGrid w:val="0"/>
                    <w:spacing w:line="240" w:lineRule="auto"/>
                    <w:jc w:val="left"/>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④罐区上方设防晒降温环管</w:t>
                  </w:r>
                  <w:r>
                    <w:rPr>
                      <w:rFonts w:hint="eastAsia" w:ascii="Times New Roman" w:hAnsi="Times New Roman" w:eastAsia="宋体" w:cs="Times New Roman"/>
                      <w:bCs/>
                      <w:sz w:val="21"/>
                      <w:szCs w:val="21"/>
                      <w:vertAlign w:val="baseline"/>
                      <w:lang w:eastAsia="zh-CN"/>
                    </w:rPr>
                    <w:t>；罐区四周设置</w:t>
                  </w:r>
                  <w:r>
                    <w:rPr>
                      <w:rFonts w:hint="eastAsia" w:ascii="Times New Roman" w:hAnsi="Times New Roman" w:eastAsia="宋体" w:cs="Times New Roman"/>
                      <w:bCs/>
                      <w:sz w:val="21"/>
                      <w:szCs w:val="21"/>
                      <w:vertAlign w:val="baseline"/>
                      <w:lang w:val="en-US" w:eastAsia="zh-CN"/>
                    </w:rPr>
                    <w:t>0.6m高的防火堤，防火堤内侧喷涂隔热防火涂料。</w:t>
                  </w:r>
                </w:p>
              </w:tc>
            </w:tr>
            <w:tr w14:paraId="59E27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22051884">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3DF38BB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氨水罐区</w:t>
                  </w:r>
                </w:p>
              </w:tc>
              <w:tc>
                <w:tcPr>
                  <w:tcW w:w="7141" w:type="dxa"/>
                  <w:tcBorders>
                    <w:tl2br w:val="nil"/>
                    <w:tr2bl w:val="nil"/>
                  </w:tcBorders>
                  <w:noWrap w:val="0"/>
                  <w:vAlign w:val="center"/>
                </w:tcPr>
                <w:p w14:paraId="0C099136">
                  <w:pPr>
                    <w:adjustRightInd w:val="0"/>
                    <w:snapToGrid w:val="0"/>
                    <w:spacing w:line="240" w:lineRule="auto"/>
                    <w:jc w:val="left"/>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eastAsia="zh-CN"/>
                    </w:rPr>
                    <w:t>①罐区内设置</w:t>
                  </w:r>
                  <w:r>
                    <w:rPr>
                      <w:rFonts w:hint="eastAsia" w:cs="Times New Roman"/>
                      <w:bCs/>
                      <w:color w:val="000000" w:themeColor="text1"/>
                      <w:sz w:val="21"/>
                      <w:szCs w:val="21"/>
                      <w:vertAlign w:val="baseline"/>
                      <w:lang w:val="en-US" w:eastAsia="zh-CN"/>
                      <w14:textFill>
                        <w14:solidFill>
                          <w14:schemeClr w14:val="tx1"/>
                        </w14:solidFill>
                      </w14:textFill>
                    </w:rPr>
                    <w:t>8</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个</w:t>
                  </w:r>
                  <w:r>
                    <w:rPr>
                      <w:rFonts w:hint="eastAsia" w:ascii="Times New Roman" w:hAnsi="Times New Roman" w:eastAsia="宋体" w:cs="Times New Roman"/>
                      <w:bCs/>
                      <w:sz w:val="21"/>
                      <w:szCs w:val="21"/>
                      <w:vertAlign w:val="baseline"/>
                      <w:lang w:val="en-US" w:eastAsia="zh-CN"/>
                    </w:rPr>
                    <w:t>氨水储罐，每个直径8m、高10m、容积500m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，用于储存氨水</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，罐区氨水</w:t>
                  </w:r>
                  <w:r>
                    <w:rPr>
                      <w:rFonts w:hint="eastAsia" w:cs="Times New Roman"/>
                      <w:bCs/>
                      <w:color w:val="000000" w:themeColor="text1"/>
                      <w:sz w:val="21"/>
                      <w:szCs w:val="21"/>
                      <w:vertAlign w:val="baseline"/>
                      <w:lang w:val="en-US" w:eastAsia="zh-CN"/>
                      <w14:textFill>
                        <w14:solidFill>
                          <w14:schemeClr w14:val="tx1"/>
                        </w14:solidFill>
                      </w14:textFill>
                    </w:rPr>
                    <w:t>储罐</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总体积</w:t>
                  </w:r>
                  <w:r>
                    <w:rPr>
                      <w:rFonts w:hint="eastAsia" w:cs="Times New Roman"/>
                      <w:bCs/>
                      <w:color w:val="000000" w:themeColor="text1"/>
                      <w:sz w:val="21"/>
                      <w:szCs w:val="21"/>
                      <w:vertAlign w:val="baseline"/>
                      <w:lang w:val="en-US" w:eastAsia="zh-CN"/>
                      <w14:textFill>
                        <w14:solidFill>
                          <w14:schemeClr w14:val="tx1"/>
                        </w14:solidFill>
                      </w14:textFill>
                    </w:rPr>
                    <w:t>为4000m</w:t>
                  </w:r>
                  <w:r>
                    <w:rPr>
                      <w:rFonts w:hint="eastAsia"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sz w:val="21"/>
                      <w:szCs w:val="21"/>
                      <w:vertAlign w:val="baseline"/>
                      <w:lang w:val="en-US" w:eastAsia="zh-CN"/>
                    </w:rPr>
                    <w:t>；</w:t>
                  </w:r>
                </w:p>
                <w:p w14:paraId="3C7DBDCD">
                  <w:pPr>
                    <w:adjustRightInd w:val="0"/>
                    <w:snapToGrid w:val="0"/>
                    <w:spacing w:line="240" w:lineRule="auto"/>
                    <w:jc w:val="left"/>
                    <w:rPr>
                      <w:rFonts w:hint="default" w:ascii="Times New Roman" w:hAnsi="Times New Roman" w:eastAsia="宋体" w:cs="Times New Roman"/>
                      <w:bCs/>
                      <w:sz w:val="21"/>
                      <w:szCs w:val="21"/>
                      <w:vertAlign w:val="baseline"/>
                      <w:lang w:val="en-US" w:eastAsia="zh-CN"/>
                    </w:rPr>
                  </w:pPr>
                  <w:r>
                    <w:rPr>
                      <w:rFonts w:hint="eastAsia" w:cs="Times New Roman"/>
                      <w:bCs/>
                      <w:color w:val="000000" w:themeColor="text1"/>
                      <w:sz w:val="21"/>
                      <w:szCs w:val="21"/>
                      <w:vertAlign w:val="baseline"/>
                      <w:lang w:val="en-US" w:eastAsia="zh-CN"/>
                      <w14:textFill>
                        <w14:solidFill>
                          <w14:schemeClr w14:val="tx1"/>
                        </w14:solidFill>
                      </w14:textFill>
                    </w:rPr>
                    <w:t>②</w:t>
                  </w:r>
                  <w:r>
                    <w:rPr>
                      <w:rFonts w:hint="eastAsia" w:ascii="Times New Roman" w:hAnsi="Times New Roman" w:eastAsia="宋体" w:cs="Times New Roman"/>
                      <w:bCs/>
                      <w:sz w:val="21"/>
                      <w:szCs w:val="21"/>
                      <w:vertAlign w:val="baseline"/>
                      <w:lang w:eastAsia="zh-CN"/>
                    </w:rPr>
                    <w:t>罐区上方设</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防晒降温环管</w:t>
                  </w:r>
                  <w:r>
                    <w:rPr>
                      <w:rFonts w:hint="eastAsia" w:ascii="Times New Roman" w:hAnsi="Times New Roman" w:eastAsia="宋体" w:cs="Times New Roman"/>
                      <w:bCs/>
                      <w:sz w:val="21"/>
                      <w:szCs w:val="21"/>
                      <w:vertAlign w:val="baseline"/>
                      <w:lang w:eastAsia="zh-CN"/>
                    </w:rPr>
                    <w:t>；罐区四周设置</w:t>
                  </w:r>
                  <w:r>
                    <w:rPr>
                      <w:rFonts w:hint="eastAsia" w:ascii="Times New Roman" w:hAnsi="Times New Roman" w:eastAsia="宋体" w:cs="Times New Roman"/>
                      <w:bCs/>
                      <w:sz w:val="21"/>
                      <w:szCs w:val="21"/>
                      <w:vertAlign w:val="baseline"/>
                      <w:lang w:val="en-US" w:eastAsia="zh-CN"/>
                    </w:rPr>
                    <w:t>1m高的围堰</w:t>
                  </w:r>
                  <w:r>
                    <w:rPr>
                      <w:rFonts w:hint="eastAsia" w:ascii="Times New Roman" w:hAnsi="Times New Roman" w:eastAsia="宋体" w:cs="Times New Roman"/>
                      <w:bCs/>
                      <w:sz w:val="21"/>
                      <w:szCs w:val="21"/>
                      <w:vertAlign w:val="baseline"/>
                      <w:lang w:eastAsia="zh-CN"/>
                    </w:rPr>
                    <w:t>。</w:t>
                  </w:r>
                </w:p>
              </w:tc>
            </w:tr>
            <w:tr w14:paraId="64859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78B6B11A">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3AA9B99E">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水罐区</w:t>
                  </w:r>
                </w:p>
              </w:tc>
              <w:tc>
                <w:tcPr>
                  <w:tcW w:w="7141" w:type="dxa"/>
                  <w:tcBorders>
                    <w:tl2br w:val="nil"/>
                    <w:tr2bl w:val="nil"/>
                  </w:tcBorders>
                  <w:noWrap w:val="0"/>
                  <w:vAlign w:val="center"/>
                </w:tcPr>
                <w:p w14:paraId="412AE5CD">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罐区内另设置1个原水罐和1个纯水罐，均为直径8m、高10m、容积500m</w:t>
                  </w:r>
                  <w:r>
                    <w:rPr>
                      <w:rFonts w:hint="eastAsia" w:ascii="Times New Roman" w:hAnsi="Times New Roman" w:eastAsia="宋体" w:cs="Times New Roman"/>
                      <w:bCs/>
                      <w:sz w:val="21"/>
                      <w:szCs w:val="21"/>
                      <w:vertAlign w:val="superscript"/>
                      <w:lang w:eastAsia="zh-CN"/>
                    </w:rPr>
                    <w:t>3</w:t>
                  </w:r>
                  <w:r>
                    <w:rPr>
                      <w:rFonts w:hint="eastAsia" w:ascii="Times New Roman" w:hAnsi="Times New Roman" w:eastAsia="宋体" w:cs="Times New Roman"/>
                      <w:bCs/>
                      <w:sz w:val="21"/>
                      <w:szCs w:val="21"/>
                      <w:vertAlign w:val="baseline"/>
                      <w:lang w:eastAsia="zh-CN"/>
                    </w:rPr>
                    <w:t>，分别用于储存生产纯水用的原水（市政自来水）和制得的纯水</w:t>
                  </w:r>
                </w:p>
              </w:tc>
            </w:tr>
            <w:tr w14:paraId="22E2D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2952923C">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1576DCAD">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原料运输</w:t>
                  </w:r>
                </w:p>
              </w:tc>
              <w:tc>
                <w:tcPr>
                  <w:tcW w:w="7141" w:type="dxa"/>
                  <w:tcBorders>
                    <w:tl2br w:val="nil"/>
                    <w:tr2bl w:val="nil"/>
                  </w:tcBorders>
                  <w:noWrap w:val="0"/>
                  <w:vAlign w:val="center"/>
                </w:tcPr>
                <w:p w14:paraId="4B42AC7B">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原材料液氨委托有相应资质的公司运输，采用液氨专用槽罐车运输。</w:t>
                  </w:r>
                </w:p>
              </w:tc>
            </w:tr>
            <w:tr w14:paraId="337B0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vMerge w:val="continue"/>
                  <w:tcBorders>
                    <w:tl2br w:val="nil"/>
                    <w:tr2bl w:val="nil"/>
                  </w:tcBorders>
                  <w:noWrap w:val="0"/>
                  <w:vAlign w:val="center"/>
                </w:tcPr>
                <w:p w14:paraId="1429D058">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p>
              </w:tc>
              <w:tc>
                <w:tcPr>
                  <w:tcW w:w="1101" w:type="dxa"/>
                  <w:tcBorders>
                    <w:tl2br w:val="nil"/>
                    <w:tr2bl w:val="nil"/>
                  </w:tcBorders>
                  <w:noWrap w:val="0"/>
                  <w:vAlign w:val="center"/>
                </w:tcPr>
                <w:p w14:paraId="155F9CE1">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产品运输</w:t>
                  </w:r>
                </w:p>
              </w:tc>
              <w:tc>
                <w:tcPr>
                  <w:tcW w:w="7141" w:type="dxa"/>
                  <w:tcBorders>
                    <w:tl2br w:val="nil"/>
                    <w:tr2bl w:val="nil"/>
                  </w:tcBorders>
                  <w:noWrap w:val="0"/>
                  <w:vAlign w:val="center"/>
                </w:tcPr>
                <w:p w14:paraId="1F61069A">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①主产品液氨通过管道输送至厂外的湿法磷酸项目；</w:t>
                  </w:r>
                </w:p>
                <w:p w14:paraId="0CDE03F0">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②氨水采用专用槽罐车运输至使用单位；</w:t>
                  </w:r>
                </w:p>
                <w:p w14:paraId="5710B201">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③钢瓶液氨采用汽车运输至使用单位。</w:t>
                  </w:r>
                </w:p>
              </w:tc>
            </w:tr>
            <w:tr w14:paraId="40D51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4" w:type="dxa"/>
                  <w:tcBorders>
                    <w:tl2br w:val="nil"/>
                    <w:tr2bl w:val="nil"/>
                  </w:tcBorders>
                  <w:noWrap w:val="0"/>
                  <w:vAlign w:val="center"/>
                </w:tcPr>
                <w:p w14:paraId="7AE31697">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依托工程</w:t>
                  </w:r>
                </w:p>
              </w:tc>
              <w:tc>
                <w:tcPr>
                  <w:tcW w:w="1101" w:type="dxa"/>
                  <w:tcBorders>
                    <w:tl2br w:val="nil"/>
                    <w:tr2bl w:val="nil"/>
                  </w:tcBorders>
                  <w:noWrap w:val="0"/>
                  <w:vAlign w:val="center"/>
                </w:tcPr>
                <w:p w14:paraId="04C57D1D">
                  <w:pPr>
                    <w:adjustRightInd w:val="0"/>
                    <w:snapToGrid w:val="0"/>
                    <w:spacing w:line="240" w:lineRule="auto"/>
                    <w:jc w:val="center"/>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废水处理</w:t>
                  </w:r>
                </w:p>
              </w:tc>
              <w:tc>
                <w:tcPr>
                  <w:tcW w:w="7141" w:type="dxa"/>
                  <w:tcBorders>
                    <w:tl2br w:val="nil"/>
                    <w:tr2bl w:val="nil"/>
                  </w:tcBorders>
                  <w:noWrap w:val="0"/>
                  <w:vAlign w:val="center"/>
                </w:tcPr>
                <w:p w14:paraId="4F34E866">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①生活污水委托园区污水处理厂进一步处理；</w:t>
                  </w:r>
                </w:p>
                <w:p w14:paraId="1BA86526">
                  <w:pPr>
                    <w:adjustRightInd w:val="0"/>
                    <w:snapToGrid w:val="0"/>
                    <w:spacing w:line="240" w:lineRule="auto"/>
                    <w:jc w:val="left"/>
                    <w:rPr>
                      <w:rFonts w:hint="eastAsia" w:ascii="Times New Roman" w:hAnsi="Times New Roman" w:eastAsia="宋体" w:cs="Times New Roman"/>
                      <w:bCs/>
                      <w:sz w:val="21"/>
                      <w:szCs w:val="21"/>
                      <w:vertAlign w:val="baseline"/>
                      <w:lang w:eastAsia="zh-CN"/>
                    </w:rPr>
                  </w:pPr>
                  <w:r>
                    <w:rPr>
                      <w:rFonts w:hint="eastAsia" w:ascii="Times New Roman" w:hAnsi="Times New Roman" w:eastAsia="宋体" w:cs="Times New Roman"/>
                      <w:bCs/>
                      <w:sz w:val="21"/>
                      <w:szCs w:val="21"/>
                      <w:vertAlign w:val="baseline"/>
                      <w:lang w:eastAsia="zh-CN"/>
                    </w:rPr>
                    <w:t>②事故废水委托有</w:t>
                  </w:r>
                  <w:r>
                    <w:rPr>
                      <w:rFonts w:hint="eastAsia" w:cs="Times New Roman"/>
                      <w:bCs/>
                      <w:sz w:val="21"/>
                      <w:szCs w:val="21"/>
                      <w:vertAlign w:val="baseline"/>
                      <w:lang w:eastAsia="zh-CN"/>
                    </w:rPr>
                    <w:t>能力</w:t>
                  </w:r>
                  <w:r>
                    <w:rPr>
                      <w:rFonts w:hint="eastAsia" w:ascii="Times New Roman" w:hAnsi="Times New Roman" w:eastAsia="宋体" w:cs="Times New Roman"/>
                      <w:bCs/>
                      <w:sz w:val="21"/>
                      <w:szCs w:val="21"/>
                      <w:vertAlign w:val="baseline"/>
                      <w:lang w:eastAsia="zh-CN"/>
                    </w:rPr>
                    <w:t>单位外运处置。</w:t>
                  </w:r>
                </w:p>
              </w:tc>
            </w:tr>
          </w:tbl>
          <w:p w14:paraId="5DEAFE62">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产品及产量</w:t>
            </w:r>
          </w:p>
          <w:p w14:paraId="2C66B7B7">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本项目规划年周转液氨</w:t>
            </w:r>
            <w:r>
              <w:rPr>
                <w:rFonts w:hint="eastAsia" w:ascii="Times New Roman" w:hAnsi="Times New Roman" w:eastAsia="宋体" w:cs="Times New Roman"/>
                <w:bCs/>
                <w:sz w:val="24"/>
                <w:szCs w:val="24"/>
                <w:lang w:val="en-US" w:eastAsia="zh-CN"/>
              </w:rPr>
              <w:t>1.8</w:t>
            </w:r>
            <w:r>
              <w:rPr>
                <w:rFonts w:hint="eastAsia" w:ascii="Times New Roman" w:hAnsi="Times New Roman" w:eastAsia="宋体" w:cs="Times New Roman"/>
                <w:bCs/>
                <w:sz w:val="24"/>
                <w:szCs w:val="24"/>
                <w:lang w:eastAsia="zh-CN"/>
              </w:rPr>
              <w:t>万吨，年产钢瓶液氨</w:t>
            </w:r>
            <w:r>
              <w:rPr>
                <w:rFonts w:hint="eastAsia" w:ascii="Times New Roman" w:hAnsi="Times New Roman" w:eastAsia="宋体" w:cs="Times New Roman"/>
                <w:bCs/>
                <w:sz w:val="24"/>
                <w:szCs w:val="24"/>
                <w:lang w:val="en-US" w:eastAsia="zh-CN"/>
              </w:rPr>
              <w:t>0.2万吨、</w:t>
            </w:r>
            <w:r>
              <w:rPr>
                <w:rFonts w:hint="eastAsia" w:ascii="Times New Roman" w:hAnsi="Times New Roman" w:eastAsia="宋体" w:cs="Times New Roman"/>
                <w:bCs/>
                <w:sz w:val="24"/>
                <w:szCs w:val="24"/>
                <w:lang w:eastAsia="zh-CN"/>
              </w:rPr>
              <w:t>工业级氨水15万吨，详见表</w:t>
            </w:r>
            <w:r>
              <w:rPr>
                <w:rFonts w:hint="eastAsia" w:ascii="Times New Roman" w:hAnsi="Times New Roman" w:eastAsia="宋体" w:cs="Times New Roman"/>
                <w:bCs/>
                <w:sz w:val="24"/>
                <w:szCs w:val="24"/>
                <w:lang w:val="en-US" w:eastAsia="zh-CN"/>
              </w:rPr>
              <w:t>2-3。</w:t>
            </w:r>
          </w:p>
          <w:p w14:paraId="66B93B71">
            <w:pPr>
              <w:pStyle w:val="15"/>
              <w:bidi w:val="0"/>
              <w:rPr>
                <w:rFonts w:hint="default"/>
                <w:lang w:val="en-US" w:eastAsia="zh-CN"/>
              </w:rPr>
            </w:pPr>
            <w:r>
              <w:rPr>
                <w:rFonts w:hint="eastAsia"/>
                <w:lang w:eastAsia="zh-CN"/>
              </w:rPr>
              <w:t>表</w:t>
            </w:r>
            <w:r>
              <w:rPr>
                <w:rFonts w:hint="eastAsia"/>
                <w:lang w:val="en-US" w:eastAsia="zh-CN"/>
              </w:rPr>
              <w:t>2-3 本项目产品方案</w:t>
            </w:r>
          </w:p>
          <w:tbl>
            <w:tblPr>
              <w:tblStyle w:val="12"/>
              <w:tblW w:w="92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50"/>
              <w:gridCol w:w="900"/>
              <w:gridCol w:w="900"/>
              <w:gridCol w:w="720"/>
              <w:gridCol w:w="990"/>
              <w:gridCol w:w="2340"/>
              <w:gridCol w:w="2791"/>
            </w:tblGrid>
            <w:tr w14:paraId="22547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dxa"/>
                  <w:tcBorders>
                    <w:tl2br w:val="nil"/>
                    <w:tr2bl w:val="nil"/>
                  </w:tcBorders>
                  <w:noWrap w:val="0"/>
                  <w:vAlign w:val="center"/>
                </w:tcPr>
                <w:p w14:paraId="6E1C419D">
                  <w:pPr>
                    <w:pStyle w:val="14"/>
                    <w:bidi w:val="0"/>
                    <w:rPr>
                      <w:rFonts w:hint="eastAsia"/>
                      <w:b/>
                      <w:bCs/>
                      <w:lang w:eastAsia="zh-CN"/>
                    </w:rPr>
                  </w:pPr>
                  <w:r>
                    <w:rPr>
                      <w:rFonts w:hint="eastAsia"/>
                      <w:b/>
                      <w:bCs/>
                      <w:lang w:eastAsia="zh-CN"/>
                    </w:rPr>
                    <w:t>序号</w:t>
                  </w:r>
                </w:p>
              </w:tc>
              <w:tc>
                <w:tcPr>
                  <w:tcW w:w="900" w:type="dxa"/>
                  <w:tcBorders>
                    <w:tl2br w:val="nil"/>
                    <w:tr2bl w:val="nil"/>
                  </w:tcBorders>
                  <w:noWrap w:val="0"/>
                  <w:vAlign w:val="center"/>
                </w:tcPr>
                <w:p w14:paraId="553CDC16">
                  <w:pPr>
                    <w:pStyle w:val="14"/>
                    <w:bidi w:val="0"/>
                    <w:rPr>
                      <w:rFonts w:hint="eastAsia"/>
                      <w:b/>
                      <w:bCs/>
                      <w:lang w:eastAsia="zh-CN"/>
                    </w:rPr>
                  </w:pPr>
                  <w:r>
                    <w:rPr>
                      <w:rFonts w:hint="eastAsia"/>
                      <w:b/>
                      <w:bCs/>
                      <w:lang w:eastAsia="zh-CN"/>
                    </w:rPr>
                    <w:t>名称</w:t>
                  </w:r>
                </w:p>
              </w:tc>
              <w:tc>
                <w:tcPr>
                  <w:tcW w:w="900" w:type="dxa"/>
                  <w:tcBorders>
                    <w:tl2br w:val="nil"/>
                    <w:tr2bl w:val="nil"/>
                  </w:tcBorders>
                  <w:noWrap w:val="0"/>
                  <w:vAlign w:val="center"/>
                </w:tcPr>
                <w:p w14:paraId="0FE9AC01">
                  <w:pPr>
                    <w:pStyle w:val="14"/>
                    <w:bidi w:val="0"/>
                    <w:rPr>
                      <w:rFonts w:hint="eastAsia"/>
                      <w:b/>
                      <w:bCs/>
                      <w:lang w:eastAsia="zh-CN"/>
                    </w:rPr>
                  </w:pPr>
                  <w:r>
                    <w:rPr>
                      <w:rFonts w:hint="eastAsia"/>
                      <w:b/>
                      <w:bCs/>
                      <w:lang w:eastAsia="zh-CN"/>
                    </w:rPr>
                    <w:t>年产量</w:t>
                  </w:r>
                  <w:r>
                    <w:rPr>
                      <w:rFonts w:hint="eastAsia"/>
                      <w:b/>
                      <w:bCs/>
                      <w:lang w:val="en-US" w:eastAsia="zh-CN"/>
                    </w:rPr>
                    <w:t>(</w:t>
                  </w:r>
                  <w:r>
                    <w:rPr>
                      <w:rFonts w:hint="eastAsia"/>
                      <w:b/>
                      <w:bCs/>
                      <w:lang w:eastAsia="zh-CN"/>
                    </w:rPr>
                    <w:t>万吨</w:t>
                  </w:r>
                  <w:r>
                    <w:rPr>
                      <w:rFonts w:hint="eastAsia"/>
                      <w:b/>
                      <w:bCs/>
                      <w:lang w:val="en-US" w:eastAsia="zh-CN"/>
                    </w:rPr>
                    <w:t>)</w:t>
                  </w:r>
                </w:p>
              </w:tc>
              <w:tc>
                <w:tcPr>
                  <w:tcW w:w="720" w:type="dxa"/>
                  <w:tcBorders>
                    <w:tl2br w:val="nil"/>
                    <w:tr2bl w:val="nil"/>
                  </w:tcBorders>
                  <w:noWrap w:val="0"/>
                  <w:vAlign w:val="center"/>
                </w:tcPr>
                <w:p w14:paraId="15F92766">
                  <w:pPr>
                    <w:pStyle w:val="14"/>
                    <w:bidi w:val="0"/>
                    <w:rPr>
                      <w:rFonts w:hint="eastAsia"/>
                      <w:b/>
                      <w:bCs/>
                      <w:lang w:val="en-US" w:eastAsia="zh-CN"/>
                    </w:rPr>
                  </w:pPr>
                  <w:r>
                    <w:rPr>
                      <w:rFonts w:hint="eastAsia"/>
                      <w:b/>
                      <w:bCs/>
                      <w:lang w:eastAsia="zh-CN"/>
                    </w:rPr>
                    <w:t>储存方式</w:t>
                  </w:r>
                </w:p>
              </w:tc>
              <w:tc>
                <w:tcPr>
                  <w:tcW w:w="990" w:type="dxa"/>
                  <w:tcBorders>
                    <w:tl2br w:val="nil"/>
                    <w:tr2bl w:val="nil"/>
                  </w:tcBorders>
                  <w:noWrap w:val="0"/>
                  <w:vAlign w:val="center"/>
                </w:tcPr>
                <w:p w14:paraId="6D17AA6E">
                  <w:pPr>
                    <w:pStyle w:val="14"/>
                    <w:bidi w:val="0"/>
                    <w:rPr>
                      <w:rFonts w:hint="default"/>
                      <w:b/>
                      <w:bCs/>
                      <w:lang w:val="en-US" w:eastAsia="zh-CN"/>
                    </w:rPr>
                  </w:pPr>
                  <w:r>
                    <w:rPr>
                      <w:rFonts w:hint="eastAsia"/>
                      <w:b/>
                      <w:bCs/>
                      <w:lang w:eastAsia="zh-CN"/>
                    </w:rPr>
                    <w:t>最大储存量</w:t>
                  </w:r>
                  <w:r>
                    <w:rPr>
                      <w:rFonts w:hint="eastAsia"/>
                      <w:b/>
                      <w:bCs/>
                      <w:lang w:val="en-US" w:eastAsia="zh-CN"/>
                    </w:rPr>
                    <w:t>(吨)</w:t>
                  </w:r>
                </w:p>
              </w:tc>
              <w:tc>
                <w:tcPr>
                  <w:tcW w:w="2340" w:type="dxa"/>
                  <w:tcBorders>
                    <w:tl2br w:val="nil"/>
                    <w:tr2bl w:val="nil"/>
                  </w:tcBorders>
                  <w:noWrap w:val="0"/>
                  <w:vAlign w:val="center"/>
                </w:tcPr>
                <w:p w14:paraId="1EC8F22A">
                  <w:pPr>
                    <w:pStyle w:val="14"/>
                    <w:bidi w:val="0"/>
                    <w:rPr>
                      <w:rFonts w:hint="eastAsia"/>
                      <w:b/>
                      <w:bCs/>
                      <w:lang w:eastAsia="zh-CN"/>
                    </w:rPr>
                  </w:pPr>
                  <w:r>
                    <w:rPr>
                      <w:rFonts w:hint="eastAsia"/>
                      <w:b/>
                      <w:bCs/>
                      <w:lang w:eastAsia="zh-CN"/>
                    </w:rPr>
                    <w:t>产品去向</w:t>
                  </w:r>
                </w:p>
              </w:tc>
              <w:tc>
                <w:tcPr>
                  <w:tcW w:w="2791" w:type="dxa"/>
                  <w:tcBorders>
                    <w:tl2br w:val="nil"/>
                    <w:tr2bl w:val="nil"/>
                  </w:tcBorders>
                  <w:noWrap w:val="0"/>
                  <w:vAlign w:val="center"/>
                </w:tcPr>
                <w:p w14:paraId="3B3FF3EC">
                  <w:pPr>
                    <w:pStyle w:val="14"/>
                    <w:bidi w:val="0"/>
                    <w:rPr>
                      <w:rFonts w:hint="eastAsia"/>
                      <w:b/>
                      <w:bCs/>
                      <w:lang w:eastAsia="zh-CN"/>
                    </w:rPr>
                  </w:pPr>
                  <w:r>
                    <w:rPr>
                      <w:rFonts w:hint="eastAsia"/>
                      <w:b/>
                      <w:bCs/>
                      <w:lang w:eastAsia="zh-CN"/>
                    </w:rPr>
                    <w:t>备注</w:t>
                  </w:r>
                </w:p>
              </w:tc>
            </w:tr>
            <w:tr w14:paraId="383CB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dxa"/>
                  <w:tcBorders>
                    <w:tl2br w:val="nil"/>
                    <w:tr2bl w:val="nil"/>
                  </w:tcBorders>
                  <w:noWrap w:val="0"/>
                  <w:vAlign w:val="center"/>
                </w:tcPr>
                <w:p w14:paraId="35119F22">
                  <w:pPr>
                    <w:pStyle w:val="14"/>
                    <w:bidi w:val="0"/>
                    <w:rPr>
                      <w:rFonts w:hint="default"/>
                      <w:lang w:val="en-US" w:eastAsia="zh-CN"/>
                    </w:rPr>
                  </w:pPr>
                  <w:r>
                    <w:rPr>
                      <w:rFonts w:hint="eastAsia"/>
                      <w:lang w:val="en-US" w:eastAsia="zh-CN"/>
                    </w:rPr>
                    <w:t>1</w:t>
                  </w:r>
                </w:p>
              </w:tc>
              <w:tc>
                <w:tcPr>
                  <w:tcW w:w="900" w:type="dxa"/>
                  <w:tcBorders>
                    <w:tl2br w:val="nil"/>
                    <w:tr2bl w:val="nil"/>
                  </w:tcBorders>
                  <w:noWrap w:val="0"/>
                  <w:vAlign w:val="center"/>
                </w:tcPr>
                <w:p w14:paraId="34858D86">
                  <w:pPr>
                    <w:pStyle w:val="14"/>
                    <w:bidi w:val="0"/>
                    <w:rPr>
                      <w:rFonts w:hint="eastAsia"/>
                      <w:lang w:eastAsia="zh-CN"/>
                    </w:rPr>
                  </w:pPr>
                  <w:r>
                    <w:rPr>
                      <w:rFonts w:hint="eastAsia"/>
                      <w:lang w:eastAsia="zh-CN"/>
                    </w:rPr>
                    <w:t>液氨</w:t>
                  </w:r>
                </w:p>
              </w:tc>
              <w:tc>
                <w:tcPr>
                  <w:tcW w:w="900" w:type="dxa"/>
                  <w:tcBorders>
                    <w:tl2br w:val="nil"/>
                    <w:tr2bl w:val="nil"/>
                  </w:tcBorders>
                  <w:noWrap w:val="0"/>
                  <w:vAlign w:val="center"/>
                </w:tcPr>
                <w:p w14:paraId="41083F82">
                  <w:pPr>
                    <w:pStyle w:val="14"/>
                    <w:bidi w:val="0"/>
                    <w:rPr>
                      <w:rFonts w:hint="default"/>
                      <w:lang w:val="en-US" w:eastAsia="zh-CN"/>
                    </w:rPr>
                  </w:pPr>
                  <w:r>
                    <w:rPr>
                      <w:rFonts w:hint="eastAsia"/>
                      <w:lang w:val="en-US" w:eastAsia="zh-CN"/>
                    </w:rPr>
                    <w:t>1.8</w:t>
                  </w:r>
                </w:p>
              </w:tc>
              <w:tc>
                <w:tcPr>
                  <w:tcW w:w="720" w:type="dxa"/>
                  <w:tcBorders>
                    <w:tl2br w:val="nil"/>
                    <w:tr2bl w:val="nil"/>
                  </w:tcBorders>
                  <w:noWrap w:val="0"/>
                  <w:vAlign w:val="center"/>
                </w:tcPr>
                <w:p w14:paraId="1F31E6A5">
                  <w:pPr>
                    <w:pStyle w:val="14"/>
                    <w:bidi w:val="0"/>
                    <w:rPr>
                      <w:rFonts w:hint="eastAsia"/>
                      <w:lang w:val="en-US" w:eastAsia="zh-CN"/>
                    </w:rPr>
                  </w:pPr>
                  <w:r>
                    <w:rPr>
                      <w:rFonts w:hint="eastAsia"/>
                      <w:lang w:eastAsia="zh-CN"/>
                    </w:rPr>
                    <w:t>液氨球罐</w:t>
                  </w:r>
                </w:p>
              </w:tc>
              <w:tc>
                <w:tcPr>
                  <w:tcW w:w="990" w:type="dxa"/>
                  <w:tcBorders>
                    <w:tl2br w:val="nil"/>
                    <w:tr2bl w:val="nil"/>
                  </w:tcBorders>
                  <w:noWrap w:val="0"/>
                  <w:vAlign w:val="center"/>
                </w:tcPr>
                <w:p w14:paraId="332A5BC1">
                  <w:pPr>
                    <w:pStyle w:val="14"/>
                    <w:bidi w:val="0"/>
                    <w:rPr>
                      <w:rFonts w:hint="default"/>
                      <w:lang w:val="en-US" w:eastAsia="zh-CN"/>
                    </w:rPr>
                  </w:pPr>
                  <w:r>
                    <w:rPr>
                      <w:rFonts w:hint="eastAsia"/>
                      <w:lang w:val="en-US" w:eastAsia="zh-CN"/>
                    </w:rPr>
                    <w:t>1860</w:t>
                  </w:r>
                </w:p>
              </w:tc>
              <w:tc>
                <w:tcPr>
                  <w:tcW w:w="2340" w:type="dxa"/>
                  <w:tcBorders>
                    <w:tl2br w:val="nil"/>
                    <w:tr2bl w:val="nil"/>
                  </w:tcBorders>
                  <w:noWrap w:val="0"/>
                  <w:vAlign w:val="center"/>
                </w:tcPr>
                <w:p w14:paraId="0232AC4B">
                  <w:pPr>
                    <w:pStyle w:val="14"/>
                    <w:bidi w:val="0"/>
                    <w:rPr>
                      <w:rFonts w:hint="eastAsia"/>
                      <w:lang w:eastAsia="zh-CN"/>
                    </w:rPr>
                  </w:pPr>
                  <w:r>
                    <w:rPr>
                      <w:rFonts w:hint="eastAsia"/>
                      <w:lang w:eastAsia="zh-CN"/>
                    </w:rPr>
                    <w:t>通过管道输送至厂外的湿法磷酸项目用于生产</w:t>
                  </w:r>
                </w:p>
              </w:tc>
              <w:tc>
                <w:tcPr>
                  <w:tcW w:w="2791" w:type="dxa"/>
                  <w:tcBorders>
                    <w:tl2br w:val="nil"/>
                    <w:tr2bl w:val="nil"/>
                  </w:tcBorders>
                  <w:noWrap w:val="0"/>
                  <w:vAlign w:val="center"/>
                </w:tcPr>
                <w:p w14:paraId="630E32F7">
                  <w:pPr>
                    <w:pStyle w:val="14"/>
                    <w:bidi w:val="0"/>
                    <w:rPr>
                      <w:rFonts w:hint="eastAsia"/>
                      <w:lang w:eastAsia="zh-CN"/>
                    </w:rPr>
                  </w:pPr>
                  <w:r>
                    <w:rPr>
                      <w:rFonts w:hint="eastAsia"/>
                      <w:lang w:eastAsia="zh-CN"/>
                    </w:rPr>
                    <w:t>从厂外运入液氨，利用球罐储存，最后经管道输送出厂外，属于在厂区储存、周转。</w:t>
                  </w:r>
                </w:p>
              </w:tc>
            </w:tr>
            <w:tr w14:paraId="03318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dxa"/>
                  <w:tcBorders>
                    <w:tl2br w:val="nil"/>
                    <w:tr2bl w:val="nil"/>
                  </w:tcBorders>
                  <w:noWrap w:val="0"/>
                  <w:vAlign w:val="center"/>
                </w:tcPr>
                <w:p w14:paraId="62CC943B">
                  <w:pPr>
                    <w:pStyle w:val="14"/>
                    <w:bidi w:val="0"/>
                    <w:rPr>
                      <w:rFonts w:hint="default"/>
                      <w:lang w:val="en-US" w:eastAsia="zh-CN"/>
                    </w:rPr>
                  </w:pPr>
                  <w:r>
                    <w:rPr>
                      <w:rFonts w:hint="eastAsia"/>
                      <w:lang w:val="en-US" w:eastAsia="zh-CN"/>
                    </w:rPr>
                    <w:t>2</w:t>
                  </w:r>
                </w:p>
              </w:tc>
              <w:tc>
                <w:tcPr>
                  <w:tcW w:w="900" w:type="dxa"/>
                  <w:tcBorders>
                    <w:tl2br w:val="nil"/>
                    <w:tr2bl w:val="nil"/>
                  </w:tcBorders>
                  <w:noWrap w:val="0"/>
                  <w:vAlign w:val="center"/>
                </w:tcPr>
                <w:p w14:paraId="1067DBB5">
                  <w:pPr>
                    <w:pStyle w:val="14"/>
                    <w:bidi w:val="0"/>
                    <w:rPr>
                      <w:rFonts w:hint="eastAsia"/>
                      <w:lang w:eastAsia="zh-CN"/>
                    </w:rPr>
                  </w:pPr>
                  <w:r>
                    <w:rPr>
                      <w:rFonts w:hint="eastAsia"/>
                      <w:lang w:eastAsia="zh-CN"/>
                    </w:rPr>
                    <w:t>钢瓶装液氨</w:t>
                  </w:r>
                </w:p>
              </w:tc>
              <w:tc>
                <w:tcPr>
                  <w:tcW w:w="900" w:type="dxa"/>
                  <w:tcBorders>
                    <w:tl2br w:val="nil"/>
                    <w:tr2bl w:val="nil"/>
                  </w:tcBorders>
                  <w:noWrap w:val="0"/>
                  <w:vAlign w:val="center"/>
                </w:tcPr>
                <w:p w14:paraId="7F858A23">
                  <w:pPr>
                    <w:pStyle w:val="14"/>
                    <w:bidi w:val="0"/>
                    <w:rPr>
                      <w:rFonts w:hint="default"/>
                      <w:lang w:val="en-US" w:eastAsia="zh-CN"/>
                    </w:rPr>
                  </w:pPr>
                  <w:r>
                    <w:rPr>
                      <w:rFonts w:hint="eastAsia"/>
                      <w:lang w:val="en-US" w:eastAsia="zh-CN"/>
                    </w:rPr>
                    <w:t>0.2</w:t>
                  </w:r>
                </w:p>
              </w:tc>
              <w:tc>
                <w:tcPr>
                  <w:tcW w:w="720" w:type="dxa"/>
                  <w:tcBorders>
                    <w:tl2br w:val="nil"/>
                    <w:tr2bl w:val="nil"/>
                  </w:tcBorders>
                  <w:noWrap w:val="0"/>
                  <w:vAlign w:val="center"/>
                </w:tcPr>
                <w:p w14:paraId="6E8DAD9A">
                  <w:pPr>
                    <w:pStyle w:val="14"/>
                    <w:bidi w:val="0"/>
                    <w:rPr>
                      <w:rFonts w:hint="eastAsia"/>
                      <w:lang w:val="en-US" w:eastAsia="zh-CN"/>
                    </w:rPr>
                  </w:pPr>
                  <w:r>
                    <w:rPr>
                      <w:rFonts w:hint="eastAsia"/>
                      <w:lang w:eastAsia="zh-CN"/>
                    </w:rPr>
                    <w:t>钢瓶</w:t>
                  </w:r>
                </w:p>
              </w:tc>
              <w:tc>
                <w:tcPr>
                  <w:tcW w:w="990" w:type="dxa"/>
                  <w:tcBorders>
                    <w:tl2br w:val="nil"/>
                    <w:tr2bl w:val="nil"/>
                  </w:tcBorders>
                  <w:noWrap w:val="0"/>
                  <w:vAlign w:val="center"/>
                </w:tcPr>
                <w:p w14:paraId="3382BE4C">
                  <w:pPr>
                    <w:pStyle w:val="14"/>
                    <w:bidi w:val="0"/>
                    <w:rPr>
                      <w:rFonts w:hint="default"/>
                      <w:lang w:val="en-US" w:eastAsia="zh-CN"/>
                    </w:rPr>
                  </w:pPr>
                  <w:r>
                    <w:rPr>
                      <w:rFonts w:hint="eastAsia"/>
                      <w:lang w:val="en-US" w:eastAsia="zh-CN"/>
                    </w:rPr>
                    <w:t>6.8</w:t>
                  </w:r>
                </w:p>
              </w:tc>
              <w:tc>
                <w:tcPr>
                  <w:tcW w:w="2340" w:type="dxa"/>
                  <w:tcBorders>
                    <w:tl2br w:val="nil"/>
                    <w:tr2bl w:val="nil"/>
                  </w:tcBorders>
                  <w:noWrap w:val="0"/>
                  <w:vAlign w:val="center"/>
                </w:tcPr>
                <w:p w14:paraId="22A048AD">
                  <w:pPr>
                    <w:pStyle w:val="14"/>
                    <w:bidi w:val="0"/>
                    <w:rPr>
                      <w:rFonts w:hint="eastAsia"/>
                      <w:lang w:eastAsia="zh-CN"/>
                    </w:rPr>
                  </w:pPr>
                  <w:r>
                    <w:rPr>
                      <w:rFonts w:hint="eastAsia"/>
                      <w:lang w:eastAsia="zh-CN"/>
                    </w:rPr>
                    <w:t>外售</w:t>
                  </w:r>
                </w:p>
              </w:tc>
              <w:tc>
                <w:tcPr>
                  <w:tcW w:w="2791" w:type="dxa"/>
                  <w:tcBorders>
                    <w:tl2br w:val="nil"/>
                    <w:tr2bl w:val="nil"/>
                  </w:tcBorders>
                  <w:noWrap w:val="0"/>
                  <w:vAlign w:val="center"/>
                </w:tcPr>
                <w:p w14:paraId="10808356">
                  <w:pPr>
                    <w:pStyle w:val="14"/>
                    <w:bidi w:val="0"/>
                    <w:rPr>
                      <w:rFonts w:hint="eastAsia"/>
                      <w:lang w:eastAsia="zh-CN"/>
                    </w:rPr>
                  </w:pPr>
                  <w:r>
                    <w:rPr>
                      <w:rFonts w:hint="eastAsia"/>
                      <w:lang w:eastAsia="zh-CN"/>
                    </w:rPr>
                    <w:t>物理充装方式生产。</w:t>
                  </w:r>
                </w:p>
              </w:tc>
            </w:tr>
            <w:tr w14:paraId="7A4E1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50" w:type="dxa"/>
                  <w:tcBorders>
                    <w:tl2br w:val="nil"/>
                    <w:tr2bl w:val="nil"/>
                  </w:tcBorders>
                  <w:noWrap w:val="0"/>
                  <w:vAlign w:val="center"/>
                </w:tcPr>
                <w:p w14:paraId="6D6C9958">
                  <w:pPr>
                    <w:pStyle w:val="14"/>
                    <w:bidi w:val="0"/>
                    <w:rPr>
                      <w:rFonts w:hint="default"/>
                      <w:lang w:val="en-US" w:eastAsia="zh-CN"/>
                    </w:rPr>
                  </w:pPr>
                  <w:r>
                    <w:rPr>
                      <w:rFonts w:hint="eastAsia"/>
                      <w:lang w:val="en-US" w:eastAsia="zh-CN"/>
                    </w:rPr>
                    <w:t>3</w:t>
                  </w:r>
                </w:p>
              </w:tc>
              <w:tc>
                <w:tcPr>
                  <w:tcW w:w="900" w:type="dxa"/>
                  <w:tcBorders>
                    <w:tl2br w:val="nil"/>
                    <w:tr2bl w:val="nil"/>
                  </w:tcBorders>
                  <w:noWrap w:val="0"/>
                  <w:vAlign w:val="center"/>
                </w:tcPr>
                <w:p w14:paraId="5B939AE3">
                  <w:pPr>
                    <w:pStyle w:val="14"/>
                    <w:bidi w:val="0"/>
                    <w:rPr>
                      <w:rFonts w:hint="eastAsia"/>
                      <w:lang w:eastAsia="zh-CN"/>
                    </w:rPr>
                  </w:pPr>
                  <w:r>
                    <w:rPr>
                      <w:rFonts w:hint="eastAsia"/>
                      <w:lang w:eastAsia="zh-CN"/>
                    </w:rPr>
                    <w:t>工业级氨水</w:t>
                  </w:r>
                </w:p>
              </w:tc>
              <w:tc>
                <w:tcPr>
                  <w:tcW w:w="900" w:type="dxa"/>
                  <w:tcBorders>
                    <w:tl2br w:val="nil"/>
                    <w:tr2bl w:val="nil"/>
                  </w:tcBorders>
                  <w:noWrap w:val="0"/>
                  <w:vAlign w:val="center"/>
                </w:tcPr>
                <w:p w14:paraId="6CC11A3E">
                  <w:pPr>
                    <w:pStyle w:val="14"/>
                    <w:bidi w:val="0"/>
                    <w:rPr>
                      <w:rFonts w:hint="default"/>
                      <w:lang w:val="en-US" w:eastAsia="zh-CN"/>
                    </w:rPr>
                  </w:pPr>
                  <w:r>
                    <w:rPr>
                      <w:rFonts w:hint="eastAsia"/>
                      <w:lang w:val="en-US" w:eastAsia="zh-CN"/>
                    </w:rPr>
                    <w:t>15</w:t>
                  </w:r>
                </w:p>
              </w:tc>
              <w:tc>
                <w:tcPr>
                  <w:tcW w:w="720" w:type="dxa"/>
                  <w:tcBorders>
                    <w:tl2br w:val="nil"/>
                    <w:tr2bl w:val="nil"/>
                  </w:tcBorders>
                  <w:noWrap w:val="0"/>
                  <w:vAlign w:val="center"/>
                </w:tcPr>
                <w:p w14:paraId="24D751CE">
                  <w:pPr>
                    <w:pStyle w:val="14"/>
                    <w:bidi w:val="0"/>
                    <w:rPr>
                      <w:rFonts w:hint="eastAsia"/>
                      <w:lang w:val="en-US" w:eastAsia="zh-CN"/>
                    </w:rPr>
                  </w:pPr>
                  <w:r>
                    <w:rPr>
                      <w:rFonts w:hint="eastAsia"/>
                      <w:lang w:eastAsia="zh-CN"/>
                    </w:rPr>
                    <w:t>氨水储罐</w:t>
                  </w:r>
                </w:p>
              </w:tc>
              <w:tc>
                <w:tcPr>
                  <w:tcW w:w="990" w:type="dxa"/>
                  <w:tcBorders>
                    <w:tl2br w:val="nil"/>
                    <w:tr2bl w:val="nil"/>
                  </w:tcBorders>
                  <w:noWrap w:val="0"/>
                  <w:vAlign w:val="center"/>
                </w:tcPr>
                <w:p w14:paraId="39AF2EE5">
                  <w:pPr>
                    <w:pStyle w:val="14"/>
                    <w:bidi w:val="0"/>
                    <w:rPr>
                      <w:rFonts w:hint="default"/>
                      <w:lang w:val="en-US" w:eastAsia="zh-CN"/>
                    </w:rPr>
                  </w:pPr>
                  <w:r>
                    <w:rPr>
                      <w:rFonts w:hint="eastAsia"/>
                      <w:lang w:val="en-US" w:eastAsia="zh-CN"/>
                    </w:rPr>
                    <w:t>3867.5</w:t>
                  </w:r>
                </w:p>
              </w:tc>
              <w:tc>
                <w:tcPr>
                  <w:tcW w:w="2340" w:type="dxa"/>
                  <w:tcBorders>
                    <w:tl2br w:val="nil"/>
                    <w:tr2bl w:val="nil"/>
                  </w:tcBorders>
                  <w:noWrap w:val="0"/>
                  <w:vAlign w:val="center"/>
                </w:tcPr>
                <w:p w14:paraId="2886F67F">
                  <w:pPr>
                    <w:pStyle w:val="14"/>
                    <w:bidi w:val="0"/>
                    <w:rPr>
                      <w:rFonts w:hint="eastAsia"/>
                      <w:lang w:eastAsia="zh-CN"/>
                    </w:rPr>
                  </w:pPr>
                  <w:r>
                    <w:rPr>
                      <w:rFonts w:hint="eastAsia"/>
                      <w:lang w:eastAsia="zh-CN"/>
                    </w:rPr>
                    <w:t>外售用于园区及周边的水泥厂等企业用于废气脱硝</w:t>
                  </w:r>
                </w:p>
              </w:tc>
              <w:tc>
                <w:tcPr>
                  <w:tcW w:w="2791" w:type="dxa"/>
                  <w:tcBorders>
                    <w:tl2br w:val="nil"/>
                    <w:tr2bl w:val="nil"/>
                  </w:tcBorders>
                  <w:noWrap w:val="0"/>
                  <w:vAlign w:val="center"/>
                </w:tcPr>
                <w:p w14:paraId="15C89DC2">
                  <w:pPr>
                    <w:pStyle w:val="14"/>
                    <w:bidi w:val="0"/>
                    <w:rPr>
                      <w:rFonts w:hint="default"/>
                      <w:lang w:val="en-US" w:eastAsia="zh-CN"/>
                    </w:rPr>
                  </w:pPr>
                  <w:r>
                    <w:rPr>
                      <w:rFonts w:hint="eastAsia"/>
                      <w:lang w:eastAsia="zh-CN"/>
                    </w:rPr>
                    <w:t>物理稀释方式生产。</w:t>
                  </w:r>
                </w:p>
              </w:tc>
            </w:tr>
          </w:tbl>
          <w:p w14:paraId="3E6E7EB1">
            <w:pPr>
              <w:adjustRightInd w:val="0"/>
              <w:snapToGrid w:val="0"/>
              <w:spacing w:line="240" w:lineRule="auto"/>
              <w:jc w:val="left"/>
              <w:rPr>
                <w:rFonts w:hint="eastAsia" w:ascii="Times New Roman" w:hAnsi="Times New Roman" w:eastAsia="宋体" w:cs="Times New Roman"/>
                <w:bCs/>
                <w:sz w:val="24"/>
                <w:szCs w:val="24"/>
                <w:lang w:eastAsia="zh-CN"/>
              </w:rPr>
            </w:pPr>
          </w:p>
          <w:p w14:paraId="26088EE6">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本项目产品液氨的氨含量达到《液体无水氨》（</w:t>
            </w:r>
            <w:r>
              <w:rPr>
                <w:rFonts w:hint="eastAsia" w:ascii="Times New Roman" w:hAnsi="Times New Roman" w:eastAsia="宋体" w:cs="Times New Roman"/>
                <w:bCs/>
                <w:sz w:val="24"/>
                <w:szCs w:val="24"/>
                <w:lang w:val="en-US" w:eastAsia="zh-CN"/>
              </w:rPr>
              <w:t>GB/T536-2017</w:t>
            </w:r>
            <w:r>
              <w:rPr>
                <w:rFonts w:hint="eastAsia" w:ascii="Times New Roman" w:hAnsi="Times New Roman" w:eastAsia="宋体" w:cs="Times New Roman"/>
                <w:bCs/>
                <w:sz w:val="24"/>
                <w:szCs w:val="24"/>
                <w:lang w:eastAsia="zh-CN"/>
              </w:rPr>
              <w:t>）表</w:t>
            </w: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lang w:eastAsia="zh-CN"/>
              </w:rPr>
              <w:t>的合格品要求，即氨含量</w:t>
            </w:r>
            <w:r>
              <w:rPr>
                <w:rFonts w:hint="default" w:ascii="Times New Roman" w:hAnsi="Times New Roman" w:eastAsia="宋体" w:cs="Times New Roman"/>
                <w:bCs/>
                <w:sz w:val="24"/>
                <w:szCs w:val="24"/>
                <w:vertAlign w:val="baseline"/>
                <w:lang w:eastAsia="zh-CN"/>
              </w:rPr>
              <w:t>≥</w:t>
            </w:r>
            <w:r>
              <w:rPr>
                <w:rFonts w:hint="eastAsia" w:ascii="Times New Roman" w:hAnsi="Times New Roman" w:eastAsia="宋体" w:cs="Times New Roman"/>
                <w:bCs/>
                <w:sz w:val="24"/>
                <w:szCs w:val="24"/>
                <w:lang w:val="en-US" w:eastAsia="zh-CN"/>
              </w:rPr>
              <w:t>99%，见表2-4</w:t>
            </w:r>
            <w:r>
              <w:rPr>
                <w:rFonts w:hint="eastAsia" w:ascii="Times New Roman" w:hAnsi="Times New Roman" w:eastAsia="宋体" w:cs="Times New Roman"/>
                <w:bCs/>
                <w:sz w:val="24"/>
                <w:szCs w:val="24"/>
                <w:lang w:eastAsia="zh-CN"/>
              </w:rPr>
              <w:t>；工业级氨水的氨含量为</w:t>
            </w:r>
            <w:r>
              <w:rPr>
                <w:rFonts w:hint="eastAsia" w:ascii="Times New Roman" w:hAnsi="Times New Roman" w:eastAsia="宋体" w:cs="Times New Roman"/>
                <w:bCs/>
                <w:sz w:val="24"/>
                <w:szCs w:val="24"/>
                <w:lang w:val="en-US" w:eastAsia="zh-CN"/>
              </w:rPr>
              <w:t>25%。</w:t>
            </w:r>
          </w:p>
          <w:p w14:paraId="1725EC2E">
            <w:pPr>
              <w:pStyle w:val="15"/>
              <w:bidi w:val="0"/>
              <w:rPr>
                <w:rFonts w:hint="default"/>
                <w:lang w:val="en-US" w:eastAsia="zh-CN"/>
              </w:rPr>
            </w:pPr>
            <w:r>
              <w:rPr>
                <w:rFonts w:hint="eastAsia"/>
                <w:lang w:val="en-US" w:eastAsia="zh-CN"/>
              </w:rPr>
              <w:t>表2-4 液体无水氨的要求</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3615"/>
              <w:gridCol w:w="1579"/>
              <w:gridCol w:w="1490"/>
            </w:tblGrid>
            <w:tr w14:paraId="18B75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2" w:type="dxa"/>
                  <w:vMerge w:val="restart"/>
                  <w:tcBorders>
                    <w:tl2br w:val="nil"/>
                    <w:tr2bl w:val="nil"/>
                  </w:tcBorders>
                  <w:noWrap w:val="0"/>
                  <w:vAlign w:val="center"/>
                </w:tcPr>
                <w:p w14:paraId="7AA62131">
                  <w:pPr>
                    <w:pStyle w:val="14"/>
                    <w:bidi w:val="0"/>
                    <w:rPr>
                      <w:rFonts w:hint="eastAsia"/>
                      <w:lang w:val="en-US" w:eastAsia="zh-CN"/>
                    </w:rPr>
                  </w:pPr>
                  <w:r>
                    <w:rPr>
                      <w:rFonts w:hint="eastAsia"/>
                      <w:lang w:val="en-US" w:eastAsia="zh-CN"/>
                    </w:rPr>
                    <w:t>项目</w:t>
                  </w:r>
                </w:p>
              </w:tc>
              <w:tc>
                <w:tcPr>
                  <w:tcW w:w="6684" w:type="dxa"/>
                  <w:gridSpan w:val="3"/>
                  <w:tcBorders>
                    <w:tl2br w:val="nil"/>
                    <w:tr2bl w:val="nil"/>
                  </w:tcBorders>
                  <w:noWrap w:val="0"/>
                  <w:vAlign w:val="center"/>
                </w:tcPr>
                <w:p w14:paraId="28AC046F">
                  <w:pPr>
                    <w:pStyle w:val="14"/>
                    <w:bidi w:val="0"/>
                    <w:rPr>
                      <w:rFonts w:hint="eastAsia"/>
                      <w:lang w:val="en-US" w:eastAsia="zh-CN"/>
                    </w:rPr>
                  </w:pPr>
                  <w:r>
                    <w:rPr>
                      <w:rFonts w:hint="eastAsia"/>
                      <w:lang w:val="en-US" w:eastAsia="zh-CN"/>
                    </w:rPr>
                    <w:t>指标</w:t>
                  </w:r>
                </w:p>
              </w:tc>
            </w:tr>
            <w:tr w14:paraId="61BC7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2" w:type="dxa"/>
                  <w:vMerge w:val="continue"/>
                  <w:tcBorders>
                    <w:tl2br w:val="nil"/>
                    <w:tr2bl w:val="nil"/>
                  </w:tcBorders>
                  <w:noWrap w:val="0"/>
                  <w:vAlign w:val="center"/>
                </w:tcPr>
                <w:p w14:paraId="446D770D">
                  <w:pPr>
                    <w:pStyle w:val="14"/>
                    <w:bidi w:val="0"/>
                    <w:rPr>
                      <w:rFonts w:hint="eastAsia"/>
                      <w:lang w:val="en-US" w:eastAsia="zh-CN"/>
                    </w:rPr>
                  </w:pPr>
                </w:p>
              </w:tc>
              <w:tc>
                <w:tcPr>
                  <w:tcW w:w="3615" w:type="dxa"/>
                  <w:tcBorders>
                    <w:tl2br w:val="nil"/>
                    <w:tr2bl w:val="nil"/>
                  </w:tcBorders>
                  <w:noWrap w:val="0"/>
                  <w:vAlign w:val="center"/>
                </w:tcPr>
                <w:p w14:paraId="2D3BEC54">
                  <w:pPr>
                    <w:pStyle w:val="14"/>
                    <w:bidi w:val="0"/>
                    <w:rPr>
                      <w:rFonts w:hint="default"/>
                      <w:lang w:val="en-US" w:eastAsia="zh-CN"/>
                    </w:rPr>
                  </w:pPr>
                  <w:r>
                    <w:rPr>
                      <w:rFonts w:hint="default"/>
                      <w:lang w:val="en-US" w:eastAsia="zh-CN"/>
                    </w:rPr>
                    <w:t>优等品</w:t>
                  </w:r>
                </w:p>
              </w:tc>
              <w:tc>
                <w:tcPr>
                  <w:tcW w:w="1579" w:type="dxa"/>
                  <w:tcBorders>
                    <w:tl2br w:val="nil"/>
                    <w:tr2bl w:val="nil"/>
                  </w:tcBorders>
                  <w:noWrap w:val="0"/>
                  <w:vAlign w:val="center"/>
                </w:tcPr>
                <w:p w14:paraId="5147B55B">
                  <w:pPr>
                    <w:pStyle w:val="14"/>
                    <w:bidi w:val="0"/>
                    <w:rPr>
                      <w:rFonts w:hint="default"/>
                      <w:lang w:val="en-US" w:eastAsia="zh-CN"/>
                    </w:rPr>
                  </w:pPr>
                  <w:r>
                    <w:rPr>
                      <w:rFonts w:hint="default"/>
                      <w:lang w:val="en-US" w:eastAsia="zh-CN"/>
                    </w:rPr>
                    <w:t>一等品</w:t>
                  </w:r>
                </w:p>
              </w:tc>
              <w:tc>
                <w:tcPr>
                  <w:tcW w:w="1490" w:type="dxa"/>
                  <w:tcBorders>
                    <w:tl2br w:val="nil"/>
                    <w:tr2bl w:val="nil"/>
                  </w:tcBorders>
                  <w:noWrap w:val="0"/>
                  <w:vAlign w:val="center"/>
                </w:tcPr>
                <w:p w14:paraId="64ED2F55">
                  <w:pPr>
                    <w:pStyle w:val="14"/>
                    <w:bidi w:val="0"/>
                    <w:rPr>
                      <w:rFonts w:hint="default"/>
                      <w:lang w:val="en-US" w:eastAsia="zh-CN"/>
                    </w:rPr>
                  </w:pPr>
                  <w:r>
                    <w:rPr>
                      <w:rFonts w:hint="default"/>
                      <w:lang w:val="en-US" w:eastAsia="zh-CN"/>
                    </w:rPr>
                    <w:t>合格品</w:t>
                  </w:r>
                </w:p>
              </w:tc>
            </w:tr>
            <w:tr w14:paraId="5701D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2" w:type="dxa"/>
                  <w:tcBorders>
                    <w:tl2br w:val="nil"/>
                    <w:tr2bl w:val="nil"/>
                  </w:tcBorders>
                  <w:noWrap w:val="0"/>
                  <w:vAlign w:val="center"/>
                </w:tcPr>
                <w:p w14:paraId="384ACFCD">
                  <w:pPr>
                    <w:pStyle w:val="14"/>
                    <w:bidi w:val="0"/>
                    <w:rPr>
                      <w:rFonts w:hint="default"/>
                      <w:lang w:val="en-US" w:eastAsia="zh-CN"/>
                    </w:rPr>
                  </w:pPr>
                  <w:r>
                    <w:rPr>
                      <w:rFonts w:hint="eastAsia"/>
                      <w:lang w:val="en-US" w:eastAsia="zh-CN"/>
                    </w:rPr>
                    <w:t>氨含量/%</w:t>
                  </w:r>
                </w:p>
              </w:tc>
              <w:tc>
                <w:tcPr>
                  <w:tcW w:w="3615" w:type="dxa"/>
                  <w:tcBorders>
                    <w:tl2br w:val="nil"/>
                    <w:tr2bl w:val="nil"/>
                  </w:tcBorders>
                  <w:noWrap w:val="0"/>
                  <w:vAlign w:val="center"/>
                </w:tcPr>
                <w:p w14:paraId="041B2FC6">
                  <w:pPr>
                    <w:pStyle w:val="14"/>
                    <w:bidi w:val="0"/>
                    <w:rPr>
                      <w:rFonts w:hint="default"/>
                      <w:lang w:val="en-US" w:eastAsia="zh-CN"/>
                    </w:rPr>
                  </w:pPr>
                  <w:r>
                    <w:rPr>
                      <w:rFonts w:hint="default"/>
                      <w:lang w:val="en-US" w:eastAsia="zh-CN"/>
                    </w:rPr>
                    <w:t>≥99.9</w:t>
                  </w:r>
                </w:p>
              </w:tc>
              <w:tc>
                <w:tcPr>
                  <w:tcW w:w="1579" w:type="dxa"/>
                  <w:tcBorders>
                    <w:tl2br w:val="nil"/>
                    <w:tr2bl w:val="nil"/>
                  </w:tcBorders>
                  <w:noWrap w:val="0"/>
                  <w:vAlign w:val="center"/>
                </w:tcPr>
                <w:p w14:paraId="51459D65">
                  <w:pPr>
                    <w:pStyle w:val="14"/>
                    <w:bidi w:val="0"/>
                    <w:rPr>
                      <w:rFonts w:hint="default"/>
                      <w:lang w:val="en-US" w:eastAsia="zh-CN"/>
                    </w:rPr>
                  </w:pPr>
                  <w:r>
                    <w:rPr>
                      <w:rFonts w:hint="default"/>
                      <w:lang w:val="en-US" w:eastAsia="zh-CN"/>
                    </w:rPr>
                    <w:t>≥99.8</w:t>
                  </w:r>
                </w:p>
              </w:tc>
              <w:tc>
                <w:tcPr>
                  <w:tcW w:w="1490" w:type="dxa"/>
                  <w:tcBorders>
                    <w:tl2br w:val="nil"/>
                    <w:tr2bl w:val="nil"/>
                  </w:tcBorders>
                  <w:noWrap w:val="0"/>
                  <w:vAlign w:val="center"/>
                </w:tcPr>
                <w:p w14:paraId="71B73F19">
                  <w:pPr>
                    <w:pStyle w:val="14"/>
                    <w:bidi w:val="0"/>
                    <w:rPr>
                      <w:rFonts w:hint="default"/>
                      <w:lang w:val="en-US" w:eastAsia="zh-CN"/>
                    </w:rPr>
                  </w:pPr>
                  <w:r>
                    <w:rPr>
                      <w:rFonts w:hint="default"/>
                      <w:lang w:val="en-US" w:eastAsia="zh-CN"/>
                    </w:rPr>
                    <w:t>≥99.0</w:t>
                  </w:r>
                </w:p>
              </w:tc>
            </w:tr>
            <w:tr w14:paraId="5AA25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52" w:type="dxa"/>
                  <w:tcBorders>
                    <w:tl2br w:val="nil"/>
                    <w:tr2bl w:val="nil"/>
                  </w:tcBorders>
                  <w:noWrap w:val="0"/>
                  <w:vAlign w:val="center"/>
                </w:tcPr>
                <w:p w14:paraId="36374549">
                  <w:pPr>
                    <w:pStyle w:val="14"/>
                    <w:bidi w:val="0"/>
                    <w:rPr>
                      <w:rFonts w:hint="default"/>
                      <w:lang w:val="en-US" w:eastAsia="zh-CN"/>
                    </w:rPr>
                  </w:pPr>
                  <w:r>
                    <w:rPr>
                      <w:rFonts w:hint="eastAsia"/>
                      <w:lang w:val="en-US" w:eastAsia="zh-CN"/>
                    </w:rPr>
                    <w:t>残留物含量/%</w:t>
                  </w:r>
                </w:p>
              </w:tc>
              <w:tc>
                <w:tcPr>
                  <w:tcW w:w="3615" w:type="dxa"/>
                  <w:tcBorders>
                    <w:tl2br w:val="nil"/>
                    <w:tr2bl w:val="nil"/>
                  </w:tcBorders>
                  <w:noWrap w:val="0"/>
                  <w:vAlign w:val="center"/>
                </w:tcPr>
                <w:p w14:paraId="3B789750">
                  <w:pPr>
                    <w:pStyle w:val="14"/>
                    <w:bidi w:val="0"/>
                    <w:rPr>
                      <w:rFonts w:hint="default"/>
                      <w:lang w:val="en-US" w:eastAsia="zh-CN"/>
                    </w:rPr>
                  </w:pPr>
                  <w:r>
                    <w:rPr>
                      <w:rFonts w:hint="default"/>
                      <w:lang w:val="en-US" w:eastAsia="zh-CN"/>
                    </w:rPr>
                    <w:t>≤0.1（重量法）</w:t>
                  </w:r>
                </w:p>
              </w:tc>
              <w:tc>
                <w:tcPr>
                  <w:tcW w:w="1579" w:type="dxa"/>
                  <w:tcBorders>
                    <w:tl2br w:val="nil"/>
                    <w:tr2bl w:val="nil"/>
                  </w:tcBorders>
                  <w:noWrap w:val="0"/>
                  <w:vAlign w:val="center"/>
                </w:tcPr>
                <w:p w14:paraId="4FBCC6D0">
                  <w:pPr>
                    <w:pStyle w:val="14"/>
                    <w:bidi w:val="0"/>
                    <w:rPr>
                      <w:rFonts w:hint="default"/>
                      <w:lang w:val="en-US" w:eastAsia="zh-CN"/>
                    </w:rPr>
                  </w:pPr>
                  <w:r>
                    <w:rPr>
                      <w:rFonts w:hint="default"/>
                      <w:lang w:val="en-US" w:eastAsia="zh-CN"/>
                    </w:rPr>
                    <w:t>0.2</w:t>
                  </w:r>
                </w:p>
              </w:tc>
              <w:tc>
                <w:tcPr>
                  <w:tcW w:w="1490" w:type="dxa"/>
                  <w:tcBorders>
                    <w:tl2br w:val="nil"/>
                    <w:tr2bl w:val="nil"/>
                  </w:tcBorders>
                  <w:noWrap w:val="0"/>
                  <w:vAlign w:val="center"/>
                </w:tcPr>
                <w:p w14:paraId="7568C0CA">
                  <w:pPr>
                    <w:pStyle w:val="14"/>
                    <w:bidi w:val="0"/>
                    <w:rPr>
                      <w:rFonts w:hint="default"/>
                      <w:lang w:val="en-US" w:eastAsia="zh-CN"/>
                    </w:rPr>
                  </w:pPr>
                  <w:r>
                    <w:rPr>
                      <w:rFonts w:hint="default"/>
                      <w:lang w:val="en-US" w:eastAsia="zh-CN"/>
                    </w:rPr>
                    <w:t>1.0</w:t>
                  </w:r>
                </w:p>
              </w:tc>
            </w:tr>
            <w:tr w14:paraId="146F6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2" w:type="dxa"/>
                  <w:tcBorders>
                    <w:tl2br w:val="nil"/>
                    <w:tr2bl w:val="nil"/>
                  </w:tcBorders>
                  <w:noWrap w:val="0"/>
                  <w:vAlign w:val="center"/>
                </w:tcPr>
                <w:p w14:paraId="0D26DB7F">
                  <w:pPr>
                    <w:pStyle w:val="14"/>
                    <w:bidi w:val="0"/>
                    <w:rPr>
                      <w:rFonts w:hint="default"/>
                      <w:lang w:val="en-US" w:eastAsia="zh-CN"/>
                    </w:rPr>
                  </w:pPr>
                  <w:r>
                    <w:rPr>
                      <w:rFonts w:hint="eastAsia"/>
                      <w:lang w:val="en-US" w:eastAsia="zh-CN"/>
                    </w:rPr>
                    <w:t>水分/%</w:t>
                  </w:r>
                </w:p>
              </w:tc>
              <w:tc>
                <w:tcPr>
                  <w:tcW w:w="3615" w:type="dxa"/>
                  <w:tcBorders>
                    <w:tl2br w:val="nil"/>
                    <w:tr2bl w:val="nil"/>
                  </w:tcBorders>
                  <w:noWrap w:val="0"/>
                  <w:vAlign w:val="center"/>
                </w:tcPr>
                <w:p w14:paraId="5F0CB3FA">
                  <w:pPr>
                    <w:pStyle w:val="14"/>
                    <w:bidi w:val="0"/>
                    <w:rPr>
                      <w:rFonts w:hint="default"/>
                      <w:lang w:val="en-US" w:eastAsia="zh-CN"/>
                    </w:rPr>
                  </w:pPr>
                  <w:r>
                    <w:rPr>
                      <w:rFonts w:hint="default"/>
                      <w:lang w:val="en-US" w:eastAsia="zh-CN"/>
                    </w:rPr>
                    <w:t>≤0.1</w:t>
                  </w:r>
                </w:p>
              </w:tc>
              <w:tc>
                <w:tcPr>
                  <w:tcW w:w="1579" w:type="dxa"/>
                  <w:tcBorders>
                    <w:tl2br w:val="nil"/>
                    <w:tr2bl w:val="nil"/>
                  </w:tcBorders>
                  <w:noWrap w:val="0"/>
                  <w:vAlign w:val="center"/>
                </w:tcPr>
                <w:p w14:paraId="5A5E1DB0">
                  <w:pPr>
                    <w:pStyle w:val="14"/>
                    <w:bidi w:val="0"/>
                    <w:rPr>
                      <w:rFonts w:hint="default"/>
                      <w:lang w:val="en-US" w:eastAsia="zh-CN"/>
                    </w:rPr>
                  </w:pPr>
                  <w:r>
                    <w:rPr>
                      <w:rFonts w:hint="default"/>
                      <w:lang w:val="en-US" w:eastAsia="zh-CN"/>
                    </w:rPr>
                    <w:t>—</w:t>
                  </w:r>
                </w:p>
              </w:tc>
              <w:tc>
                <w:tcPr>
                  <w:tcW w:w="1490" w:type="dxa"/>
                  <w:tcBorders>
                    <w:tl2br w:val="nil"/>
                    <w:tr2bl w:val="nil"/>
                  </w:tcBorders>
                  <w:noWrap w:val="0"/>
                  <w:vAlign w:val="center"/>
                </w:tcPr>
                <w:p w14:paraId="75FFD9F5">
                  <w:pPr>
                    <w:pStyle w:val="14"/>
                    <w:bidi w:val="0"/>
                    <w:rPr>
                      <w:rFonts w:hint="default"/>
                      <w:lang w:val="en-US" w:eastAsia="zh-CN"/>
                    </w:rPr>
                  </w:pPr>
                  <w:r>
                    <w:rPr>
                      <w:rFonts w:hint="default"/>
                      <w:lang w:val="en-US" w:eastAsia="zh-CN"/>
                    </w:rPr>
                    <w:t>—</w:t>
                  </w:r>
                </w:p>
              </w:tc>
            </w:tr>
            <w:tr w14:paraId="532D6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2" w:type="dxa"/>
                  <w:tcBorders>
                    <w:tl2br w:val="nil"/>
                    <w:tr2bl w:val="nil"/>
                  </w:tcBorders>
                  <w:noWrap w:val="0"/>
                  <w:vAlign w:val="center"/>
                </w:tcPr>
                <w:p w14:paraId="468FBECA">
                  <w:pPr>
                    <w:pStyle w:val="14"/>
                    <w:bidi w:val="0"/>
                    <w:rPr>
                      <w:rFonts w:hint="default"/>
                      <w:lang w:val="en-US" w:eastAsia="zh-CN"/>
                    </w:rPr>
                  </w:pPr>
                  <w:r>
                    <w:rPr>
                      <w:rFonts w:hint="eastAsia"/>
                      <w:lang w:val="en-US" w:eastAsia="zh-CN"/>
                    </w:rPr>
                    <w:t>油含量/（mg/kg）</w:t>
                  </w:r>
                </w:p>
              </w:tc>
              <w:tc>
                <w:tcPr>
                  <w:tcW w:w="3615" w:type="dxa"/>
                  <w:tcBorders>
                    <w:tl2br w:val="nil"/>
                    <w:tr2bl w:val="nil"/>
                  </w:tcBorders>
                  <w:noWrap w:val="0"/>
                  <w:vAlign w:val="center"/>
                </w:tcPr>
                <w:p w14:paraId="3311E917">
                  <w:pPr>
                    <w:pStyle w:val="14"/>
                    <w:bidi w:val="0"/>
                    <w:rPr>
                      <w:rFonts w:hint="default"/>
                      <w:lang w:val="en-US" w:eastAsia="zh-CN"/>
                    </w:rPr>
                  </w:pPr>
                  <w:r>
                    <w:rPr>
                      <w:rFonts w:hint="default"/>
                      <w:lang w:val="en-US" w:eastAsia="zh-CN"/>
                    </w:rPr>
                    <w:t>≤5（重量法）</w:t>
                  </w:r>
                  <w:r>
                    <w:rPr>
                      <w:rFonts w:hint="eastAsia"/>
                      <w:lang w:val="en-US" w:eastAsia="zh-CN"/>
                    </w:rPr>
                    <w:t>、</w:t>
                  </w:r>
                  <w:r>
                    <w:rPr>
                      <w:rFonts w:hint="default"/>
                      <w:lang w:val="en-US" w:eastAsia="zh-CN"/>
                    </w:rPr>
                    <w:t>≤2（红外光谱法）</w:t>
                  </w:r>
                </w:p>
              </w:tc>
              <w:tc>
                <w:tcPr>
                  <w:tcW w:w="1579" w:type="dxa"/>
                  <w:tcBorders>
                    <w:tl2br w:val="nil"/>
                    <w:tr2bl w:val="nil"/>
                  </w:tcBorders>
                  <w:noWrap w:val="0"/>
                  <w:vAlign w:val="center"/>
                </w:tcPr>
                <w:p w14:paraId="3AF670B5">
                  <w:pPr>
                    <w:pStyle w:val="14"/>
                    <w:bidi w:val="0"/>
                    <w:rPr>
                      <w:rFonts w:hint="default"/>
                      <w:lang w:val="en-US" w:eastAsia="zh-CN"/>
                    </w:rPr>
                  </w:pPr>
                  <w:r>
                    <w:rPr>
                      <w:rFonts w:hint="default"/>
                      <w:lang w:val="en-US" w:eastAsia="zh-CN"/>
                    </w:rPr>
                    <w:t>—</w:t>
                  </w:r>
                </w:p>
              </w:tc>
              <w:tc>
                <w:tcPr>
                  <w:tcW w:w="1490" w:type="dxa"/>
                  <w:tcBorders>
                    <w:tl2br w:val="nil"/>
                    <w:tr2bl w:val="nil"/>
                  </w:tcBorders>
                  <w:noWrap w:val="0"/>
                  <w:vAlign w:val="center"/>
                </w:tcPr>
                <w:p w14:paraId="4CC1B68A">
                  <w:pPr>
                    <w:pStyle w:val="14"/>
                    <w:bidi w:val="0"/>
                    <w:rPr>
                      <w:rFonts w:hint="default"/>
                      <w:lang w:val="en-US" w:eastAsia="zh-CN"/>
                    </w:rPr>
                  </w:pPr>
                  <w:r>
                    <w:rPr>
                      <w:rFonts w:hint="default"/>
                      <w:lang w:val="en-US" w:eastAsia="zh-CN"/>
                    </w:rPr>
                    <w:t>—</w:t>
                  </w:r>
                </w:p>
              </w:tc>
            </w:tr>
            <w:tr w14:paraId="7DF49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2" w:type="dxa"/>
                  <w:tcBorders>
                    <w:tl2br w:val="nil"/>
                    <w:tr2bl w:val="nil"/>
                  </w:tcBorders>
                  <w:noWrap w:val="0"/>
                  <w:vAlign w:val="center"/>
                </w:tcPr>
                <w:p w14:paraId="7CF7EBA4">
                  <w:pPr>
                    <w:pStyle w:val="14"/>
                    <w:bidi w:val="0"/>
                    <w:rPr>
                      <w:rFonts w:hint="default"/>
                      <w:lang w:val="en-US" w:eastAsia="zh-CN"/>
                    </w:rPr>
                  </w:pPr>
                  <w:r>
                    <w:rPr>
                      <w:rFonts w:hint="eastAsia"/>
                      <w:lang w:val="en-US" w:eastAsia="zh-CN"/>
                    </w:rPr>
                    <w:t>铁含量/（mg/kg）</w:t>
                  </w:r>
                </w:p>
              </w:tc>
              <w:tc>
                <w:tcPr>
                  <w:tcW w:w="3615" w:type="dxa"/>
                  <w:tcBorders>
                    <w:tl2br w:val="nil"/>
                    <w:tr2bl w:val="nil"/>
                  </w:tcBorders>
                  <w:noWrap w:val="0"/>
                  <w:vAlign w:val="center"/>
                </w:tcPr>
                <w:p w14:paraId="51AC222A">
                  <w:pPr>
                    <w:pStyle w:val="14"/>
                    <w:bidi w:val="0"/>
                    <w:rPr>
                      <w:rFonts w:hint="default"/>
                      <w:lang w:val="en-US" w:eastAsia="zh-CN"/>
                    </w:rPr>
                  </w:pPr>
                  <w:r>
                    <w:rPr>
                      <w:rFonts w:hint="default"/>
                      <w:lang w:val="en-US" w:eastAsia="zh-CN"/>
                    </w:rPr>
                    <w:t>≤1</w:t>
                  </w:r>
                </w:p>
              </w:tc>
              <w:tc>
                <w:tcPr>
                  <w:tcW w:w="1579" w:type="dxa"/>
                  <w:tcBorders>
                    <w:tl2br w:val="nil"/>
                    <w:tr2bl w:val="nil"/>
                  </w:tcBorders>
                  <w:noWrap w:val="0"/>
                  <w:vAlign w:val="center"/>
                </w:tcPr>
                <w:p w14:paraId="4502C329">
                  <w:pPr>
                    <w:pStyle w:val="14"/>
                    <w:bidi w:val="0"/>
                    <w:rPr>
                      <w:rFonts w:hint="default"/>
                      <w:lang w:val="en-US" w:eastAsia="zh-CN"/>
                    </w:rPr>
                  </w:pPr>
                  <w:r>
                    <w:rPr>
                      <w:rFonts w:hint="default"/>
                      <w:lang w:val="en-US" w:eastAsia="zh-CN"/>
                    </w:rPr>
                    <w:t>—</w:t>
                  </w:r>
                </w:p>
              </w:tc>
              <w:tc>
                <w:tcPr>
                  <w:tcW w:w="1490" w:type="dxa"/>
                  <w:tcBorders>
                    <w:tl2br w:val="nil"/>
                    <w:tr2bl w:val="nil"/>
                  </w:tcBorders>
                  <w:noWrap w:val="0"/>
                  <w:vAlign w:val="center"/>
                </w:tcPr>
                <w:p w14:paraId="658D2A28">
                  <w:pPr>
                    <w:pStyle w:val="14"/>
                    <w:bidi w:val="0"/>
                    <w:rPr>
                      <w:rFonts w:hint="default"/>
                      <w:lang w:val="en-US" w:eastAsia="zh-CN"/>
                    </w:rPr>
                  </w:pPr>
                  <w:r>
                    <w:rPr>
                      <w:rFonts w:hint="default"/>
                      <w:lang w:val="en-US" w:eastAsia="zh-CN"/>
                    </w:rPr>
                    <w:t>—</w:t>
                  </w:r>
                </w:p>
              </w:tc>
            </w:tr>
          </w:tbl>
          <w:p w14:paraId="0753001E">
            <w:pPr>
              <w:pStyle w:val="14"/>
              <w:bidi w:val="0"/>
              <w:rPr>
                <w:rFonts w:hint="eastAsia"/>
                <w:lang w:val="en-US" w:eastAsia="zh-CN"/>
              </w:rPr>
            </w:pPr>
          </w:p>
          <w:p w14:paraId="1E0E5115">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3、</w:t>
            </w:r>
            <w:r>
              <w:rPr>
                <w:rFonts w:hint="eastAsia" w:ascii="Times New Roman" w:hAnsi="Times New Roman" w:eastAsia="宋体" w:cs="Times New Roman"/>
                <w:b/>
                <w:bCs w:val="0"/>
                <w:sz w:val="24"/>
                <w:szCs w:val="24"/>
                <w:lang w:eastAsia="zh-CN"/>
              </w:rPr>
              <w:t>生产单元和生产设备</w:t>
            </w:r>
          </w:p>
          <w:p w14:paraId="68411C04">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本项目生产设备见表</w:t>
            </w:r>
            <w:r>
              <w:rPr>
                <w:rFonts w:hint="eastAsia" w:ascii="Times New Roman" w:hAnsi="Times New Roman" w:eastAsia="宋体" w:cs="Times New Roman"/>
                <w:bCs/>
                <w:sz w:val="24"/>
                <w:szCs w:val="24"/>
                <w:lang w:val="en-US" w:eastAsia="zh-CN"/>
              </w:rPr>
              <w:t>2-5。</w:t>
            </w:r>
          </w:p>
          <w:p w14:paraId="1F142A84">
            <w:pPr>
              <w:pStyle w:val="15"/>
              <w:bidi w:val="0"/>
              <w:rPr>
                <w:rFonts w:hint="default"/>
                <w:lang w:val="en-US" w:eastAsia="zh-CN"/>
              </w:rPr>
            </w:pPr>
            <w:r>
              <w:rPr>
                <w:rFonts w:hint="eastAsia"/>
                <w:lang w:eastAsia="zh-CN"/>
              </w:rPr>
              <w:t>表</w:t>
            </w:r>
            <w:r>
              <w:rPr>
                <w:rFonts w:hint="eastAsia"/>
                <w:lang w:val="en-US" w:eastAsia="zh-CN"/>
              </w:rPr>
              <w:t>2-5 本项目生产设备</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9"/>
              <w:gridCol w:w="1589"/>
              <w:gridCol w:w="1631"/>
              <w:gridCol w:w="4575"/>
              <w:gridCol w:w="1022"/>
            </w:tblGrid>
            <w:tr w14:paraId="6A516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tcBorders>
                    <w:tl2br w:val="nil"/>
                    <w:tr2bl w:val="nil"/>
                  </w:tcBorders>
                  <w:noWrap w:val="0"/>
                  <w:vAlign w:val="center"/>
                </w:tcPr>
                <w:p w14:paraId="108126D3">
                  <w:pPr>
                    <w:adjustRightInd w:val="0"/>
                    <w:snapToGrid w:val="0"/>
                    <w:spacing w:line="240" w:lineRule="auto"/>
                    <w:jc w:val="cente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生产单元</w:t>
                  </w:r>
                </w:p>
              </w:tc>
              <w:tc>
                <w:tcPr>
                  <w:tcW w:w="1589" w:type="dxa"/>
                  <w:tcBorders>
                    <w:tl2br w:val="nil"/>
                    <w:tr2bl w:val="nil"/>
                  </w:tcBorders>
                  <w:noWrap w:val="0"/>
                  <w:vAlign w:val="center"/>
                </w:tcPr>
                <w:p w14:paraId="2770709C">
                  <w:pPr>
                    <w:adjustRightInd w:val="0"/>
                    <w:snapToGrid w:val="0"/>
                    <w:spacing w:line="240" w:lineRule="auto"/>
                    <w:jc w:val="cente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生产工艺</w:t>
                  </w:r>
                </w:p>
              </w:tc>
              <w:tc>
                <w:tcPr>
                  <w:tcW w:w="1631" w:type="dxa"/>
                  <w:tcBorders>
                    <w:tl2br w:val="nil"/>
                    <w:tr2bl w:val="nil"/>
                  </w:tcBorders>
                  <w:noWrap w:val="0"/>
                  <w:vAlign w:val="center"/>
                </w:tcPr>
                <w:p w14:paraId="52122032">
                  <w:pPr>
                    <w:adjustRightInd w:val="0"/>
                    <w:snapToGrid w:val="0"/>
                    <w:spacing w:line="240" w:lineRule="auto"/>
                    <w:jc w:val="cente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生产设备</w:t>
                  </w:r>
                </w:p>
              </w:tc>
              <w:tc>
                <w:tcPr>
                  <w:tcW w:w="4575" w:type="dxa"/>
                  <w:tcBorders>
                    <w:tl2br w:val="nil"/>
                    <w:tr2bl w:val="nil"/>
                  </w:tcBorders>
                  <w:noWrap w:val="0"/>
                  <w:vAlign w:val="center"/>
                </w:tcPr>
                <w:p w14:paraId="1CFCD754">
                  <w:pPr>
                    <w:adjustRightInd w:val="0"/>
                    <w:snapToGrid w:val="0"/>
                    <w:spacing w:line="240" w:lineRule="auto"/>
                    <w:jc w:val="cente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型号</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/参数</w:t>
                  </w:r>
                </w:p>
              </w:tc>
              <w:tc>
                <w:tcPr>
                  <w:tcW w:w="1022" w:type="dxa"/>
                  <w:tcBorders>
                    <w:tl2br w:val="nil"/>
                    <w:tr2bl w:val="nil"/>
                  </w:tcBorders>
                  <w:noWrap w:val="0"/>
                  <w:vAlign w:val="center"/>
                </w:tcPr>
                <w:p w14:paraId="14713A73">
                  <w:pPr>
                    <w:adjustRightInd w:val="0"/>
                    <w:snapToGrid w:val="0"/>
                    <w:spacing w:line="240" w:lineRule="auto"/>
                    <w:jc w:val="cente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eastAsia="zh-CN"/>
                      <w14:textFill>
                        <w14:solidFill>
                          <w14:schemeClr w14:val="tx1"/>
                        </w14:solidFill>
                      </w14:textFill>
                    </w:rPr>
                    <w:t>数量</w:t>
                  </w:r>
                </w:p>
              </w:tc>
            </w:tr>
            <w:tr w14:paraId="4CE1F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restart"/>
                  <w:tcBorders>
                    <w:tl2br w:val="nil"/>
                    <w:tr2bl w:val="nil"/>
                  </w:tcBorders>
                  <w:noWrap w:val="0"/>
                  <w:vAlign w:val="center"/>
                </w:tcPr>
                <w:p w14:paraId="26F47BB1">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生产车间</w:t>
                  </w:r>
                </w:p>
              </w:tc>
              <w:tc>
                <w:tcPr>
                  <w:tcW w:w="1589" w:type="dxa"/>
                  <w:vMerge w:val="restart"/>
                  <w:tcBorders>
                    <w:tl2br w:val="nil"/>
                    <w:tr2bl w:val="nil"/>
                  </w:tcBorders>
                  <w:noWrap w:val="0"/>
                  <w:vAlign w:val="center"/>
                </w:tcPr>
                <w:p w14:paraId="4A135378">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氨水生产</w:t>
                  </w:r>
                </w:p>
              </w:tc>
              <w:tc>
                <w:tcPr>
                  <w:tcW w:w="1631" w:type="dxa"/>
                  <w:tcBorders>
                    <w:tl2br w:val="nil"/>
                    <w:tr2bl w:val="nil"/>
                  </w:tcBorders>
                  <w:noWrap w:val="0"/>
                  <w:vAlign w:val="center"/>
                </w:tcPr>
                <w:p w14:paraId="75A070DC">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吸氨器</w:t>
                  </w:r>
                </w:p>
              </w:tc>
              <w:tc>
                <w:tcPr>
                  <w:tcW w:w="4575" w:type="dxa"/>
                  <w:tcBorders>
                    <w:tl2br w:val="nil"/>
                    <w:tr2bl w:val="nil"/>
                  </w:tcBorders>
                  <w:noWrap w:val="0"/>
                  <w:vAlign w:val="center"/>
                </w:tcPr>
                <w:p w14:paraId="28179500">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8</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t</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w:t>
                  </w:r>
                </w:p>
              </w:tc>
              <w:tc>
                <w:tcPr>
                  <w:tcW w:w="1022" w:type="dxa"/>
                  <w:tcBorders>
                    <w:tl2br w:val="nil"/>
                    <w:tr2bl w:val="nil"/>
                  </w:tcBorders>
                  <w:noWrap w:val="0"/>
                  <w:vAlign w:val="center"/>
                </w:tcPr>
                <w:p w14:paraId="44E18360">
                  <w:pPr>
                    <w:adjustRightInd w:val="0"/>
                    <w:snapToGrid w:val="0"/>
                    <w:spacing w:line="240" w:lineRule="auto"/>
                    <w:jc w:val="center"/>
                    <w:rPr>
                      <w:rFonts w:hint="default"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1个</w:t>
                  </w:r>
                </w:p>
              </w:tc>
            </w:tr>
            <w:tr w14:paraId="613F8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14817373">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6008CC0E">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072028F0">
                  <w:pPr>
                    <w:adjustRightInd w:val="0"/>
                    <w:snapToGrid w:val="0"/>
                    <w:spacing w:line="240" w:lineRule="auto"/>
                    <w:jc w:val="center"/>
                    <w:rPr>
                      <w:rFonts w:hint="eastAsia" w:cs="Times New Roman"/>
                      <w:bCs/>
                      <w:color w:val="000000" w:themeColor="text1"/>
                      <w:sz w:val="21"/>
                      <w:szCs w:val="21"/>
                      <w:highlight w:val="none"/>
                      <w:vertAlign w:val="baseline"/>
                      <w:lang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氨水输送泵</w:t>
                  </w:r>
                </w:p>
              </w:tc>
              <w:tc>
                <w:tcPr>
                  <w:tcW w:w="4575" w:type="dxa"/>
                  <w:tcBorders>
                    <w:tl2br w:val="nil"/>
                    <w:tr2bl w:val="nil"/>
                  </w:tcBorders>
                  <w:noWrap w:val="0"/>
                  <w:vAlign w:val="center"/>
                </w:tcPr>
                <w:p w14:paraId="39E20CBB">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w:t>
                  </w:r>
                  <w:r>
                    <w:rPr>
                      <w:rFonts w:hint="eastAsia" w:cs="Times New Roman"/>
                      <w:bCs/>
                      <w:color w:val="000000" w:themeColor="text1"/>
                      <w:sz w:val="21"/>
                      <w:szCs w:val="21"/>
                      <w:vertAlign w:val="baseline"/>
                      <w:lang w:val="en-US" w:eastAsia="zh-CN"/>
                      <w14:textFill>
                        <w14:solidFill>
                          <w14:schemeClr w14:val="tx1"/>
                        </w14:solidFill>
                      </w14:textFill>
                    </w:rPr>
                    <w:t>50</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w:t>
                  </w:r>
                  <w:r>
                    <w:rPr>
                      <w:rFonts w:hint="eastAsia" w:cs="Times New Roman"/>
                      <w:bCs/>
                      <w:color w:val="000000" w:themeColor="text1"/>
                      <w:sz w:val="21"/>
                      <w:szCs w:val="21"/>
                      <w:vertAlign w:val="baseline"/>
                      <w:lang w:val="en-US" w:eastAsia="zh-CN"/>
                      <w14:textFill>
                        <w14:solidFill>
                          <w14:schemeClr w14:val="tx1"/>
                        </w14:solidFill>
                      </w14:textFill>
                    </w:rPr>
                    <w:t>25</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p>
              </w:tc>
              <w:tc>
                <w:tcPr>
                  <w:tcW w:w="1022" w:type="dxa"/>
                  <w:tcBorders>
                    <w:tl2br w:val="nil"/>
                    <w:tr2bl w:val="nil"/>
                  </w:tcBorders>
                  <w:noWrap w:val="0"/>
                  <w:vAlign w:val="center"/>
                </w:tcPr>
                <w:p w14:paraId="373560DA">
                  <w:pPr>
                    <w:adjustRightInd w:val="0"/>
                    <w:snapToGrid w:val="0"/>
                    <w:spacing w:line="240" w:lineRule="auto"/>
                    <w:jc w:val="center"/>
                    <w:rPr>
                      <w:rFonts w:hint="eastAsia"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2台</w:t>
                  </w:r>
                </w:p>
              </w:tc>
            </w:tr>
            <w:tr w14:paraId="5AA61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5C900671">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7685401E">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27BD9092">
                  <w:pPr>
                    <w:adjustRightInd w:val="0"/>
                    <w:snapToGrid w:val="0"/>
                    <w:spacing w:line="240" w:lineRule="auto"/>
                    <w:jc w:val="center"/>
                    <w:rPr>
                      <w:rFonts w:hint="default"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工艺水泵</w:t>
                  </w:r>
                  <w:r>
                    <w:rPr>
                      <w:rFonts w:hint="eastAsia" w:cs="Times New Roman"/>
                      <w:bCs/>
                      <w:color w:val="000000" w:themeColor="text1"/>
                      <w:sz w:val="21"/>
                      <w:szCs w:val="21"/>
                      <w:highlight w:val="none"/>
                      <w:vertAlign w:val="baseline"/>
                      <w:lang w:val="en-US" w:eastAsia="zh-CN"/>
                      <w14:textFill>
                        <w14:solidFill>
                          <w14:schemeClr w14:val="tx1"/>
                        </w14:solidFill>
                      </w14:textFill>
                    </w:rPr>
                    <w:t>(纯水)</w:t>
                  </w:r>
                </w:p>
              </w:tc>
              <w:tc>
                <w:tcPr>
                  <w:tcW w:w="4575" w:type="dxa"/>
                  <w:tcBorders>
                    <w:tl2br w:val="nil"/>
                    <w:tr2bl w:val="nil"/>
                  </w:tcBorders>
                  <w:noWrap w:val="0"/>
                  <w:vAlign w:val="center"/>
                </w:tcPr>
                <w:p w14:paraId="59EFF601">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w:t>
                  </w:r>
                  <w:r>
                    <w:rPr>
                      <w:rFonts w:hint="eastAsia" w:cs="Times New Roman"/>
                      <w:bCs/>
                      <w:color w:val="000000" w:themeColor="text1"/>
                      <w:sz w:val="21"/>
                      <w:szCs w:val="21"/>
                      <w:vertAlign w:val="baseline"/>
                      <w:lang w:val="en-US" w:eastAsia="zh-CN"/>
                      <w14:textFill>
                        <w14:solidFill>
                          <w14:schemeClr w14:val="tx1"/>
                        </w14:solidFill>
                      </w14:textFill>
                    </w:rPr>
                    <w:t>46.8</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w:t>
                  </w:r>
                  <w:r>
                    <w:rPr>
                      <w:rFonts w:hint="eastAsia" w:cs="Times New Roman"/>
                      <w:bCs/>
                      <w:color w:val="000000" w:themeColor="text1"/>
                      <w:sz w:val="21"/>
                      <w:szCs w:val="21"/>
                      <w:vertAlign w:val="baseline"/>
                      <w:lang w:val="en-US" w:eastAsia="zh-CN"/>
                      <w14:textFill>
                        <w14:solidFill>
                          <w14:schemeClr w14:val="tx1"/>
                        </w14:solidFill>
                      </w14:textFill>
                    </w:rPr>
                    <w:t>44</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p>
              </w:tc>
              <w:tc>
                <w:tcPr>
                  <w:tcW w:w="1022" w:type="dxa"/>
                  <w:tcBorders>
                    <w:tl2br w:val="nil"/>
                    <w:tr2bl w:val="nil"/>
                  </w:tcBorders>
                  <w:noWrap w:val="0"/>
                  <w:vAlign w:val="center"/>
                </w:tcPr>
                <w:p w14:paraId="78EEFBAC">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2台</w:t>
                  </w:r>
                </w:p>
              </w:tc>
            </w:tr>
            <w:tr w14:paraId="0A2AD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18C17D0D">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71CA4E34">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6C53F2BA">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w:t>
                  </w:r>
                  <w:r>
                    <w:rPr>
                      <w:rFonts w:hint="eastAsia" w:cs="Times New Roman"/>
                      <w:bCs/>
                      <w:color w:val="000000" w:themeColor="text1"/>
                      <w:sz w:val="21"/>
                      <w:szCs w:val="21"/>
                      <w:highlight w:val="none"/>
                      <w:vertAlign w:val="baseline"/>
                      <w:lang w:eastAsia="zh-CN"/>
                      <w14:textFill>
                        <w14:solidFill>
                          <w14:schemeClr w14:val="tx1"/>
                        </w14:solidFill>
                      </w14:textFill>
                    </w:rPr>
                    <w:t>中间罐</w:t>
                  </w:r>
                </w:p>
              </w:tc>
              <w:tc>
                <w:tcPr>
                  <w:tcW w:w="4575" w:type="dxa"/>
                  <w:tcBorders>
                    <w:tl2br w:val="nil"/>
                    <w:tr2bl w:val="nil"/>
                  </w:tcBorders>
                  <w:noWrap w:val="0"/>
                  <w:vAlign w:val="center"/>
                </w:tcPr>
                <w:p w14:paraId="377600BF">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00m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cs="Times New Roman"/>
                      <w:bCs/>
                      <w:color w:val="000000" w:themeColor="text1"/>
                      <w:sz w:val="21"/>
                      <w:szCs w:val="21"/>
                      <w:vertAlign w:val="baseline"/>
                      <w:lang w:val="en-US" w:eastAsia="zh-CN"/>
                      <w14:textFill>
                        <w14:solidFill>
                          <w14:schemeClr w14:val="tx1"/>
                        </w14:solidFill>
                      </w14:textFill>
                    </w:rPr>
                    <w:t>（又称氨水中间槽）</w:t>
                  </w:r>
                </w:p>
              </w:tc>
              <w:tc>
                <w:tcPr>
                  <w:tcW w:w="1022" w:type="dxa"/>
                  <w:tcBorders>
                    <w:tl2br w:val="nil"/>
                    <w:tr2bl w:val="nil"/>
                  </w:tcBorders>
                  <w:noWrap w:val="0"/>
                  <w:vAlign w:val="center"/>
                </w:tcPr>
                <w:p w14:paraId="6C59C581">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个</w:t>
                  </w:r>
                </w:p>
              </w:tc>
            </w:tr>
            <w:tr w14:paraId="2CF1E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6FBCE2E3">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restart"/>
                  <w:tcBorders>
                    <w:tl2br w:val="nil"/>
                    <w:tr2bl w:val="nil"/>
                  </w:tcBorders>
                  <w:noWrap w:val="0"/>
                  <w:vAlign w:val="center"/>
                </w:tcPr>
                <w:p w14:paraId="74C57384">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钢瓶液氨充装</w:t>
                  </w:r>
                </w:p>
              </w:tc>
              <w:tc>
                <w:tcPr>
                  <w:tcW w:w="1631" w:type="dxa"/>
                  <w:tcBorders>
                    <w:tl2br w:val="nil"/>
                    <w:tr2bl w:val="nil"/>
                  </w:tcBorders>
                  <w:noWrap w:val="0"/>
                  <w:vAlign w:val="center"/>
                </w:tcPr>
                <w:p w14:paraId="1135C8DF">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液氨钢瓶</w:t>
                  </w:r>
                </w:p>
              </w:tc>
              <w:tc>
                <w:tcPr>
                  <w:tcW w:w="4575" w:type="dxa"/>
                  <w:tcBorders>
                    <w:tl2br w:val="nil"/>
                    <w:tr2bl w:val="nil"/>
                  </w:tcBorders>
                  <w:noWrap w:val="0"/>
                  <w:vAlign w:val="center"/>
                </w:tcPr>
                <w:p w14:paraId="07BEB99F">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400kg</w:t>
                  </w:r>
                </w:p>
              </w:tc>
              <w:tc>
                <w:tcPr>
                  <w:tcW w:w="1022" w:type="dxa"/>
                  <w:tcBorders>
                    <w:tl2br w:val="nil"/>
                    <w:tr2bl w:val="nil"/>
                  </w:tcBorders>
                  <w:noWrap w:val="0"/>
                  <w:vAlign w:val="center"/>
                </w:tcPr>
                <w:p w14:paraId="7D955A05">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12个</w:t>
                  </w:r>
                </w:p>
              </w:tc>
            </w:tr>
            <w:tr w14:paraId="0A524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043EAFA5">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618952A0">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1965297E">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液氨钢瓶</w:t>
                  </w:r>
                </w:p>
              </w:tc>
              <w:tc>
                <w:tcPr>
                  <w:tcW w:w="4575" w:type="dxa"/>
                  <w:tcBorders>
                    <w:tl2br w:val="nil"/>
                    <w:tr2bl w:val="nil"/>
                  </w:tcBorders>
                  <w:noWrap w:val="0"/>
                  <w:vAlign w:val="center"/>
                </w:tcPr>
                <w:p w14:paraId="2DD920D1">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200kg</w:t>
                  </w:r>
                </w:p>
              </w:tc>
              <w:tc>
                <w:tcPr>
                  <w:tcW w:w="1022" w:type="dxa"/>
                  <w:tcBorders>
                    <w:tl2br w:val="nil"/>
                    <w:tr2bl w:val="nil"/>
                  </w:tcBorders>
                  <w:noWrap w:val="0"/>
                  <w:vAlign w:val="center"/>
                </w:tcPr>
                <w:p w14:paraId="48C363F1">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10个</w:t>
                  </w:r>
                </w:p>
              </w:tc>
            </w:tr>
            <w:tr w14:paraId="071CB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46C32BBE">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6EB065F9">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5BF91AD9">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氨钢瓶充装称</w:t>
                  </w:r>
                </w:p>
              </w:tc>
              <w:tc>
                <w:tcPr>
                  <w:tcW w:w="4575" w:type="dxa"/>
                  <w:tcBorders>
                    <w:tl2br w:val="nil"/>
                    <w:tr2bl w:val="nil"/>
                  </w:tcBorders>
                  <w:noWrap w:val="0"/>
                  <w:vAlign w:val="center"/>
                </w:tcPr>
                <w:p w14:paraId="4DCF2735">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最大充装400</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kg</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，称量到重自动切断</w:t>
                  </w:r>
                </w:p>
              </w:tc>
              <w:tc>
                <w:tcPr>
                  <w:tcW w:w="1022" w:type="dxa"/>
                  <w:tcBorders>
                    <w:tl2br w:val="nil"/>
                    <w:tr2bl w:val="nil"/>
                  </w:tcBorders>
                  <w:noWrap w:val="0"/>
                  <w:vAlign w:val="center"/>
                </w:tcPr>
                <w:p w14:paraId="6CC1F5D1">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6套</w:t>
                  </w:r>
                </w:p>
              </w:tc>
            </w:tr>
            <w:tr w14:paraId="05470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1F271BBE">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restart"/>
                  <w:tcBorders>
                    <w:tl2br w:val="nil"/>
                    <w:tr2bl w:val="nil"/>
                  </w:tcBorders>
                  <w:noWrap w:val="0"/>
                  <w:vAlign w:val="center"/>
                </w:tcPr>
                <w:p w14:paraId="2F53063F">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氨气吸收</w:t>
                  </w:r>
                </w:p>
              </w:tc>
              <w:tc>
                <w:tcPr>
                  <w:tcW w:w="1631" w:type="dxa"/>
                  <w:tcBorders>
                    <w:tl2br w:val="nil"/>
                    <w:tr2bl w:val="nil"/>
                  </w:tcBorders>
                  <w:noWrap w:val="0"/>
                  <w:vAlign w:val="center"/>
                </w:tcPr>
                <w:p w14:paraId="0BDD1D86">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尾气吸收</w:t>
                  </w:r>
                  <w:r>
                    <w:rPr>
                      <w:rFonts w:hint="eastAsia" w:cs="Times New Roman"/>
                      <w:bCs/>
                      <w:color w:val="000000" w:themeColor="text1"/>
                      <w:sz w:val="21"/>
                      <w:szCs w:val="21"/>
                      <w:highlight w:val="none"/>
                      <w:vertAlign w:val="baseline"/>
                      <w:lang w:eastAsia="zh-CN"/>
                      <w14:textFill>
                        <w14:solidFill>
                          <w14:schemeClr w14:val="tx1"/>
                        </w14:solidFill>
                      </w14:textFill>
                    </w:rPr>
                    <w:t>塔</w:t>
                  </w:r>
                </w:p>
              </w:tc>
              <w:tc>
                <w:tcPr>
                  <w:tcW w:w="4575" w:type="dxa"/>
                  <w:tcBorders>
                    <w:tl2br w:val="nil"/>
                    <w:tr2bl w:val="nil"/>
                  </w:tcBorders>
                  <w:noWrap w:val="0"/>
                  <w:vAlign w:val="center"/>
                </w:tcPr>
                <w:p w14:paraId="761C662E">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规格：D=1800mm，H=7000mm</w:t>
                  </w:r>
                </w:p>
              </w:tc>
              <w:tc>
                <w:tcPr>
                  <w:tcW w:w="1022" w:type="dxa"/>
                  <w:tcBorders>
                    <w:tl2br w:val="nil"/>
                    <w:tr2bl w:val="nil"/>
                  </w:tcBorders>
                  <w:noWrap w:val="0"/>
                  <w:vAlign w:val="center"/>
                </w:tcPr>
                <w:p w14:paraId="3249669D">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1个</w:t>
                  </w:r>
                </w:p>
              </w:tc>
            </w:tr>
            <w:tr w14:paraId="1691B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11D3C2A4">
                  <w:pPr>
                    <w:adjustRightInd w:val="0"/>
                    <w:snapToGrid w:val="0"/>
                    <w:spacing w:line="240" w:lineRule="auto"/>
                    <w:jc w:val="center"/>
                    <w:rPr>
                      <w:color w:val="000000" w:themeColor="text1"/>
                      <w14:textFill>
                        <w14:solidFill>
                          <w14:schemeClr w14:val="tx1"/>
                        </w14:solidFill>
                      </w14:textFill>
                    </w:rPr>
                  </w:pPr>
                </w:p>
              </w:tc>
              <w:tc>
                <w:tcPr>
                  <w:tcW w:w="1589" w:type="dxa"/>
                  <w:vMerge w:val="continue"/>
                  <w:tcBorders>
                    <w:tl2br w:val="nil"/>
                    <w:tr2bl w:val="nil"/>
                  </w:tcBorders>
                  <w:noWrap w:val="0"/>
                  <w:vAlign w:val="center"/>
                </w:tcPr>
                <w:p w14:paraId="4494D53A">
                  <w:pPr>
                    <w:adjustRightInd w:val="0"/>
                    <w:snapToGrid w:val="0"/>
                    <w:spacing w:line="240" w:lineRule="auto"/>
                    <w:jc w:val="center"/>
                    <w:rPr>
                      <w:color w:val="000000" w:themeColor="text1"/>
                      <w14:textFill>
                        <w14:solidFill>
                          <w14:schemeClr w14:val="tx1"/>
                        </w14:solidFill>
                      </w14:textFill>
                    </w:rPr>
                  </w:pPr>
                </w:p>
              </w:tc>
              <w:tc>
                <w:tcPr>
                  <w:tcW w:w="1631" w:type="dxa"/>
                  <w:tcBorders>
                    <w:tl2br w:val="nil"/>
                    <w:tr2bl w:val="nil"/>
                  </w:tcBorders>
                  <w:noWrap w:val="0"/>
                  <w:vAlign w:val="center"/>
                </w:tcPr>
                <w:p w14:paraId="71114D48">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吸收循环</w:t>
                  </w: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泵</w:t>
                  </w:r>
                </w:p>
              </w:tc>
              <w:tc>
                <w:tcPr>
                  <w:tcW w:w="4575" w:type="dxa"/>
                  <w:tcBorders>
                    <w:tl2br w:val="nil"/>
                    <w:tr2bl w:val="nil"/>
                  </w:tcBorders>
                  <w:noWrap w:val="0"/>
                  <w:vAlign w:val="center"/>
                </w:tcPr>
                <w:p w14:paraId="6BC6DEEF">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流量15m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/h，扬程20m，卧式</w:t>
                  </w:r>
                </w:p>
              </w:tc>
              <w:tc>
                <w:tcPr>
                  <w:tcW w:w="1022" w:type="dxa"/>
                  <w:tcBorders>
                    <w:tl2br w:val="nil"/>
                    <w:tr2bl w:val="nil"/>
                  </w:tcBorders>
                  <w:noWrap w:val="0"/>
                  <w:vAlign w:val="center"/>
                </w:tcPr>
                <w:p w14:paraId="149D0E77">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2台</w:t>
                  </w:r>
                </w:p>
              </w:tc>
            </w:tr>
            <w:tr w14:paraId="01E0C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40DB86FA">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008DAC95">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循环水冷却</w:t>
                  </w:r>
                </w:p>
              </w:tc>
              <w:tc>
                <w:tcPr>
                  <w:tcW w:w="1631" w:type="dxa"/>
                  <w:tcBorders>
                    <w:tl2br w:val="nil"/>
                    <w:tr2bl w:val="nil"/>
                  </w:tcBorders>
                  <w:noWrap w:val="0"/>
                  <w:vAlign w:val="center"/>
                </w:tcPr>
                <w:p w14:paraId="188BCC02">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凉水塔</w:t>
                  </w:r>
                </w:p>
              </w:tc>
              <w:tc>
                <w:tcPr>
                  <w:tcW w:w="4575" w:type="dxa"/>
                  <w:tcBorders>
                    <w:tl2br w:val="nil"/>
                    <w:tr2bl w:val="nil"/>
                  </w:tcBorders>
                  <w:noWrap w:val="0"/>
                  <w:vAlign w:val="center"/>
                </w:tcPr>
                <w:p w14:paraId="26FD2A00">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循环水量250m</w:t>
                  </w:r>
                  <w:r>
                    <w:rPr>
                      <w:rFonts w:hint="eastAsia" w:ascii="Times New Roman" w:hAnsi="Times New Roman" w:eastAsia="宋体" w:cs="Times New Roman"/>
                      <w:bCs/>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/h，温差</w:t>
                  </w:r>
                  <w:r>
                    <w:rPr>
                      <w:rFonts w:hint="default" w:ascii="Times New Roman" w:hAnsi="Times New Roman" w:eastAsia="宋体" w:cs="Times New Roman"/>
                      <w:bCs/>
                      <w:color w:val="000000" w:themeColor="text1"/>
                      <w:sz w:val="21"/>
                      <w:szCs w:val="21"/>
                      <w:vertAlign w:val="baseli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10℃，入口温度45℃，出口35℃</w:t>
                  </w:r>
                </w:p>
              </w:tc>
              <w:tc>
                <w:tcPr>
                  <w:tcW w:w="1022" w:type="dxa"/>
                  <w:tcBorders>
                    <w:tl2br w:val="nil"/>
                    <w:tr2bl w:val="nil"/>
                  </w:tcBorders>
                  <w:noWrap w:val="0"/>
                  <w:vAlign w:val="center"/>
                </w:tcPr>
                <w:p w14:paraId="2CC1DD1D">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1套</w:t>
                  </w:r>
                </w:p>
              </w:tc>
            </w:tr>
            <w:tr w14:paraId="48B2F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27C2D54F">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5B563EB4">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纯水制备</w:t>
                  </w:r>
                </w:p>
              </w:tc>
              <w:tc>
                <w:tcPr>
                  <w:tcW w:w="1631" w:type="dxa"/>
                  <w:tcBorders>
                    <w:tl2br w:val="nil"/>
                    <w:tr2bl w:val="nil"/>
                  </w:tcBorders>
                  <w:noWrap w:val="0"/>
                  <w:vAlign w:val="center"/>
                </w:tcPr>
                <w:p w14:paraId="5619E8CA">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软水器</w:t>
                  </w:r>
                </w:p>
              </w:tc>
              <w:tc>
                <w:tcPr>
                  <w:tcW w:w="4575" w:type="dxa"/>
                  <w:tcBorders>
                    <w:tl2br w:val="nil"/>
                    <w:tr2bl w:val="nil"/>
                  </w:tcBorders>
                  <w:noWrap w:val="0"/>
                  <w:vAlign w:val="center"/>
                </w:tcPr>
                <w:p w14:paraId="71D7F8EA">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出水能力50</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t</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/h，水质硬度&lt;0.03mm</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mol/L</w:t>
                  </w:r>
                </w:p>
              </w:tc>
              <w:tc>
                <w:tcPr>
                  <w:tcW w:w="1022" w:type="dxa"/>
                  <w:tcBorders>
                    <w:tl2br w:val="nil"/>
                    <w:tr2bl w:val="nil"/>
                  </w:tcBorders>
                  <w:noWrap w:val="0"/>
                  <w:vAlign w:val="center"/>
                </w:tcPr>
                <w:p w14:paraId="769F8C77">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2个(1用1备)</w:t>
                  </w:r>
                </w:p>
              </w:tc>
            </w:tr>
            <w:tr w14:paraId="11841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12AF1690">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484A3C14">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纯水输送</w:t>
                  </w:r>
                </w:p>
              </w:tc>
              <w:tc>
                <w:tcPr>
                  <w:tcW w:w="1631" w:type="dxa"/>
                  <w:tcBorders>
                    <w:tl2br w:val="nil"/>
                    <w:tr2bl w:val="nil"/>
                  </w:tcBorders>
                  <w:noWrap w:val="0"/>
                  <w:vAlign w:val="center"/>
                </w:tcPr>
                <w:p w14:paraId="4C481A8D">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纯水泵</w:t>
                  </w:r>
                </w:p>
              </w:tc>
              <w:tc>
                <w:tcPr>
                  <w:tcW w:w="4575" w:type="dxa"/>
                  <w:tcBorders>
                    <w:tl2br w:val="nil"/>
                    <w:tr2bl w:val="nil"/>
                  </w:tcBorders>
                  <w:noWrap w:val="0"/>
                  <w:vAlign w:val="center"/>
                </w:tcPr>
                <w:p w14:paraId="1C654178">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流量50m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w:t>
                  </w:r>
                  <w:r>
                    <w:rPr>
                      <w:rFonts w:hint="eastAsia" w:cs="Times New Roman"/>
                      <w:bCs/>
                      <w:color w:val="000000" w:themeColor="text1"/>
                      <w:sz w:val="21"/>
                      <w:szCs w:val="21"/>
                      <w:vertAlign w:val="baseline"/>
                      <w:lang w:val="en-US" w:eastAsia="zh-CN"/>
                      <w14:textFill>
                        <w14:solidFill>
                          <w14:schemeClr w14:val="tx1"/>
                        </w14:solidFill>
                      </w14:textFill>
                    </w:rPr>
                    <w:t>45</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m，卧式</w:t>
                  </w:r>
                </w:p>
              </w:tc>
              <w:tc>
                <w:tcPr>
                  <w:tcW w:w="1022" w:type="dxa"/>
                  <w:tcBorders>
                    <w:tl2br w:val="nil"/>
                    <w:tr2bl w:val="nil"/>
                  </w:tcBorders>
                  <w:noWrap w:val="0"/>
                  <w:vAlign w:val="center"/>
                </w:tcPr>
                <w:p w14:paraId="65DE52B1">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2台</w:t>
                  </w:r>
                </w:p>
              </w:tc>
            </w:tr>
            <w:tr w14:paraId="29D98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590607A2">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77B82EA5">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纯水储存</w:t>
                  </w:r>
                </w:p>
              </w:tc>
              <w:tc>
                <w:tcPr>
                  <w:tcW w:w="1631" w:type="dxa"/>
                  <w:tcBorders>
                    <w:tl2br w:val="nil"/>
                    <w:tr2bl w:val="nil"/>
                  </w:tcBorders>
                  <w:noWrap w:val="0"/>
                  <w:vAlign w:val="center"/>
                </w:tcPr>
                <w:p w14:paraId="11533AA5">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纯水罐</w:t>
                  </w:r>
                </w:p>
              </w:tc>
              <w:tc>
                <w:tcPr>
                  <w:tcW w:w="4575" w:type="dxa"/>
                  <w:tcBorders>
                    <w:tl2br w:val="nil"/>
                    <w:tr2bl w:val="nil"/>
                  </w:tcBorders>
                  <w:noWrap w:val="0"/>
                  <w:vAlign w:val="center"/>
                </w:tcPr>
                <w:p w14:paraId="5714DEBD">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t>D=8m，H=10m，V=500m</w:t>
                  </w:r>
                  <w: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t>3</w:t>
                  </w:r>
                </w:p>
              </w:tc>
              <w:tc>
                <w:tcPr>
                  <w:tcW w:w="1022" w:type="dxa"/>
                  <w:tcBorders>
                    <w:tl2br w:val="nil"/>
                    <w:tr2bl w:val="nil"/>
                  </w:tcBorders>
                  <w:noWrap w:val="0"/>
                  <w:vAlign w:val="center"/>
                </w:tcPr>
                <w:p w14:paraId="1914B8A9">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1个</w:t>
                  </w:r>
                </w:p>
              </w:tc>
            </w:tr>
            <w:tr w14:paraId="6B627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357D134A">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28CF9F0B">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起重辅助</w:t>
                  </w:r>
                </w:p>
              </w:tc>
              <w:tc>
                <w:tcPr>
                  <w:tcW w:w="1631" w:type="dxa"/>
                  <w:tcBorders>
                    <w:tl2br w:val="nil"/>
                    <w:tr2bl w:val="nil"/>
                  </w:tcBorders>
                  <w:noWrap w:val="0"/>
                  <w:vAlign w:val="center"/>
                </w:tcPr>
                <w:p w14:paraId="51EFE825">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行车</w:t>
                  </w:r>
                </w:p>
              </w:tc>
              <w:tc>
                <w:tcPr>
                  <w:tcW w:w="4575" w:type="dxa"/>
                  <w:tcBorders>
                    <w:tl2br w:val="nil"/>
                    <w:tr2bl w:val="nil"/>
                  </w:tcBorders>
                  <w:noWrap w:val="0"/>
                  <w:vAlign w:val="center"/>
                </w:tcPr>
                <w:p w14:paraId="1BA20E48">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LD型电动单梁起重机，Q=2t，LK=13.3m</w:t>
                  </w:r>
                </w:p>
              </w:tc>
              <w:tc>
                <w:tcPr>
                  <w:tcW w:w="1022" w:type="dxa"/>
                  <w:tcBorders>
                    <w:tl2br w:val="nil"/>
                    <w:tr2bl w:val="nil"/>
                  </w:tcBorders>
                  <w:noWrap w:val="0"/>
                  <w:vAlign w:val="center"/>
                </w:tcPr>
                <w:p w14:paraId="1581FF9F">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1台</w:t>
                  </w:r>
                </w:p>
              </w:tc>
            </w:tr>
            <w:tr w14:paraId="46176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restart"/>
                  <w:tcBorders>
                    <w:tl2br w:val="nil"/>
                    <w:tr2bl w:val="nil"/>
                  </w:tcBorders>
                  <w:noWrap w:val="0"/>
                  <w:vAlign w:val="center"/>
                </w:tcPr>
                <w:p w14:paraId="1FE38113">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液氨球罐区</w:t>
                  </w:r>
                </w:p>
              </w:tc>
              <w:tc>
                <w:tcPr>
                  <w:tcW w:w="1589" w:type="dxa"/>
                  <w:vMerge w:val="restart"/>
                  <w:tcBorders>
                    <w:tl2br w:val="nil"/>
                    <w:tr2bl w:val="nil"/>
                  </w:tcBorders>
                  <w:noWrap w:val="0"/>
                  <w:vAlign w:val="center"/>
                </w:tcPr>
                <w:p w14:paraId="0351DD06">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液氨装卸</w:t>
                  </w:r>
                </w:p>
              </w:tc>
              <w:tc>
                <w:tcPr>
                  <w:tcW w:w="1631" w:type="dxa"/>
                  <w:tcBorders>
                    <w:tl2br w:val="nil"/>
                    <w:tr2bl w:val="nil"/>
                  </w:tcBorders>
                  <w:noWrap w:val="0"/>
                  <w:vAlign w:val="center"/>
                </w:tcPr>
                <w:p w14:paraId="486F99C8">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卸氨压缩机</w:t>
                  </w:r>
                </w:p>
              </w:tc>
              <w:tc>
                <w:tcPr>
                  <w:tcW w:w="4575" w:type="dxa"/>
                  <w:tcBorders>
                    <w:tl2br w:val="nil"/>
                    <w:tr2bl w:val="nil"/>
                  </w:tcBorders>
                  <w:noWrap w:val="0"/>
                  <w:vAlign w:val="center"/>
                </w:tcPr>
                <w:p w14:paraId="324375D0">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排气量1500Nm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/h，入口温度50℃，入口压力1.6MPa，出口压力2.0MPa</w:t>
                  </w:r>
                </w:p>
              </w:tc>
              <w:tc>
                <w:tcPr>
                  <w:tcW w:w="1022" w:type="dxa"/>
                  <w:tcBorders>
                    <w:tl2br w:val="nil"/>
                    <w:tr2bl w:val="nil"/>
                  </w:tcBorders>
                  <w:noWrap w:val="0"/>
                  <w:vAlign w:val="center"/>
                </w:tcPr>
                <w:p w14:paraId="61C66061">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2套</w:t>
                  </w:r>
                </w:p>
              </w:tc>
            </w:tr>
            <w:tr w14:paraId="0AF05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01F70F9A">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5247057F">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1B9583BC">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液氨鹤管</w:t>
                  </w: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装卸臂</w:t>
                  </w:r>
                  <w:r>
                    <w:rPr>
                      <w:rFonts w:hint="eastAsia"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t>)</w:t>
                  </w:r>
                </w:p>
              </w:tc>
              <w:tc>
                <w:tcPr>
                  <w:tcW w:w="4575" w:type="dxa"/>
                  <w:tcBorders>
                    <w:tl2br w:val="nil"/>
                    <w:tr2bl w:val="nil"/>
                  </w:tcBorders>
                  <w:noWrap w:val="0"/>
                  <w:vAlign w:val="center"/>
                </w:tcPr>
                <w:p w14:paraId="553E5FB7">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接口长度3~3.2m，具备装车卸车功能，具备液气相管；工作压力1.6MPa，液相口快速接头DN50，气相快速接头DN25</w:t>
                  </w:r>
                </w:p>
              </w:tc>
              <w:tc>
                <w:tcPr>
                  <w:tcW w:w="1022" w:type="dxa"/>
                  <w:tcBorders>
                    <w:tl2br w:val="nil"/>
                    <w:tr2bl w:val="nil"/>
                  </w:tcBorders>
                  <w:noWrap w:val="0"/>
                  <w:vAlign w:val="center"/>
                </w:tcPr>
                <w:p w14:paraId="316E3C3B">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4套</w:t>
                  </w:r>
                </w:p>
              </w:tc>
            </w:tr>
            <w:tr w14:paraId="7CFB3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6F58D684">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205A416C">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液氨储存</w:t>
                  </w:r>
                </w:p>
              </w:tc>
              <w:tc>
                <w:tcPr>
                  <w:tcW w:w="1631" w:type="dxa"/>
                  <w:tcBorders>
                    <w:tl2br w:val="nil"/>
                    <w:tr2bl w:val="nil"/>
                  </w:tcBorders>
                  <w:noWrap w:val="0"/>
                  <w:vAlign w:val="center"/>
                </w:tcPr>
                <w:p w14:paraId="1978547C">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液氨球罐</w:t>
                  </w:r>
                </w:p>
              </w:tc>
              <w:tc>
                <w:tcPr>
                  <w:tcW w:w="4575" w:type="dxa"/>
                  <w:tcBorders>
                    <w:tl2br w:val="nil"/>
                    <w:tr2bl w:val="nil"/>
                  </w:tcBorders>
                  <w:noWrap w:val="0"/>
                  <w:vAlign w:val="center"/>
                </w:tcPr>
                <w:p w14:paraId="7E52F69B">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D=12.5m，V=1000m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，设计压力2.16MPa，使用压力1.93MPa，设计温度-19~50℃</w:t>
                  </w:r>
                </w:p>
              </w:tc>
              <w:tc>
                <w:tcPr>
                  <w:tcW w:w="1022" w:type="dxa"/>
                  <w:tcBorders>
                    <w:tl2br w:val="nil"/>
                    <w:tr2bl w:val="nil"/>
                  </w:tcBorders>
                  <w:noWrap w:val="0"/>
                  <w:vAlign w:val="center"/>
                </w:tcPr>
                <w:p w14:paraId="43BFAAF6">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4个</w:t>
                  </w:r>
                </w:p>
              </w:tc>
            </w:tr>
            <w:tr w14:paraId="15C1D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4A676175">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348ECB83">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液氨输送</w:t>
                  </w:r>
                </w:p>
              </w:tc>
              <w:tc>
                <w:tcPr>
                  <w:tcW w:w="1631" w:type="dxa"/>
                  <w:tcBorders>
                    <w:tl2br w:val="nil"/>
                    <w:tr2bl w:val="nil"/>
                  </w:tcBorders>
                  <w:noWrap w:val="0"/>
                  <w:vAlign w:val="center"/>
                </w:tcPr>
                <w:p w14:paraId="01F91171">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液氨泵</w:t>
                  </w:r>
                </w:p>
              </w:tc>
              <w:tc>
                <w:tcPr>
                  <w:tcW w:w="4575" w:type="dxa"/>
                  <w:tcBorders>
                    <w:tl2br w:val="nil"/>
                    <w:tr2bl w:val="nil"/>
                  </w:tcBorders>
                  <w:noWrap w:val="0"/>
                  <w:vAlign w:val="center"/>
                </w:tcPr>
                <w:p w14:paraId="4B5CC594">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流量10m</w:t>
                  </w:r>
                  <w:r>
                    <w:rPr>
                      <w:rFonts w:hint="eastAsia" w:ascii="Times New Roman" w:hAnsi="Times New Roman" w:eastAsia="宋体" w:cs="Times New Roman"/>
                      <w:bCs/>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/h，入口温度-40~40℃，压差ΔP=0.5MPa，工作压力2MPa，配防爆电机</w:t>
                  </w:r>
                </w:p>
              </w:tc>
              <w:tc>
                <w:tcPr>
                  <w:tcW w:w="1022" w:type="dxa"/>
                  <w:tcBorders>
                    <w:tl2br w:val="nil"/>
                    <w:tr2bl w:val="nil"/>
                  </w:tcBorders>
                  <w:noWrap w:val="0"/>
                  <w:vAlign w:val="center"/>
                </w:tcPr>
                <w:p w14:paraId="148F99C0">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台</w:t>
                  </w:r>
                </w:p>
              </w:tc>
            </w:tr>
            <w:tr w14:paraId="2A4FD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244369C7">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1C6E462D">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液氨保护氮气制备</w:t>
                  </w:r>
                </w:p>
              </w:tc>
              <w:tc>
                <w:tcPr>
                  <w:tcW w:w="1631" w:type="dxa"/>
                  <w:tcBorders>
                    <w:tl2br w:val="nil"/>
                    <w:tr2bl w:val="nil"/>
                  </w:tcBorders>
                  <w:noWrap w:val="0"/>
                  <w:vAlign w:val="center"/>
                </w:tcPr>
                <w:p w14:paraId="2193613E">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制氮-仪表空气一体机</w:t>
                  </w:r>
                </w:p>
              </w:tc>
              <w:tc>
                <w:tcPr>
                  <w:tcW w:w="4575" w:type="dxa"/>
                  <w:tcBorders>
                    <w:tl2br w:val="nil"/>
                    <w:tr2bl w:val="nil"/>
                  </w:tcBorders>
                  <w:noWrap w:val="0"/>
                  <w:vAlign w:val="center"/>
                </w:tcPr>
                <w:p w14:paraId="798AF001">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氮气常温，制氮能力100Nm</w:t>
                  </w:r>
                  <w:r>
                    <w:rPr>
                      <w:rFonts w:hint="eastAsia" w:ascii="Times New Roman" w:hAnsi="Times New Roman" w:eastAsia="宋体" w:cs="Times New Roman"/>
                      <w:bCs/>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/h，纯度99.99%，出口压力0.</w:t>
                  </w:r>
                  <w:r>
                    <w:rPr>
                      <w:rFonts w:hint="eastAsia" w:cs="Times New Roman"/>
                      <w:bCs/>
                      <w:color w:val="000000" w:themeColor="text1"/>
                      <w:sz w:val="21"/>
                      <w:szCs w:val="21"/>
                      <w:vertAlign w:val="baseline"/>
                      <w:lang w:val="en-US" w:eastAsia="zh-CN"/>
                      <w14:textFill>
                        <w14:solidFill>
                          <w14:schemeClr w14:val="tx1"/>
                        </w14:solidFill>
                      </w14:textFill>
                    </w:rPr>
                    <w:t>7</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MPa，空压机设一大一小，氮气检修置换用</w:t>
                  </w:r>
                </w:p>
              </w:tc>
              <w:tc>
                <w:tcPr>
                  <w:tcW w:w="1022" w:type="dxa"/>
                  <w:tcBorders>
                    <w:tl2br w:val="nil"/>
                    <w:tr2bl w:val="nil"/>
                  </w:tcBorders>
                  <w:noWrap w:val="0"/>
                  <w:vAlign w:val="center"/>
                </w:tcPr>
                <w:p w14:paraId="37D91EE5">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1套</w:t>
                  </w:r>
                </w:p>
              </w:tc>
            </w:tr>
            <w:tr w14:paraId="0F30B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restart"/>
                  <w:tcBorders>
                    <w:tl2br w:val="nil"/>
                    <w:tr2bl w:val="nil"/>
                  </w:tcBorders>
                  <w:noWrap w:val="0"/>
                  <w:vAlign w:val="center"/>
                </w:tcPr>
                <w:p w14:paraId="3FB6587F">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氨水罐区</w:t>
                  </w:r>
                </w:p>
              </w:tc>
              <w:tc>
                <w:tcPr>
                  <w:tcW w:w="1589" w:type="dxa"/>
                  <w:tcBorders>
                    <w:tl2br w:val="nil"/>
                    <w:tr2bl w:val="nil"/>
                  </w:tcBorders>
                  <w:noWrap w:val="0"/>
                  <w:vAlign w:val="center"/>
                </w:tcPr>
                <w:p w14:paraId="5A3297E5">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氨水储存</w:t>
                  </w:r>
                </w:p>
              </w:tc>
              <w:tc>
                <w:tcPr>
                  <w:tcW w:w="1631" w:type="dxa"/>
                  <w:tcBorders>
                    <w:tl2br w:val="nil"/>
                    <w:tr2bl w:val="nil"/>
                  </w:tcBorders>
                  <w:noWrap w:val="0"/>
                  <w:vAlign w:val="center"/>
                </w:tcPr>
                <w:p w14:paraId="76EB8716">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工业级氨水储罐</w:t>
                  </w:r>
                </w:p>
              </w:tc>
              <w:tc>
                <w:tcPr>
                  <w:tcW w:w="4575" w:type="dxa"/>
                  <w:tcBorders>
                    <w:tl2br w:val="nil"/>
                    <w:tr2bl w:val="nil"/>
                  </w:tcBorders>
                  <w:noWrap w:val="0"/>
                  <w:vAlign w:val="center"/>
                </w:tcPr>
                <w:p w14:paraId="0C483FB7">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D=8m，H=10m，V=500m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1022" w:type="dxa"/>
                  <w:tcBorders>
                    <w:tl2br w:val="nil"/>
                    <w:tr2bl w:val="nil"/>
                  </w:tcBorders>
                  <w:noWrap w:val="0"/>
                  <w:vAlign w:val="center"/>
                </w:tcPr>
                <w:p w14:paraId="1E041C17">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8</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个</w:t>
                  </w:r>
                </w:p>
              </w:tc>
            </w:tr>
            <w:tr w14:paraId="27322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063B353D">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2761A8A5">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原水储存</w:t>
                  </w:r>
                </w:p>
              </w:tc>
              <w:tc>
                <w:tcPr>
                  <w:tcW w:w="1631" w:type="dxa"/>
                  <w:tcBorders>
                    <w:tl2br w:val="nil"/>
                    <w:tr2bl w:val="nil"/>
                  </w:tcBorders>
                  <w:noWrap w:val="0"/>
                  <w:vAlign w:val="center"/>
                </w:tcPr>
                <w:p w14:paraId="6A91856E">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原水罐</w:t>
                  </w:r>
                </w:p>
              </w:tc>
              <w:tc>
                <w:tcPr>
                  <w:tcW w:w="4575" w:type="dxa"/>
                  <w:tcBorders>
                    <w:tl2br w:val="nil"/>
                    <w:tr2bl w:val="nil"/>
                  </w:tcBorders>
                  <w:noWrap w:val="0"/>
                  <w:vAlign w:val="center"/>
                </w:tcPr>
                <w:p w14:paraId="303BE0EF">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D=8m，H=10m，V=500m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1022" w:type="dxa"/>
                  <w:tcBorders>
                    <w:tl2br w:val="nil"/>
                    <w:tr2bl w:val="nil"/>
                  </w:tcBorders>
                  <w:noWrap w:val="0"/>
                  <w:vAlign w:val="center"/>
                </w:tcPr>
                <w:p w14:paraId="66ACAD86">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1个</w:t>
                  </w:r>
                </w:p>
              </w:tc>
            </w:tr>
            <w:tr w14:paraId="53769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483CDFCF">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20EF998B">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原水输送</w:t>
                  </w:r>
                </w:p>
              </w:tc>
              <w:tc>
                <w:tcPr>
                  <w:tcW w:w="1631" w:type="dxa"/>
                  <w:tcBorders>
                    <w:tl2br w:val="nil"/>
                    <w:tr2bl w:val="nil"/>
                  </w:tcBorders>
                  <w:noWrap w:val="0"/>
                  <w:vAlign w:val="center"/>
                </w:tcPr>
                <w:p w14:paraId="1BCBBC54">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原水泵</w:t>
                  </w:r>
                </w:p>
              </w:tc>
              <w:tc>
                <w:tcPr>
                  <w:tcW w:w="4575" w:type="dxa"/>
                  <w:tcBorders>
                    <w:tl2br w:val="nil"/>
                    <w:tr2bl w:val="nil"/>
                  </w:tcBorders>
                  <w:noWrap w:val="0"/>
                  <w:vAlign w:val="center"/>
                </w:tcPr>
                <w:p w14:paraId="577952CF">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流量60m</w:t>
                  </w:r>
                  <w:r>
                    <w:rPr>
                      <w:rFonts w:hint="eastAsia" w:ascii="Times New Roman" w:hAnsi="Times New Roman" w:eastAsia="宋体" w:cs="Times New Roman"/>
                      <w:bCs/>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/h，扬程</w:t>
                  </w:r>
                  <w:r>
                    <w:rPr>
                      <w:rFonts w:hint="eastAsia" w:cs="Times New Roman"/>
                      <w:bCs/>
                      <w:color w:val="000000" w:themeColor="text1"/>
                      <w:sz w:val="21"/>
                      <w:szCs w:val="21"/>
                      <w:vertAlign w:val="baseline"/>
                      <w:lang w:val="en-US" w:eastAsia="zh-CN"/>
                      <w14:textFill>
                        <w14:solidFill>
                          <w14:schemeClr w14:val="tx1"/>
                        </w14:solidFill>
                      </w14:textFill>
                    </w:rPr>
                    <w:t>47</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m，卧式</w:t>
                  </w:r>
                </w:p>
              </w:tc>
              <w:tc>
                <w:tcPr>
                  <w:tcW w:w="1022" w:type="dxa"/>
                  <w:tcBorders>
                    <w:tl2br w:val="nil"/>
                    <w:tr2bl w:val="nil"/>
                  </w:tcBorders>
                  <w:noWrap w:val="0"/>
                  <w:vAlign w:val="center"/>
                </w:tcPr>
                <w:p w14:paraId="50E1498C">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2台</w:t>
                  </w:r>
                </w:p>
              </w:tc>
            </w:tr>
            <w:tr w14:paraId="4FDD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restart"/>
                  <w:tcBorders>
                    <w:tl2br w:val="nil"/>
                    <w:tr2bl w:val="nil"/>
                  </w:tcBorders>
                  <w:noWrap w:val="0"/>
                  <w:vAlign w:val="center"/>
                </w:tcPr>
                <w:p w14:paraId="7EF1BE10">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氨水泵区</w:t>
                  </w:r>
                </w:p>
              </w:tc>
              <w:tc>
                <w:tcPr>
                  <w:tcW w:w="1589" w:type="dxa"/>
                  <w:tcBorders>
                    <w:tl2br w:val="nil"/>
                    <w:tr2bl w:val="nil"/>
                  </w:tcBorders>
                  <w:noWrap w:val="0"/>
                  <w:vAlign w:val="center"/>
                </w:tcPr>
                <w:p w14:paraId="37B438D1">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氨水输送</w:t>
                  </w:r>
                </w:p>
              </w:tc>
              <w:tc>
                <w:tcPr>
                  <w:tcW w:w="1631" w:type="dxa"/>
                  <w:tcBorders>
                    <w:tl2br w:val="nil"/>
                    <w:tr2bl w:val="nil"/>
                  </w:tcBorders>
                  <w:noWrap w:val="0"/>
                  <w:vAlign w:val="center"/>
                </w:tcPr>
                <w:p w14:paraId="58EFC8DE">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氨水中转泵</w:t>
                  </w:r>
                </w:p>
              </w:tc>
              <w:tc>
                <w:tcPr>
                  <w:tcW w:w="4575" w:type="dxa"/>
                  <w:tcBorders>
                    <w:tl2br w:val="nil"/>
                    <w:tr2bl w:val="nil"/>
                  </w:tcBorders>
                  <w:noWrap w:val="0"/>
                  <w:vAlign w:val="center"/>
                </w:tcPr>
                <w:p w14:paraId="599F2D1F">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流量50m</w:t>
                  </w:r>
                  <w:r>
                    <w:rPr>
                      <w:rFonts w:hint="eastAsia" w:ascii="Times New Roman" w:hAnsi="Times New Roman" w:eastAsia="宋体" w:cs="Times New Roman"/>
                      <w:bCs/>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/h，扬程25m，卧式</w:t>
                  </w:r>
                </w:p>
              </w:tc>
              <w:tc>
                <w:tcPr>
                  <w:tcW w:w="1022" w:type="dxa"/>
                  <w:tcBorders>
                    <w:tl2br w:val="nil"/>
                    <w:tr2bl w:val="nil"/>
                  </w:tcBorders>
                  <w:noWrap w:val="0"/>
                  <w:vAlign w:val="center"/>
                </w:tcPr>
                <w:p w14:paraId="71318734">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2台</w:t>
                  </w:r>
                </w:p>
              </w:tc>
            </w:tr>
            <w:tr w14:paraId="4119D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5E4A1B2E">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5F9AC604">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氨水装车</w:t>
                  </w:r>
                </w:p>
              </w:tc>
              <w:tc>
                <w:tcPr>
                  <w:tcW w:w="1631" w:type="dxa"/>
                  <w:tcBorders>
                    <w:tl2br w:val="nil"/>
                    <w:tr2bl w:val="nil"/>
                  </w:tcBorders>
                  <w:noWrap w:val="0"/>
                  <w:vAlign w:val="center"/>
                </w:tcPr>
                <w:p w14:paraId="2798A987">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氨水装车泵</w:t>
                  </w:r>
                </w:p>
              </w:tc>
              <w:tc>
                <w:tcPr>
                  <w:tcW w:w="4575" w:type="dxa"/>
                  <w:tcBorders>
                    <w:tl2br w:val="nil"/>
                    <w:tr2bl w:val="nil"/>
                  </w:tcBorders>
                  <w:noWrap w:val="0"/>
                  <w:vAlign w:val="center"/>
                </w:tcPr>
                <w:p w14:paraId="0B0BBC07">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流量80m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/h，扬程15m</w:t>
                  </w:r>
                </w:p>
              </w:tc>
              <w:tc>
                <w:tcPr>
                  <w:tcW w:w="1022" w:type="dxa"/>
                  <w:tcBorders>
                    <w:tl2br w:val="nil"/>
                    <w:tr2bl w:val="nil"/>
                  </w:tcBorders>
                  <w:noWrap w:val="0"/>
                  <w:vAlign w:val="center"/>
                </w:tcPr>
                <w:p w14:paraId="6DE537A8">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2台</w:t>
                  </w:r>
                </w:p>
              </w:tc>
            </w:tr>
            <w:tr w14:paraId="7F54B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tcBorders>
                    <w:tl2br w:val="nil"/>
                    <w:tr2bl w:val="nil"/>
                  </w:tcBorders>
                  <w:noWrap w:val="0"/>
                  <w:vAlign w:val="center"/>
                </w:tcPr>
                <w:p w14:paraId="525C2BD5">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循环水池</w:t>
                  </w:r>
                </w:p>
              </w:tc>
              <w:tc>
                <w:tcPr>
                  <w:tcW w:w="1589" w:type="dxa"/>
                  <w:tcBorders>
                    <w:tl2br w:val="nil"/>
                    <w:tr2bl w:val="nil"/>
                  </w:tcBorders>
                  <w:noWrap w:val="0"/>
                  <w:vAlign w:val="center"/>
                </w:tcPr>
                <w:p w14:paraId="718A2A3F">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循环水输送</w:t>
                  </w:r>
                </w:p>
              </w:tc>
              <w:tc>
                <w:tcPr>
                  <w:tcW w:w="1631" w:type="dxa"/>
                  <w:tcBorders>
                    <w:tl2br w:val="nil"/>
                    <w:tr2bl w:val="nil"/>
                  </w:tcBorders>
                  <w:noWrap w:val="0"/>
                  <w:vAlign w:val="center"/>
                </w:tcPr>
                <w:p w14:paraId="589BF2ED">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冷却循环水泵</w:t>
                  </w:r>
                </w:p>
              </w:tc>
              <w:tc>
                <w:tcPr>
                  <w:tcW w:w="4575" w:type="dxa"/>
                  <w:tcBorders>
                    <w:tl2br w:val="nil"/>
                    <w:tr2bl w:val="nil"/>
                  </w:tcBorders>
                  <w:noWrap w:val="0"/>
                  <w:vAlign w:val="center"/>
                </w:tcPr>
                <w:p w14:paraId="53EC22C5">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流量250m</w:t>
                  </w:r>
                  <w:r>
                    <w:rPr>
                      <w:rFonts w:hint="eastAsia" w:ascii="Times New Roman" w:hAnsi="Times New Roman" w:eastAsia="宋体" w:cs="Times New Roman"/>
                      <w:bCs/>
                      <w:color w:val="000000" w:themeColor="text1"/>
                      <w:sz w:val="21"/>
                      <w:szCs w:val="21"/>
                      <w:vertAlign w:val="superscript"/>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/h，扬程</w:t>
                  </w:r>
                  <w:r>
                    <w:rPr>
                      <w:rFonts w:hint="eastAsia" w:cs="Times New Roman"/>
                      <w:bCs/>
                      <w:color w:val="000000" w:themeColor="text1"/>
                      <w:sz w:val="21"/>
                      <w:szCs w:val="21"/>
                      <w:vertAlign w:val="baseline"/>
                      <w:lang w:val="en-US" w:eastAsia="zh-CN"/>
                      <w14:textFill>
                        <w14:solidFill>
                          <w14:schemeClr w14:val="tx1"/>
                        </w14:solidFill>
                      </w14:textFill>
                    </w:rPr>
                    <w:t>32</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m，卧式</w:t>
                  </w:r>
                </w:p>
              </w:tc>
              <w:tc>
                <w:tcPr>
                  <w:tcW w:w="1022" w:type="dxa"/>
                  <w:tcBorders>
                    <w:tl2br w:val="nil"/>
                    <w:tr2bl w:val="nil"/>
                  </w:tcBorders>
                  <w:noWrap w:val="0"/>
                  <w:vAlign w:val="center"/>
                </w:tcPr>
                <w:p w14:paraId="764E94AD">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2台</w:t>
                  </w:r>
                </w:p>
              </w:tc>
            </w:tr>
            <w:tr w14:paraId="5C0FA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tcBorders>
                    <w:tl2br w:val="nil"/>
                    <w:tr2bl w:val="nil"/>
                  </w:tcBorders>
                  <w:noWrap w:val="0"/>
                  <w:vAlign w:val="center"/>
                </w:tcPr>
                <w:p w14:paraId="76663203">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发电机房</w:t>
                  </w:r>
                </w:p>
              </w:tc>
              <w:tc>
                <w:tcPr>
                  <w:tcW w:w="1589" w:type="dxa"/>
                  <w:tcBorders>
                    <w:tl2br w:val="nil"/>
                    <w:tr2bl w:val="nil"/>
                  </w:tcBorders>
                  <w:noWrap w:val="0"/>
                  <w:vAlign w:val="center"/>
                </w:tcPr>
                <w:p w14:paraId="548C006B">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备用发电</w:t>
                  </w:r>
                </w:p>
              </w:tc>
              <w:tc>
                <w:tcPr>
                  <w:tcW w:w="1631" w:type="dxa"/>
                  <w:tcBorders>
                    <w:tl2br w:val="nil"/>
                    <w:tr2bl w:val="nil"/>
                  </w:tcBorders>
                  <w:noWrap w:val="0"/>
                  <w:vAlign w:val="center"/>
                </w:tcPr>
                <w:p w14:paraId="5CCE2C8A">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柴油发电机</w:t>
                  </w:r>
                </w:p>
              </w:tc>
              <w:tc>
                <w:tcPr>
                  <w:tcW w:w="4575" w:type="dxa"/>
                  <w:tcBorders>
                    <w:tl2br w:val="nil"/>
                    <w:tr2bl w:val="nil"/>
                  </w:tcBorders>
                  <w:noWrap w:val="0"/>
                  <w:vAlign w:val="center"/>
                </w:tcPr>
                <w:p w14:paraId="6F80EF0C">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800kW</w:t>
                  </w:r>
                </w:p>
              </w:tc>
              <w:tc>
                <w:tcPr>
                  <w:tcW w:w="1022" w:type="dxa"/>
                  <w:tcBorders>
                    <w:tl2br w:val="nil"/>
                    <w:tr2bl w:val="nil"/>
                  </w:tcBorders>
                  <w:noWrap w:val="0"/>
                  <w:vAlign w:val="center"/>
                </w:tcPr>
                <w:p w14:paraId="18FE36B9">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1套</w:t>
                  </w:r>
                </w:p>
              </w:tc>
            </w:tr>
            <w:tr w14:paraId="36B38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restart"/>
                  <w:tcBorders>
                    <w:tl2br w:val="nil"/>
                    <w:tr2bl w:val="nil"/>
                  </w:tcBorders>
                  <w:noWrap w:val="0"/>
                  <w:vAlign w:val="center"/>
                </w:tcPr>
                <w:p w14:paraId="4FBA1269">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消防泵房</w:t>
                  </w:r>
                </w:p>
              </w:tc>
              <w:tc>
                <w:tcPr>
                  <w:tcW w:w="1589" w:type="dxa"/>
                  <w:vMerge w:val="restart"/>
                  <w:tcBorders>
                    <w:tl2br w:val="nil"/>
                    <w:tr2bl w:val="nil"/>
                  </w:tcBorders>
                  <w:noWrap w:val="0"/>
                  <w:vAlign w:val="center"/>
                </w:tcPr>
                <w:p w14:paraId="58A3A8A4">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消防给水</w:t>
                  </w:r>
                </w:p>
              </w:tc>
              <w:tc>
                <w:tcPr>
                  <w:tcW w:w="1631" w:type="dxa"/>
                  <w:tcBorders>
                    <w:tl2br w:val="nil"/>
                    <w:tr2bl w:val="nil"/>
                  </w:tcBorders>
                  <w:noWrap w:val="0"/>
                  <w:vAlign w:val="center"/>
                </w:tcPr>
                <w:p w14:paraId="40183237">
                  <w:pPr>
                    <w:adjustRightInd w:val="0"/>
                    <w:snapToGrid w:val="0"/>
                    <w:spacing w:line="240" w:lineRule="auto"/>
                    <w:jc w:val="both"/>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消防给水泵</w:t>
                  </w:r>
                </w:p>
              </w:tc>
              <w:tc>
                <w:tcPr>
                  <w:tcW w:w="4575" w:type="dxa"/>
                  <w:tcBorders>
                    <w:tl2br w:val="nil"/>
                    <w:tr2bl w:val="nil"/>
                  </w:tcBorders>
                  <w:noWrap w:val="0"/>
                  <w:vAlign w:val="center"/>
                </w:tcPr>
                <w:p w14:paraId="5CA6082D">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电泵</w:t>
                  </w:r>
                </w:p>
              </w:tc>
              <w:tc>
                <w:tcPr>
                  <w:tcW w:w="1022" w:type="dxa"/>
                  <w:tcBorders>
                    <w:tl2br w:val="nil"/>
                    <w:tr2bl w:val="nil"/>
                  </w:tcBorders>
                  <w:noWrap w:val="0"/>
                  <w:vAlign w:val="center"/>
                </w:tcPr>
                <w:p w14:paraId="407F7ADF">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2个</w:t>
                  </w:r>
                </w:p>
              </w:tc>
            </w:tr>
            <w:tr w14:paraId="359D0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6B4A604A">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vMerge w:val="continue"/>
                  <w:tcBorders>
                    <w:tl2br w:val="nil"/>
                    <w:tr2bl w:val="nil"/>
                  </w:tcBorders>
                  <w:noWrap w:val="0"/>
                  <w:vAlign w:val="center"/>
                </w:tcPr>
                <w:p w14:paraId="6936E0AF">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p>
              </w:tc>
              <w:tc>
                <w:tcPr>
                  <w:tcW w:w="1631" w:type="dxa"/>
                  <w:tcBorders>
                    <w:tl2br w:val="nil"/>
                    <w:tr2bl w:val="nil"/>
                  </w:tcBorders>
                  <w:noWrap w:val="0"/>
                  <w:vAlign w:val="center"/>
                </w:tcPr>
                <w:p w14:paraId="73DCDC0B">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消防给水泵</w:t>
                  </w:r>
                </w:p>
              </w:tc>
              <w:tc>
                <w:tcPr>
                  <w:tcW w:w="4575" w:type="dxa"/>
                  <w:tcBorders>
                    <w:tl2br w:val="nil"/>
                    <w:tr2bl w:val="nil"/>
                  </w:tcBorders>
                  <w:noWrap w:val="0"/>
                  <w:vAlign w:val="center"/>
                </w:tcPr>
                <w:p w14:paraId="31F9DC86">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柴油机泵</w:t>
                  </w:r>
                </w:p>
              </w:tc>
              <w:tc>
                <w:tcPr>
                  <w:tcW w:w="1022" w:type="dxa"/>
                  <w:tcBorders>
                    <w:tl2br w:val="nil"/>
                    <w:tr2bl w:val="nil"/>
                  </w:tcBorders>
                  <w:noWrap w:val="0"/>
                  <w:vAlign w:val="center"/>
                </w:tcPr>
                <w:p w14:paraId="2CA8961A">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2个</w:t>
                  </w:r>
                </w:p>
              </w:tc>
            </w:tr>
            <w:tr w14:paraId="73FD7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restart"/>
                  <w:tcBorders>
                    <w:tl2br w:val="nil"/>
                    <w:tr2bl w:val="nil"/>
                  </w:tcBorders>
                  <w:noWrap w:val="0"/>
                  <w:vAlign w:val="center"/>
                </w:tcPr>
                <w:p w14:paraId="44BF26DB">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其它</w:t>
                  </w:r>
                </w:p>
              </w:tc>
              <w:tc>
                <w:tcPr>
                  <w:tcW w:w="1589" w:type="dxa"/>
                  <w:tcBorders>
                    <w:tl2br w:val="nil"/>
                    <w:tr2bl w:val="nil"/>
                  </w:tcBorders>
                  <w:noWrap w:val="0"/>
                  <w:vAlign w:val="center"/>
                </w:tcPr>
                <w:p w14:paraId="2516F2B8">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消防备用水储存</w:t>
                  </w:r>
                </w:p>
              </w:tc>
              <w:tc>
                <w:tcPr>
                  <w:tcW w:w="1631" w:type="dxa"/>
                  <w:tcBorders>
                    <w:tl2br w:val="nil"/>
                    <w:tr2bl w:val="nil"/>
                  </w:tcBorders>
                  <w:noWrap w:val="0"/>
                  <w:vAlign w:val="center"/>
                </w:tcPr>
                <w:p w14:paraId="0FE6276A">
                  <w:pPr>
                    <w:adjustRightInd w:val="0"/>
                    <w:snapToGrid w:val="0"/>
                    <w:spacing w:line="240" w:lineRule="auto"/>
                    <w:jc w:val="cente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消防水罐</w:t>
                  </w:r>
                </w:p>
              </w:tc>
              <w:tc>
                <w:tcPr>
                  <w:tcW w:w="4575" w:type="dxa"/>
                  <w:tcBorders>
                    <w:tl2br w:val="nil"/>
                    <w:tr2bl w:val="nil"/>
                  </w:tcBorders>
                  <w:noWrap w:val="0"/>
                  <w:vAlign w:val="center"/>
                </w:tcPr>
                <w:p w14:paraId="51985E8A">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D=13.5m，H=18m，V=2200m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1022" w:type="dxa"/>
                  <w:tcBorders>
                    <w:tl2br w:val="nil"/>
                    <w:tr2bl w:val="nil"/>
                  </w:tcBorders>
                  <w:noWrap w:val="0"/>
                  <w:vAlign w:val="center"/>
                </w:tcPr>
                <w:p w14:paraId="609ABEA2">
                  <w:pPr>
                    <w:adjustRightInd w:val="0"/>
                    <w:snapToGrid w:val="0"/>
                    <w:spacing w:line="240" w:lineRule="auto"/>
                    <w:jc w:val="cente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2个</w:t>
                  </w:r>
                </w:p>
              </w:tc>
            </w:tr>
            <w:tr w14:paraId="4DCF0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9" w:type="dxa"/>
                  <w:vMerge w:val="continue"/>
                  <w:tcBorders>
                    <w:tl2br w:val="nil"/>
                    <w:tr2bl w:val="nil"/>
                  </w:tcBorders>
                  <w:noWrap w:val="0"/>
                  <w:vAlign w:val="center"/>
                </w:tcPr>
                <w:p w14:paraId="0626ACBE">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pPr>
                </w:p>
              </w:tc>
              <w:tc>
                <w:tcPr>
                  <w:tcW w:w="1589" w:type="dxa"/>
                  <w:tcBorders>
                    <w:tl2br w:val="nil"/>
                    <w:tr2bl w:val="nil"/>
                  </w:tcBorders>
                  <w:noWrap w:val="0"/>
                  <w:vAlign w:val="center"/>
                </w:tcPr>
                <w:p w14:paraId="62B4E9E6">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车辆称重</w:t>
                  </w:r>
                </w:p>
              </w:tc>
              <w:tc>
                <w:tcPr>
                  <w:tcW w:w="1631" w:type="dxa"/>
                  <w:tcBorders>
                    <w:tl2br w:val="nil"/>
                    <w:tr2bl w:val="nil"/>
                  </w:tcBorders>
                  <w:noWrap w:val="0"/>
                  <w:vAlign w:val="center"/>
                </w:tcPr>
                <w:p w14:paraId="314AA1CD">
                  <w:pPr>
                    <w:adjustRightInd w:val="0"/>
                    <w:snapToGrid w:val="0"/>
                    <w:spacing w:line="240" w:lineRule="auto"/>
                    <w:jc w:val="cente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地磅</w:t>
                  </w:r>
                </w:p>
              </w:tc>
              <w:tc>
                <w:tcPr>
                  <w:tcW w:w="4575" w:type="dxa"/>
                  <w:tcBorders>
                    <w:tl2br w:val="nil"/>
                    <w:tr2bl w:val="nil"/>
                  </w:tcBorders>
                  <w:noWrap w:val="0"/>
                  <w:vAlign w:val="center"/>
                </w:tcPr>
                <w:p w14:paraId="0A3DC28D">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18x3.4m，地中恒式，最小称重50kg，最大称重80t，精度10kg</w:t>
                  </w:r>
                </w:p>
              </w:tc>
              <w:tc>
                <w:tcPr>
                  <w:tcW w:w="1022" w:type="dxa"/>
                  <w:tcBorders>
                    <w:tl2br w:val="nil"/>
                    <w:tr2bl w:val="nil"/>
                  </w:tcBorders>
                  <w:noWrap w:val="0"/>
                  <w:vAlign w:val="center"/>
                </w:tcPr>
                <w:p w14:paraId="4CE27754">
                  <w:pPr>
                    <w:adjustRightInd w:val="0"/>
                    <w:snapToGrid w:val="0"/>
                    <w:spacing w:line="240" w:lineRule="auto"/>
                    <w:jc w:val="cente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1套</w:t>
                  </w:r>
                </w:p>
              </w:tc>
            </w:tr>
          </w:tbl>
          <w:p w14:paraId="6B1F7A1D">
            <w:pPr>
              <w:adjustRightInd w:val="0"/>
              <w:snapToGrid w:val="0"/>
              <w:spacing w:line="240" w:lineRule="auto"/>
              <w:jc w:val="left"/>
              <w:rPr>
                <w:rFonts w:hint="eastAsia" w:ascii="Times New Roman" w:hAnsi="Times New Roman" w:eastAsia="宋体" w:cs="Times New Roman"/>
                <w:bCs/>
                <w:sz w:val="24"/>
                <w:szCs w:val="24"/>
                <w:lang w:eastAsia="zh-CN"/>
              </w:rPr>
            </w:pPr>
          </w:p>
          <w:p w14:paraId="6C4B136F">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本项目主要生产设备产能分析如下：</w:t>
            </w:r>
          </w:p>
          <w:p w14:paraId="26EAD480">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）液氨储存</w:t>
            </w:r>
          </w:p>
          <w:p w14:paraId="3E6AB554">
            <w:pPr>
              <w:adjustRightInd w:val="0"/>
              <w:snapToGrid w:val="0"/>
              <w:spacing w:line="360" w:lineRule="auto"/>
              <w:ind w:firstLine="480" w:firstLineChars="200"/>
              <w:jc w:val="left"/>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本项目液氨球罐区内共设置4个1000m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的液氨球罐，液氨采用常温高压储存，储存工作压力为1.9MPa。在此条件下，液氨密度约为602kg/m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，液氨球罐内液氨储存量控制在77.5%以下。综上计算，液氨最大储存量为3100m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，折合1860t。</w:t>
            </w:r>
          </w:p>
          <w:p w14:paraId="55809870">
            <w:pPr>
              <w:pStyle w:val="14"/>
              <w:bidi w:val="0"/>
              <w:rPr>
                <w:rFonts w:hint="eastAsia"/>
                <w:lang w:val="en-US" w:eastAsia="zh-CN"/>
              </w:rPr>
            </w:pPr>
            <w:r>
              <w:rPr>
                <w:rFonts w:hint="eastAsia"/>
                <w:lang w:val="en-US" w:eastAsia="zh-CN"/>
              </w:rPr>
              <w:drawing>
                <wp:inline distT="0" distB="0" distL="114300" distR="114300">
                  <wp:extent cx="4258945" cy="2355850"/>
                  <wp:effectExtent l="0" t="0" r="8255" b="6350"/>
                  <wp:docPr id="62" name="图片 1" descr="球罐.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球罐.webp"/>
                          <pic:cNvPicPr>
                            <a:picLocks noChangeAspect="1"/>
                          </pic:cNvPicPr>
                        </pic:nvPicPr>
                        <pic:blipFill>
                          <a:blip r:embed="rId13"/>
                          <a:stretch>
                            <a:fillRect/>
                          </a:stretch>
                        </pic:blipFill>
                        <pic:spPr>
                          <a:xfrm>
                            <a:off x="0" y="0"/>
                            <a:ext cx="4258945" cy="2355850"/>
                          </a:xfrm>
                          <a:prstGeom prst="rect">
                            <a:avLst/>
                          </a:prstGeom>
                          <a:noFill/>
                          <a:ln>
                            <a:noFill/>
                          </a:ln>
                        </pic:spPr>
                      </pic:pic>
                    </a:graphicData>
                  </a:graphic>
                </wp:inline>
              </w:drawing>
            </w:r>
          </w:p>
          <w:p w14:paraId="56D63CDD">
            <w:pPr>
              <w:adjustRightInd w:val="0"/>
              <w:snapToGrid w:val="0"/>
              <w:spacing w:line="360" w:lineRule="auto"/>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图2-1 球罐（资料图）</w:t>
            </w:r>
          </w:p>
          <w:p w14:paraId="288526C8">
            <w:pPr>
              <w:adjustRightInd w:val="0"/>
              <w:snapToGrid w:val="0"/>
              <w:spacing w:line="360" w:lineRule="auto"/>
              <w:ind w:firstLine="482" w:firstLineChars="200"/>
              <w:jc w:val="left"/>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）液氨输送至厂外湿法磷酸项目</w:t>
            </w:r>
          </w:p>
          <w:p w14:paraId="00E8F4B6">
            <w:pPr>
              <w:adjustRightInd w:val="0"/>
              <w:snapToGrid w:val="0"/>
              <w:spacing w:line="360" w:lineRule="auto"/>
              <w:ind w:firstLine="480" w:firstLineChars="200"/>
              <w:jc w:val="left"/>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根据广东云硫环保新材料科技有限公司10万吨年精制湿法磷酸项目环境影响报告书，该项目的液氨需求量为20068.142t/a，年生产300天，每天24小时生产，液氨需求量为66.894t/d、2.787t/h。</w:t>
            </w:r>
          </w:p>
          <w:p w14:paraId="56B51A38">
            <w:pPr>
              <w:adjustRightInd w:val="0"/>
              <w:snapToGrid w:val="0"/>
              <w:spacing w:line="360" w:lineRule="auto"/>
              <w:ind w:firstLine="480" w:firstLineChars="200"/>
              <w:jc w:val="left"/>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本项目液氨最大储存量为1860t，设置</w:t>
            </w:r>
            <w:r>
              <w:rPr>
                <w:rFonts w:hint="eastAsia" w:cs="Times New Roman"/>
                <w:b w:val="0"/>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个</w:t>
            </w:r>
            <w:r>
              <w:rPr>
                <w:rFonts w:hint="eastAsia" w:ascii="Times New Roman" w:hAnsi="Times New Roman" w:eastAsia="宋体" w:cs="Times New Roman"/>
                <w:b w:val="0"/>
                <w:bCs/>
                <w:sz w:val="24"/>
                <w:szCs w:val="24"/>
                <w:lang w:val="en-US" w:eastAsia="zh-CN"/>
              </w:rPr>
              <w:t>液氨泵，每小时最大可输送10m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（折合约6t）液氨，因此本项目每天最大可输送144t液氨至厂外的湿法磷酸项目，完全满足该项目的生产需要。</w:t>
            </w:r>
          </w:p>
          <w:p w14:paraId="69FE0593">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3</w:t>
            </w:r>
            <w:r>
              <w:rPr>
                <w:rFonts w:hint="eastAsia" w:ascii="Times New Roman" w:hAnsi="Times New Roman" w:eastAsia="宋体" w:cs="Times New Roman"/>
                <w:b/>
                <w:bCs w:val="0"/>
                <w:sz w:val="24"/>
                <w:szCs w:val="24"/>
                <w:lang w:eastAsia="zh-CN"/>
              </w:rPr>
              <w:t>）氨水生产和储存</w:t>
            </w:r>
          </w:p>
          <w:p w14:paraId="1BAAC169">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本项目工业级氨水年产量为</w:t>
            </w:r>
            <w:r>
              <w:rPr>
                <w:rFonts w:hint="eastAsia" w:ascii="Times New Roman" w:hAnsi="Times New Roman" w:eastAsia="宋体" w:cs="Times New Roman"/>
                <w:bCs/>
                <w:sz w:val="24"/>
                <w:szCs w:val="24"/>
                <w:lang w:val="en-US" w:eastAsia="zh-CN"/>
              </w:rPr>
              <w:t>15万吨，氨含量（质量分数）为25%，因此需要稀释的液氨量为37500t/a。</w:t>
            </w:r>
            <w:r>
              <w:rPr>
                <w:rFonts w:hint="eastAsia" w:ascii="Times New Roman" w:hAnsi="Times New Roman" w:eastAsia="宋体" w:cs="Times New Roman"/>
                <w:bCs/>
                <w:sz w:val="24"/>
                <w:szCs w:val="24"/>
                <w:lang w:eastAsia="zh-CN"/>
              </w:rPr>
              <w:t>本项目工作制度为年生产</w:t>
            </w:r>
            <w:r>
              <w:rPr>
                <w:rFonts w:hint="eastAsia" w:ascii="Times New Roman" w:hAnsi="Times New Roman" w:eastAsia="宋体" w:cs="Times New Roman"/>
                <w:bCs/>
                <w:sz w:val="24"/>
                <w:szCs w:val="24"/>
                <w:lang w:val="en-US" w:eastAsia="zh-CN"/>
              </w:rPr>
              <w:t>300天，每天24小时生产，因此每小时需要稀释的液氨量为5.208t</w:t>
            </w:r>
            <w:r>
              <w:rPr>
                <w:rFonts w:hint="eastAsia" w:ascii="Times New Roman" w:hAnsi="Times New Roman" w:eastAsia="宋体" w:cs="Times New Roman"/>
                <w:bCs/>
                <w:sz w:val="24"/>
                <w:szCs w:val="24"/>
                <w:lang w:eastAsia="zh-CN"/>
              </w:rPr>
              <w:t>。</w:t>
            </w:r>
          </w:p>
          <w:p w14:paraId="6199BC28">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w:t>
            </w:r>
            <w:r>
              <w:rPr>
                <w:rFonts w:hint="eastAsia" w:ascii="Times New Roman" w:hAnsi="Times New Roman" w:eastAsia="宋体" w:cs="Times New Roman"/>
                <w:bCs/>
                <w:sz w:val="24"/>
                <w:szCs w:val="24"/>
                <w:lang w:val="en-US" w:eastAsia="zh-CN"/>
              </w:rPr>
              <w:t>设置1个吸氨器，液氨处理量为8t/h（大于5.208t/h），因此满足生产需要。</w:t>
            </w:r>
          </w:p>
          <w:p w14:paraId="4A374829">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本项目共设置</w:t>
            </w:r>
            <w:r>
              <w:rPr>
                <w:rFonts w:hint="eastAsia" w:cs="Times New Roman"/>
                <w:bCs/>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个</w:t>
            </w:r>
            <w:r>
              <w:rPr>
                <w:rFonts w:hint="eastAsia" w:ascii="Times New Roman" w:hAnsi="Times New Roman" w:eastAsia="宋体" w:cs="Times New Roman"/>
                <w:bCs/>
                <w:sz w:val="24"/>
                <w:szCs w:val="24"/>
                <w:lang w:val="en-US" w:eastAsia="zh-CN"/>
              </w:rPr>
              <w:t>氨水罐（每个容积500m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）储存工业级氨水，氨水最大储存量不超过容积的85%；氨水储存条件是密闭储存（设排气阀控制压力），氨含量25%的氨水的密度约为0.91</w:t>
            </w:r>
            <w:r>
              <w:rPr>
                <w:rFonts w:hint="eastAsia" w:cs="Times New Roman"/>
                <w:bCs/>
                <w:sz w:val="24"/>
                <w:szCs w:val="24"/>
                <w:lang w:val="en-US" w:eastAsia="zh-CN"/>
              </w:rPr>
              <w:t>kg</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，因此本项目工业级氨水最大储存量为4250m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（折合3867.5t）。</w:t>
            </w:r>
          </w:p>
          <w:p w14:paraId="5C6A653F">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4</w:t>
            </w:r>
            <w:r>
              <w:rPr>
                <w:rFonts w:hint="eastAsia" w:ascii="Times New Roman" w:hAnsi="Times New Roman" w:eastAsia="宋体" w:cs="Times New Roman"/>
                <w:b/>
                <w:bCs w:val="0"/>
                <w:sz w:val="24"/>
                <w:szCs w:val="24"/>
                <w:lang w:eastAsia="zh-CN"/>
              </w:rPr>
              <w:t>）钢瓶液氨充装</w:t>
            </w:r>
          </w:p>
          <w:p w14:paraId="1E69EAC8">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本项目设置</w:t>
            </w:r>
            <w:r>
              <w:rPr>
                <w:rFonts w:hint="eastAsia" w:ascii="Times New Roman" w:hAnsi="Times New Roman" w:eastAsia="宋体" w:cs="Times New Roman"/>
                <w:bCs/>
                <w:sz w:val="24"/>
                <w:szCs w:val="24"/>
                <w:lang w:val="en-US" w:eastAsia="zh-CN"/>
              </w:rPr>
              <w:t>12个400kg和10个200kg的液氨钢瓶，使用单位用完后循环使用。</w:t>
            </w:r>
          </w:p>
          <w:p w14:paraId="6FF7365B">
            <w:pPr>
              <w:adjustRightInd w:val="0"/>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3655695" cy="2487295"/>
                  <wp:effectExtent l="0" t="0" r="1905" b="825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4"/>
                          <a:stretch>
                            <a:fillRect/>
                          </a:stretch>
                        </pic:blipFill>
                        <pic:spPr>
                          <a:xfrm>
                            <a:off x="0" y="0"/>
                            <a:ext cx="3655695" cy="2487295"/>
                          </a:xfrm>
                          <a:prstGeom prst="rect">
                            <a:avLst/>
                          </a:prstGeom>
                          <a:noFill/>
                          <a:ln>
                            <a:noFill/>
                          </a:ln>
                        </pic:spPr>
                      </pic:pic>
                    </a:graphicData>
                  </a:graphic>
                </wp:inline>
              </w:drawing>
            </w:r>
          </w:p>
          <w:p w14:paraId="131D4723">
            <w:pPr>
              <w:adjustRightInd w:val="0"/>
              <w:snapToGrid w:val="0"/>
              <w:spacing w:line="360" w:lineRule="auto"/>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2-2</w:t>
            </w:r>
            <w:r>
              <w:rPr>
                <w:rFonts w:hint="eastAsia"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液氨钢瓶（资料图）</w:t>
            </w:r>
          </w:p>
          <w:p w14:paraId="1DAF9011">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液氨钢瓶常温下充装，瓶内工作压力为1.6MPa，此条件下液氨的密度约为60</w:t>
            </w:r>
            <w:r>
              <w:rPr>
                <w:rFonts w:hint="eastAsia" w:cs="Times New Roman"/>
                <w:bCs/>
                <w:sz w:val="24"/>
                <w:szCs w:val="24"/>
                <w:lang w:val="en-US" w:eastAsia="zh-CN"/>
              </w:rPr>
              <w:t>2</w:t>
            </w:r>
            <w:r>
              <w:rPr>
                <w:rFonts w:hint="eastAsia" w:ascii="Times New Roman" w:hAnsi="Times New Roman" w:eastAsia="宋体" w:cs="Times New Roman"/>
                <w:bCs/>
                <w:sz w:val="24"/>
                <w:szCs w:val="24"/>
                <w:lang w:val="en-US" w:eastAsia="zh-CN"/>
              </w:rPr>
              <w:t>kg/m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液氨钢瓶充装预留15%的气相空间。400kg和200kg液氨钢瓶的液氨充装量分别为400kg和200kg，液氨充装速度为2m/s，充装管直径为2cm，因此钢瓶单次液氨充装过程时间分别约为17.6min和8.8min，考虑充装前后准备时间，钢瓶单次充装时间约为25min和15min。</w:t>
            </w:r>
          </w:p>
          <w:p w14:paraId="535C4C29">
            <w:pPr>
              <w:adjustRightInd w:val="0"/>
              <w:snapToGrid w:val="0"/>
              <w:spacing w:line="360" w:lineRule="auto"/>
              <w:ind w:firstLine="480" w:firstLineChars="200"/>
              <w:jc w:val="left"/>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Cs/>
                <w:sz w:val="24"/>
                <w:szCs w:val="24"/>
                <w:lang w:val="en-US" w:eastAsia="zh-CN"/>
              </w:rPr>
              <w:t>本项目共设置6套充装称，最大可同时充装6个钢瓶，</w:t>
            </w:r>
            <w:r>
              <w:rPr>
                <w:rFonts w:hint="eastAsia" w:cs="Times New Roman"/>
                <w:bCs/>
                <w:color w:val="000000" w:themeColor="text1"/>
                <w:sz w:val="24"/>
                <w:szCs w:val="24"/>
                <w:lang w:val="en-US" w:eastAsia="zh-CN"/>
                <w14:textFill>
                  <w14:solidFill>
                    <w14:schemeClr w14:val="tx1"/>
                  </w14:solidFill>
                </w14:textFill>
              </w:rPr>
              <w:t>本项目设置有400kg钢瓶12个、200kg钢瓶10个，每批次共计充装6800kg，每批次充装总用时约为1.5h，根据本项目钢瓶规格计算，年充装液氨0.2万吨需要充装294批次全部钢瓶并另外充装2个400kg钢瓶，液氨钢瓶客户每天送回液氨钢瓶进行充装，每天充装一批次的液氨钢瓶（其中预留6天的设备维护及客户使用液氨钢瓶时间延长等情况的应对时间），故本项目液氨钢瓶充装运营时间在294~300天之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本项目液氨钢瓶充装工作</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年生产</w:t>
            </w:r>
            <w:r>
              <w:rPr>
                <w:rFonts w:hint="eastAsia" w:cs="Times New Roman"/>
                <w:bCs/>
                <w:color w:val="000000" w:themeColor="text1"/>
                <w:sz w:val="24"/>
                <w:szCs w:val="24"/>
                <w:lang w:val="en-US" w:eastAsia="zh-CN"/>
                <w14:textFill>
                  <w14:solidFill>
                    <w14:schemeClr w14:val="tx1"/>
                  </w14:solidFill>
                </w14:textFill>
              </w:rPr>
              <w:t>运营</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300天</w:t>
            </w:r>
            <w:r>
              <w:rPr>
                <w:rFonts w:hint="eastAsia" w:cs="Times New Roman"/>
                <w:bCs/>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Cs/>
                <w:sz w:val="24"/>
                <w:szCs w:val="24"/>
                <w:lang w:eastAsia="zh-CN"/>
              </w:rPr>
              <w:t>本项目钢瓶装液氨年产量仅为</w:t>
            </w:r>
            <w:r>
              <w:rPr>
                <w:rFonts w:hint="eastAsia" w:ascii="Times New Roman" w:hAnsi="Times New Roman" w:eastAsia="宋体" w:cs="Times New Roman"/>
                <w:bCs/>
                <w:sz w:val="24"/>
                <w:szCs w:val="24"/>
                <w:lang w:val="en-US" w:eastAsia="zh-CN"/>
              </w:rPr>
              <w:t>0.2万吨，因此生产设备满足充装需要</w:t>
            </w:r>
            <w:r>
              <w:rPr>
                <w:rFonts w:hint="eastAsia" w:ascii="Times New Roman" w:hAnsi="Times New Roman" w:eastAsia="宋体" w:cs="Times New Roman"/>
                <w:bCs/>
                <w:sz w:val="24"/>
                <w:szCs w:val="24"/>
                <w:lang w:eastAsia="zh-CN"/>
              </w:rPr>
              <w:t>。</w:t>
            </w:r>
          </w:p>
          <w:p w14:paraId="5DCCBA28">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4、</w:t>
            </w:r>
            <w:r>
              <w:rPr>
                <w:rFonts w:hint="eastAsia" w:ascii="Times New Roman" w:hAnsi="Times New Roman" w:eastAsia="宋体" w:cs="Times New Roman"/>
                <w:b/>
                <w:bCs w:val="0"/>
                <w:sz w:val="24"/>
                <w:szCs w:val="24"/>
                <w:lang w:eastAsia="zh-CN"/>
              </w:rPr>
              <w:t>原辅材料和燃料</w:t>
            </w:r>
          </w:p>
          <w:p w14:paraId="216BB028">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本项目原材料仅为液氨，用量见表</w:t>
            </w:r>
            <w:r>
              <w:rPr>
                <w:rFonts w:hint="eastAsia" w:ascii="Times New Roman" w:hAnsi="Times New Roman" w:eastAsia="宋体" w:cs="Times New Roman"/>
                <w:bCs/>
                <w:sz w:val="24"/>
                <w:szCs w:val="24"/>
                <w:lang w:val="en-US" w:eastAsia="zh-CN"/>
              </w:rPr>
              <w:t>2-6。</w:t>
            </w:r>
          </w:p>
          <w:p w14:paraId="72EE3692">
            <w:pPr>
              <w:pStyle w:val="15"/>
              <w:bidi w:val="0"/>
              <w:rPr>
                <w:rFonts w:hint="default"/>
                <w:lang w:val="en-US" w:eastAsia="zh-CN"/>
              </w:rPr>
            </w:pPr>
            <w:r>
              <w:rPr>
                <w:rFonts w:hint="eastAsia"/>
                <w:lang w:eastAsia="zh-CN"/>
              </w:rPr>
              <w:t>表</w:t>
            </w:r>
            <w:r>
              <w:rPr>
                <w:rFonts w:hint="eastAsia"/>
                <w:lang w:val="en-US" w:eastAsia="zh-CN"/>
              </w:rPr>
              <w:t>2-6 本项目原料用量</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393"/>
              <w:gridCol w:w="1245"/>
              <w:gridCol w:w="2265"/>
              <w:gridCol w:w="1110"/>
              <w:gridCol w:w="1710"/>
              <w:gridCol w:w="1410"/>
            </w:tblGrid>
            <w:tr w14:paraId="215BC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1393" w:type="dxa"/>
                  <w:tcBorders>
                    <w:tl2br w:val="nil"/>
                    <w:tr2bl w:val="nil"/>
                  </w:tcBorders>
                  <w:noWrap w:val="0"/>
                  <w:vAlign w:val="center"/>
                </w:tcPr>
                <w:p w14:paraId="37F42EFB">
                  <w:pPr>
                    <w:pStyle w:val="14"/>
                    <w:bidi w:val="0"/>
                    <w:jc w:val="center"/>
                    <w:rPr>
                      <w:rFonts w:hint="eastAsia"/>
                      <w:b/>
                      <w:bCs/>
                      <w:lang w:eastAsia="zh-CN"/>
                    </w:rPr>
                  </w:pPr>
                  <w:r>
                    <w:rPr>
                      <w:rFonts w:hint="eastAsia"/>
                      <w:b/>
                      <w:bCs/>
                      <w:lang w:eastAsia="zh-CN"/>
                    </w:rPr>
                    <w:t>产品</w:t>
                  </w:r>
                </w:p>
              </w:tc>
              <w:tc>
                <w:tcPr>
                  <w:tcW w:w="1245" w:type="dxa"/>
                  <w:tcBorders>
                    <w:tl2br w:val="nil"/>
                    <w:tr2bl w:val="nil"/>
                  </w:tcBorders>
                  <w:noWrap w:val="0"/>
                  <w:vAlign w:val="center"/>
                </w:tcPr>
                <w:p w14:paraId="3FC00CDC">
                  <w:pPr>
                    <w:pStyle w:val="14"/>
                    <w:bidi w:val="0"/>
                    <w:jc w:val="center"/>
                    <w:rPr>
                      <w:rFonts w:hint="eastAsia"/>
                      <w:b/>
                      <w:bCs/>
                      <w:lang w:eastAsia="zh-CN"/>
                    </w:rPr>
                  </w:pPr>
                  <w:r>
                    <w:rPr>
                      <w:rFonts w:hint="eastAsia"/>
                      <w:b/>
                      <w:bCs/>
                      <w:lang w:eastAsia="zh-CN"/>
                    </w:rPr>
                    <w:t>产品产量（万</w:t>
                  </w:r>
                  <w:r>
                    <w:rPr>
                      <w:rFonts w:hint="eastAsia"/>
                      <w:b/>
                      <w:bCs/>
                      <w:lang w:val="en-US" w:eastAsia="zh-CN"/>
                    </w:rPr>
                    <w:t>t/a</w:t>
                  </w:r>
                  <w:r>
                    <w:rPr>
                      <w:rFonts w:hint="eastAsia"/>
                      <w:b/>
                      <w:bCs/>
                      <w:lang w:eastAsia="zh-CN"/>
                    </w:rPr>
                    <w:t>）</w:t>
                  </w:r>
                </w:p>
              </w:tc>
              <w:tc>
                <w:tcPr>
                  <w:tcW w:w="2265" w:type="dxa"/>
                  <w:tcBorders>
                    <w:tl2br w:val="nil"/>
                    <w:tr2bl w:val="nil"/>
                  </w:tcBorders>
                  <w:noWrap w:val="0"/>
                  <w:vAlign w:val="center"/>
                </w:tcPr>
                <w:p w14:paraId="312F077A">
                  <w:pPr>
                    <w:pStyle w:val="14"/>
                    <w:bidi w:val="0"/>
                    <w:jc w:val="center"/>
                    <w:rPr>
                      <w:rFonts w:hint="eastAsia"/>
                      <w:b/>
                      <w:bCs/>
                      <w:lang w:val="en-US" w:eastAsia="zh-CN"/>
                    </w:rPr>
                  </w:pPr>
                  <w:r>
                    <w:rPr>
                      <w:rFonts w:hint="eastAsia"/>
                      <w:b/>
                      <w:bCs/>
                      <w:lang w:val="en-US" w:eastAsia="zh-CN"/>
                    </w:rPr>
                    <w:t>产品规格</w:t>
                  </w:r>
                </w:p>
              </w:tc>
              <w:tc>
                <w:tcPr>
                  <w:tcW w:w="1110" w:type="dxa"/>
                  <w:tcBorders>
                    <w:tl2br w:val="nil"/>
                    <w:tr2bl w:val="nil"/>
                  </w:tcBorders>
                  <w:noWrap w:val="0"/>
                  <w:vAlign w:val="center"/>
                </w:tcPr>
                <w:p w14:paraId="53FC9B86">
                  <w:pPr>
                    <w:pStyle w:val="14"/>
                    <w:bidi w:val="0"/>
                    <w:jc w:val="center"/>
                    <w:rPr>
                      <w:rFonts w:hint="eastAsia"/>
                      <w:b/>
                      <w:bCs/>
                      <w:lang w:val="en-US" w:eastAsia="zh-CN"/>
                    </w:rPr>
                  </w:pPr>
                  <w:r>
                    <w:rPr>
                      <w:rFonts w:hint="eastAsia"/>
                      <w:b/>
                      <w:bCs/>
                      <w:lang w:eastAsia="zh-CN"/>
                    </w:rPr>
                    <w:t>原料名称</w:t>
                  </w:r>
                </w:p>
              </w:tc>
              <w:tc>
                <w:tcPr>
                  <w:tcW w:w="1710" w:type="dxa"/>
                  <w:tcBorders>
                    <w:tl2br w:val="nil"/>
                    <w:tr2bl w:val="nil"/>
                  </w:tcBorders>
                  <w:noWrap w:val="0"/>
                  <w:vAlign w:val="center"/>
                </w:tcPr>
                <w:p w14:paraId="5BAEDF67">
                  <w:pPr>
                    <w:pStyle w:val="14"/>
                    <w:bidi w:val="0"/>
                    <w:jc w:val="center"/>
                    <w:rPr>
                      <w:rFonts w:hint="eastAsia"/>
                      <w:b/>
                      <w:bCs/>
                      <w:lang w:val="en-US" w:eastAsia="zh-CN"/>
                    </w:rPr>
                  </w:pPr>
                  <w:r>
                    <w:rPr>
                      <w:rFonts w:hint="eastAsia"/>
                      <w:b/>
                      <w:bCs/>
                      <w:lang w:val="en-US" w:eastAsia="zh-CN"/>
                    </w:rPr>
                    <w:t>原料规格</w:t>
                  </w:r>
                </w:p>
              </w:tc>
              <w:tc>
                <w:tcPr>
                  <w:tcW w:w="1410" w:type="dxa"/>
                  <w:tcBorders>
                    <w:tl2br w:val="nil"/>
                    <w:tr2bl w:val="nil"/>
                  </w:tcBorders>
                  <w:noWrap w:val="0"/>
                  <w:vAlign w:val="center"/>
                </w:tcPr>
                <w:p w14:paraId="18F83D30">
                  <w:pPr>
                    <w:pStyle w:val="14"/>
                    <w:bidi w:val="0"/>
                    <w:jc w:val="center"/>
                    <w:rPr>
                      <w:rFonts w:hint="eastAsia"/>
                      <w:b/>
                      <w:bCs/>
                      <w:lang w:eastAsia="zh-CN"/>
                    </w:rPr>
                  </w:pPr>
                  <w:r>
                    <w:rPr>
                      <w:rFonts w:hint="eastAsia"/>
                      <w:b/>
                      <w:bCs/>
                      <w:lang w:eastAsia="zh-CN"/>
                    </w:rPr>
                    <w:t>原料用量</w:t>
                  </w:r>
                </w:p>
                <w:p w14:paraId="3E93C1EB">
                  <w:pPr>
                    <w:pStyle w:val="14"/>
                    <w:bidi w:val="0"/>
                    <w:jc w:val="center"/>
                    <w:rPr>
                      <w:rFonts w:hint="eastAsia"/>
                      <w:b/>
                      <w:bCs/>
                      <w:lang w:eastAsia="zh-CN"/>
                    </w:rPr>
                  </w:pPr>
                  <w:r>
                    <w:rPr>
                      <w:rFonts w:hint="eastAsia"/>
                      <w:b/>
                      <w:bCs/>
                      <w:lang w:eastAsia="zh-CN"/>
                    </w:rPr>
                    <w:t>（万</w:t>
                  </w:r>
                  <w:r>
                    <w:rPr>
                      <w:rFonts w:hint="eastAsia"/>
                      <w:b/>
                      <w:bCs/>
                      <w:lang w:val="en-US" w:eastAsia="zh-CN"/>
                    </w:rPr>
                    <w:t>t/a</w:t>
                  </w:r>
                  <w:r>
                    <w:rPr>
                      <w:rFonts w:hint="eastAsia"/>
                      <w:b/>
                      <w:bCs/>
                      <w:lang w:eastAsia="zh-CN"/>
                    </w:rPr>
                    <w:t>）</w:t>
                  </w:r>
                </w:p>
              </w:tc>
            </w:tr>
            <w:tr w14:paraId="50185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1393" w:type="dxa"/>
                  <w:tcBorders>
                    <w:tl2br w:val="nil"/>
                    <w:tr2bl w:val="nil"/>
                  </w:tcBorders>
                  <w:noWrap w:val="0"/>
                  <w:vAlign w:val="center"/>
                </w:tcPr>
                <w:p w14:paraId="41B9F818">
                  <w:pPr>
                    <w:pStyle w:val="14"/>
                    <w:bidi w:val="0"/>
                    <w:jc w:val="center"/>
                    <w:rPr>
                      <w:rFonts w:hint="eastAsia"/>
                      <w:lang w:eastAsia="zh-CN"/>
                    </w:rPr>
                  </w:pPr>
                  <w:r>
                    <w:rPr>
                      <w:rFonts w:hint="eastAsia"/>
                      <w:lang w:eastAsia="zh-CN"/>
                    </w:rPr>
                    <w:t>液氨</w:t>
                  </w:r>
                </w:p>
              </w:tc>
              <w:tc>
                <w:tcPr>
                  <w:tcW w:w="1245" w:type="dxa"/>
                  <w:tcBorders>
                    <w:tl2br w:val="nil"/>
                    <w:tr2bl w:val="nil"/>
                  </w:tcBorders>
                  <w:noWrap w:val="0"/>
                  <w:vAlign w:val="center"/>
                </w:tcPr>
                <w:p w14:paraId="6FDB03CD">
                  <w:pPr>
                    <w:pStyle w:val="14"/>
                    <w:bidi w:val="0"/>
                    <w:jc w:val="center"/>
                    <w:rPr>
                      <w:rFonts w:hint="default"/>
                      <w:lang w:val="en-US" w:eastAsia="zh-CN"/>
                    </w:rPr>
                  </w:pPr>
                  <w:r>
                    <w:rPr>
                      <w:rFonts w:hint="eastAsia"/>
                      <w:lang w:val="en-US" w:eastAsia="zh-CN"/>
                    </w:rPr>
                    <w:t>1.8</w:t>
                  </w:r>
                </w:p>
              </w:tc>
              <w:tc>
                <w:tcPr>
                  <w:tcW w:w="2265" w:type="dxa"/>
                  <w:tcBorders>
                    <w:tl2br w:val="nil"/>
                    <w:tr2bl w:val="nil"/>
                  </w:tcBorders>
                  <w:noWrap w:val="0"/>
                  <w:vAlign w:val="center"/>
                </w:tcPr>
                <w:p w14:paraId="622B6585">
                  <w:pPr>
                    <w:pStyle w:val="14"/>
                    <w:bidi w:val="0"/>
                    <w:jc w:val="center"/>
                    <w:rPr>
                      <w:rFonts w:hint="default"/>
                      <w:lang w:val="en-US" w:eastAsia="zh-CN"/>
                    </w:rPr>
                  </w:pPr>
                  <w:r>
                    <w:rPr>
                      <w:rFonts w:hint="eastAsia"/>
                      <w:lang w:eastAsia="zh-CN"/>
                    </w:rPr>
                    <w:t>合格品，氨含量</w:t>
                  </w:r>
                  <w:r>
                    <w:rPr>
                      <w:rFonts w:hint="default"/>
                      <w:lang w:val="en-US" w:eastAsia="zh-CN"/>
                    </w:rPr>
                    <w:t>≥</w:t>
                  </w:r>
                  <w:r>
                    <w:rPr>
                      <w:rFonts w:hint="eastAsia"/>
                      <w:lang w:val="en-US" w:eastAsia="zh-CN"/>
                    </w:rPr>
                    <w:t>99%</w:t>
                  </w:r>
                </w:p>
              </w:tc>
              <w:tc>
                <w:tcPr>
                  <w:tcW w:w="1110" w:type="dxa"/>
                  <w:vMerge w:val="restart"/>
                  <w:tcBorders>
                    <w:tl2br w:val="nil"/>
                    <w:tr2bl w:val="nil"/>
                  </w:tcBorders>
                  <w:noWrap w:val="0"/>
                  <w:vAlign w:val="center"/>
                </w:tcPr>
                <w:p w14:paraId="2A1184C3">
                  <w:pPr>
                    <w:pStyle w:val="14"/>
                    <w:bidi w:val="0"/>
                    <w:jc w:val="center"/>
                    <w:rPr>
                      <w:rFonts w:hint="eastAsia"/>
                      <w:lang w:val="en-US" w:eastAsia="zh-CN"/>
                    </w:rPr>
                  </w:pPr>
                  <w:r>
                    <w:rPr>
                      <w:rFonts w:hint="eastAsia"/>
                      <w:lang w:eastAsia="zh-CN"/>
                    </w:rPr>
                    <w:t>液氨</w:t>
                  </w:r>
                </w:p>
              </w:tc>
              <w:tc>
                <w:tcPr>
                  <w:tcW w:w="1710" w:type="dxa"/>
                  <w:vMerge w:val="restart"/>
                  <w:tcBorders>
                    <w:tl2br w:val="nil"/>
                    <w:tr2bl w:val="nil"/>
                  </w:tcBorders>
                  <w:noWrap w:val="0"/>
                  <w:vAlign w:val="center"/>
                </w:tcPr>
                <w:p w14:paraId="178C07C0">
                  <w:pPr>
                    <w:pStyle w:val="14"/>
                    <w:bidi w:val="0"/>
                    <w:jc w:val="center"/>
                    <w:rPr>
                      <w:rFonts w:hint="eastAsia"/>
                      <w:lang w:eastAsia="zh-CN"/>
                    </w:rPr>
                  </w:pPr>
                  <w:r>
                    <w:rPr>
                      <w:rFonts w:hint="eastAsia"/>
                      <w:lang w:eastAsia="zh-CN"/>
                    </w:rPr>
                    <w:t>合格品，氨含量</w:t>
                  </w:r>
                  <w:r>
                    <w:rPr>
                      <w:rFonts w:hint="default"/>
                      <w:lang w:val="en-US" w:eastAsia="zh-CN"/>
                    </w:rPr>
                    <w:t>≥</w:t>
                  </w:r>
                  <w:r>
                    <w:rPr>
                      <w:rFonts w:hint="eastAsia"/>
                      <w:lang w:val="en-US" w:eastAsia="zh-CN"/>
                    </w:rPr>
                    <w:t>99%</w:t>
                  </w:r>
                </w:p>
              </w:tc>
              <w:tc>
                <w:tcPr>
                  <w:tcW w:w="1410" w:type="dxa"/>
                  <w:tcBorders>
                    <w:tl2br w:val="nil"/>
                    <w:tr2bl w:val="nil"/>
                  </w:tcBorders>
                  <w:noWrap w:val="0"/>
                  <w:vAlign w:val="center"/>
                </w:tcPr>
                <w:p w14:paraId="591FF64B">
                  <w:pPr>
                    <w:pStyle w:val="14"/>
                    <w:bidi w:val="0"/>
                    <w:jc w:val="center"/>
                    <w:rPr>
                      <w:rFonts w:hint="default"/>
                      <w:lang w:val="en-US" w:eastAsia="zh-CN"/>
                    </w:rPr>
                  </w:pPr>
                  <w:r>
                    <w:rPr>
                      <w:rFonts w:hint="eastAsia"/>
                      <w:lang w:val="en-US" w:eastAsia="zh-CN"/>
                    </w:rPr>
                    <w:t>1.8</w:t>
                  </w:r>
                </w:p>
              </w:tc>
            </w:tr>
            <w:tr w14:paraId="1F08D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1393" w:type="dxa"/>
                  <w:tcBorders>
                    <w:tl2br w:val="nil"/>
                    <w:tr2bl w:val="nil"/>
                  </w:tcBorders>
                  <w:noWrap w:val="0"/>
                  <w:vAlign w:val="center"/>
                </w:tcPr>
                <w:p w14:paraId="0AB3F7B6">
                  <w:pPr>
                    <w:pStyle w:val="14"/>
                    <w:bidi w:val="0"/>
                    <w:jc w:val="center"/>
                    <w:rPr>
                      <w:rFonts w:hint="eastAsia"/>
                      <w:lang w:eastAsia="zh-CN"/>
                    </w:rPr>
                  </w:pPr>
                  <w:r>
                    <w:rPr>
                      <w:rFonts w:hint="eastAsia"/>
                      <w:lang w:eastAsia="zh-CN"/>
                    </w:rPr>
                    <w:t>钢瓶装液氨</w:t>
                  </w:r>
                </w:p>
              </w:tc>
              <w:tc>
                <w:tcPr>
                  <w:tcW w:w="1245" w:type="dxa"/>
                  <w:tcBorders>
                    <w:tl2br w:val="nil"/>
                    <w:tr2bl w:val="nil"/>
                  </w:tcBorders>
                  <w:noWrap w:val="0"/>
                  <w:vAlign w:val="center"/>
                </w:tcPr>
                <w:p w14:paraId="407255A2">
                  <w:pPr>
                    <w:pStyle w:val="14"/>
                    <w:bidi w:val="0"/>
                    <w:jc w:val="center"/>
                    <w:rPr>
                      <w:rFonts w:hint="default"/>
                      <w:lang w:val="en-US" w:eastAsia="zh-CN"/>
                    </w:rPr>
                  </w:pPr>
                  <w:r>
                    <w:rPr>
                      <w:rFonts w:hint="eastAsia"/>
                      <w:lang w:val="en-US" w:eastAsia="zh-CN"/>
                    </w:rPr>
                    <w:t>0.2</w:t>
                  </w:r>
                </w:p>
              </w:tc>
              <w:tc>
                <w:tcPr>
                  <w:tcW w:w="2265" w:type="dxa"/>
                  <w:tcBorders>
                    <w:tl2br w:val="nil"/>
                    <w:tr2bl w:val="nil"/>
                  </w:tcBorders>
                  <w:noWrap w:val="0"/>
                  <w:vAlign w:val="center"/>
                </w:tcPr>
                <w:p w14:paraId="630A4046">
                  <w:pPr>
                    <w:pStyle w:val="14"/>
                    <w:bidi w:val="0"/>
                    <w:jc w:val="center"/>
                    <w:rPr>
                      <w:rFonts w:hint="eastAsia"/>
                      <w:lang w:eastAsia="zh-CN"/>
                    </w:rPr>
                  </w:pPr>
                  <w:r>
                    <w:rPr>
                      <w:rFonts w:hint="eastAsia"/>
                      <w:lang w:eastAsia="zh-CN"/>
                    </w:rPr>
                    <w:t>合格品，氨含量</w:t>
                  </w:r>
                  <w:r>
                    <w:rPr>
                      <w:rFonts w:hint="default"/>
                      <w:lang w:val="en-US" w:eastAsia="zh-CN"/>
                    </w:rPr>
                    <w:t>≥</w:t>
                  </w:r>
                  <w:r>
                    <w:rPr>
                      <w:rFonts w:hint="eastAsia"/>
                      <w:lang w:val="en-US" w:eastAsia="zh-CN"/>
                    </w:rPr>
                    <w:t>99%</w:t>
                  </w:r>
                </w:p>
              </w:tc>
              <w:tc>
                <w:tcPr>
                  <w:tcW w:w="1110" w:type="dxa"/>
                  <w:vMerge w:val="continue"/>
                  <w:tcBorders>
                    <w:tl2br w:val="nil"/>
                    <w:tr2bl w:val="nil"/>
                  </w:tcBorders>
                  <w:noWrap w:val="0"/>
                  <w:vAlign w:val="center"/>
                </w:tcPr>
                <w:p w14:paraId="5601D225">
                  <w:pPr>
                    <w:pStyle w:val="14"/>
                    <w:bidi w:val="0"/>
                    <w:jc w:val="center"/>
                    <w:rPr>
                      <w:rFonts w:hint="eastAsia"/>
                      <w:lang w:val="en-US" w:eastAsia="zh-CN"/>
                    </w:rPr>
                  </w:pPr>
                </w:p>
              </w:tc>
              <w:tc>
                <w:tcPr>
                  <w:tcW w:w="1710" w:type="dxa"/>
                  <w:vMerge w:val="continue"/>
                  <w:tcBorders>
                    <w:tl2br w:val="nil"/>
                    <w:tr2bl w:val="nil"/>
                  </w:tcBorders>
                  <w:noWrap w:val="0"/>
                  <w:vAlign w:val="center"/>
                </w:tcPr>
                <w:p w14:paraId="4D7EED77">
                  <w:pPr>
                    <w:pStyle w:val="14"/>
                    <w:bidi w:val="0"/>
                    <w:jc w:val="center"/>
                    <w:rPr>
                      <w:rFonts w:hint="eastAsia"/>
                      <w:lang w:eastAsia="zh-CN"/>
                    </w:rPr>
                  </w:pPr>
                </w:p>
              </w:tc>
              <w:tc>
                <w:tcPr>
                  <w:tcW w:w="1410" w:type="dxa"/>
                  <w:tcBorders>
                    <w:tl2br w:val="nil"/>
                    <w:tr2bl w:val="nil"/>
                  </w:tcBorders>
                  <w:noWrap w:val="0"/>
                  <w:vAlign w:val="center"/>
                </w:tcPr>
                <w:p w14:paraId="58D6A3D3">
                  <w:pPr>
                    <w:pStyle w:val="14"/>
                    <w:bidi w:val="0"/>
                    <w:jc w:val="center"/>
                    <w:rPr>
                      <w:rFonts w:hint="default"/>
                      <w:lang w:val="en-US" w:eastAsia="zh-CN"/>
                    </w:rPr>
                  </w:pPr>
                  <w:r>
                    <w:rPr>
                      <w:rFonts w:hint="eastAsia"/>
                      <w:lang w:val="en-US" w:eastAsia="zh-CN"/>
                    </w:rPr>
                    <w:t>0.2</w:t>
                  </w:r>
                </w:p>
              </w:tc>
            </w:tr>
            <w:tr w14:paraId="21ACC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1393" w:type="dxa"/>
                  <w:tcBorders>
                    <w:tl2br w:val="nil"/>
                    <w:tr2bl w:val="nil"/>
                  </w:tcBorders>
                  <w:noWrap w:val="0"/>
                  <w:vAlign w:val="center"/>
                </w:tcPr>
                <w:p w14:paraId="39E64E08">
                  <w:pPr>
                    <w:pStyle w:val="14"/>
                    <w:bidi w:val="0"/>
                    <w:jc w:val="center"/>
                    <w:rPr>
                      <w:rFonts w:hint="eastAsia"/>
                      <w:lang w:eastAsia="zh-CN"/>
                    </w:rPr>
                  </w:pPr>
                  <w:r>
                    <w:rPr>
                      <w:rFonts w:hint="eastAsia"/>
                      <w:lang w:eastAsia="zh-CN"/>
                    </w:rPr>
                    <w:t>工业级氨水</w:t>
                  </w:r>
                </w:p>
              </w:tc>
              <w:tc>
                <w:tcPr>
                  <w:tcW w:w="1245" w:type="dxa"/>
                  <w:tcBorders>
                    <w:tl2br w:val="nil"/>
                    <w:tr2bl w:val="nil"/>
                  </w:tcBorders>
                  <w:noWrap w:val="0"/>
                  <w:vAlign w:val="center"/>
                </w:tcPr>
                <w:p w14:paraId="159271CB">
                  <w:pPr>
                    <w:pStyle w:val="14"/>
                    <w:bidi w:val="0"/>
                    <w:jc w:val="center"/>
                    <w:rPr>
                      <w:rFonts w:hint="default"/>
                      <w:lang w:val="en-US" w:eastAsia="zh-CN"/>
                    </w:rPr>
                  </w:pPr>
                  <w:r>
                    <w:rPr>
                      <w:rFonts w:hint="eastAsia"/>
                      <w:lang w:val="en-US" w:eastAsia="zh-CN"/>
                    </w:rPr>
                    <w:t>15</w:t>
                  </w:r>
                </w:p>
              </w:tc>
              <w:tc>
                <w:tcPr>
                  <w:tcW w:w="2265" w:type="dxa"/>
                  <w:tcBorders>
                    <w:tl2br w:val="nil"/>
                    <w:tr2bl w:val="nil"/>
                  </w:tcBorders>
                  <w:noWrap w:val="0"/>
                  <w:vAlign w:val="center"/>
                </w:tcPr>
                <w:p w14:paraId="59AC4A76">
                  <w:pPr>
                    <w:pStyle w:val="14"/>
                    <w:bidi w:val="0"/>
                    <w:jc w:val="center"/>
                    <w:rPr>
                      <w:rFonts w:hint="default"/>
                      <w:lang w:val="en-US" w:eastAsia="zh-CN"/>
                    </w:rPr>
                  </w:pPr>
                  <w:r>
                    <w:rPr>
                      <w:rFonts w:hint="eastAsia"/>
                      <w:lang w:eastAsia="zh-CN"/>
                    </w:rPr>
                    <w:t>氨含量</w:t>
                  </w:r>
                  <w:r>
                    <w:rPr>
                      <w:rFonts w:hint="eastAsia"/>
                      <w:lang w:val="en-US" w:eastAsia="zh-CN"/>
                    </w:rPr>
                    <w:t>25%</w:t>
                  </w:r>
                </w:p>
              </w:tc>
              <w:tc>
                <w:tcPr>
                  <w:tcW w:w="1110" w:type="dxa"/>
                  <w:vMerge w:val="continue"/>
                  <w:tcBorders>
                    <w:tl2br w:val="nil"/>
                    <w:tr2bl w:val="nil"/>
                  </w:tcBorders>
                  <w:noWrap w:val="0"/>
                  <w:vAlign w:val="center"/>
                </w:tcPr>
                <w:p w14:paraId="36FB8D34">
                  <w:pPr>
                    <w:pStyle w:val="14"/>
                    <w:bidi w:val="0"/>
                    <w:jc w:val="center"/>
                    <w:rPr>
                      <w:rFonts w:hint="eastAsia"/>
                      <w:lang w:val="en-US" w:eastAsia="zh-CN"/>
                    </w:rPr>
                  </w:pPr>
                </w:p>
              </w:tc>
              <w:tc>
                <w:tcPr>
                  <w:tcW w:w="1710" w:type="dxa"/>
                  <w:vMerge w:val="continue"/>
                  <w:tcBorders>
                    <w:tl2br w:val="nil"/>
                    <w:tr2bl w:val="nil"/>
                  </w:tcBorders>
                  <w:noWrap w:val="0"/>
                  <w:vAlign w:val="center"/>
                </w:tcPr>
                <w:p w14:paraId="1DAB071B">
                  <w:pPr>
                    <w:pStyle w:val="14"/>
                    <w:bidi w:val="0"/>
                    <w:jc w:val="center"/>
                    <w:rPr>
                      <w:rFonts w:hint="eastAsia"/>
                      <w:lang w:eastAsia="zh-CN"/>
                    </w:rPr>
                  </w:pPr>
                </w:p>
              </w:tc>
              <w:tc>
                <w:tcPr>
                  <w:tcW w:w="1410" w:type="dxa"/>
                  <w:tcBorders>
                    <w:tl2br w:val="nil"/>
                    <w:tr2bl w:val="nil"/>
                  </w:tcBorders>
                  <w:noWrap w:val="0"/>
                  <w:vAlign w:val="center"/>
                </w:tcPr>
                <w:p w14:paraId="2B7581AB">
                  <w:pPr>
                    <w:pStyle w:val="14"/>
                    <w:bidi w:val="0"/>
                    <w:jc w:val="center"/>
                    <w:rPr>
                      <w:rFonts w:hint="default"/>
                      <w:lang w:val="en-US" w:eastAsia="zh-CN"/>
                    </w:rPr>
                  </w:pPr>
                  <w:r>
                    <w:rPr>
                      <w:rFonts w:hint="eastAsia"/>
                      <w:lang w:val="en-US" w:eastAsia="zh-CN"/>
                    </w:rPr>
                    <w:t>3.75</w:t>
                  </w:r>
                </w:p>
              </w:tc>
            </w:tr>
            <w:tr w14:paraId="39793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4903" w:type="dxa"/>
                  <w:gridSpan w:val="3"/>
                  <w:tcBorders>
                    <w:tl2br w:val="nil"/>
                    <w:tr2bl w:val="nil"/>
                  </w:tcBorders>
                  <w:noWrap w:val="0"/>
                  <w:vAlign w:val="center"/>
                </w:tcPr>
                <w:p w14:paraId="0DE6F0F6">
                  <w:pPr>
                    <w:pStyle w:val="14"/>
                    <w:bidi w:val="0"/>
                    <w:jc w:val="center"/>
                    <w:rPr>
                      <w:rFonts w:hint="eastAsia"/>
                      <w:lang w:eastAsia="zh-CN"/>
                    </w:rPr>
                  </w:pPr>
                  <w:r>
                    <w:rPr>
                      <w:rFonts w:hint="eastAsia"/>
                      <w:lang w:eastAsia="zh-CN"/>
                    </w:rPr>
                    <w:t>全厂合计</w:t>
                  </w:r>
                </w:p>
              </w:tc>
              <w:tc>
                <w:tcPr>
                  <w:tcW w:w="1110" w:type="dxa"/>
                  <w:vMerge w:val="continue"/>
                  <w:tcBorders>
                    <w:tl2br w:val="nil"/>
                    <w:tr2bl w:val="nil"/>
                  </w:tcBorders>
                  <w:noWrap w:val="0"/>
                  <w:vAlign w:val="center"/>
                </w:tcPr>
                <w:p w14:paraId="2D3F044E">
                  <w:pPr>
                    <w:pStyle w:val="14"/>
                    <w:bidi w:val="0"/>
                    <w:jc w:val="center"/>
                    <w:rPr>
                      <w:rFonts w:hint="eastAsia"/>
                      <w:lang w:val="en-US" w:eastAsia="zh-CN"/>
                    </w:rPr>
                  </w:pPr>
                </w:p>
              </w:tc>
              <w:tc>
                <w:tcPr>
                  <w:tcW w:w="1710" w:type="dxa"/>
                  <w:vMerge w:val="continue"/>
                  <w:tcBorders>
                    <w:tl2br w:val="nil"/>
                    <w:tr2bl w:val="nil"/>
                  </w:tcBorders>
                  <w:noWrap w:val="0"/>
                  <w:vAlign w:val="center"/>
                </w:tcPr>
                <w:p w14:paraId="7C1392B2">
                  <w:pPr>
                    <w:pStyle w:val="14"/>
                    <w:bidi w:val="0"/>
                    <w:jc w:val="center"/>
                    <w:rPr>
                      <w:rFonts w:hint="eastAsia"/>
                      <w:lang w:eastAsia="zh-CN"/>
                    </w:rPr>
                  </w:pPr>
                </w:p>
              </w:tc>
              <w:tc>
                <w:tcPr>
                  <w:tcW w:w="1410" w:type="dxa"/>
                  <w:tcBorders>
                    <w:tl2br w:val="nil"/>
                    <w:tr2bl w:val="nil"/>
                  </w:tcBorders>
                  <w:noWrap w:val="0"/>
                  <w:vAlign w:val="center"/>
                </w:tcPr>
                <w:p w14:paraId="6111700A">
                  <w:pPr>
                    <w:pStyle w:val="14"/>
                    <w:bidi w:val="0"/>
                    <w:jc w:val="center"/>
                    <w:rPr>
                      <w:rFonts w:hint="default"/>
                      <w:lang w:val="en-US" w:eastAsia="zh-CN"/>
                    </w:rPr>
                  </w:pPr>
                  <w:r>
                    <w:rPr>
                      <w:rFonts w:hint="eastAsia"/>
                      <w:lang w:val="en-US" w:eastAsia="zh-CN"/>
                    </w:rPr>
                    <w:t>5.75</w:t>
                  </w:r>
                </w:p>
              </w:tc>
            </w:tr>
          </w:tbl>
          <w:p w14:paraId="36DE5B01">
            <w:pPr>
              <w:adjustRightInd w:val="0"/>
              <w:snapToGrid w:val="0"/>
              <w:spacing w:line="240" w:lineRule="auto"/>
              <w:jc w:val="left"/>
              <w:rPr>
                <w:rFonts w:hint="eastAsia" w:ascii="Times New Roman" w:hAnsi="Times New Roman" w:eastAsia="宋体" w:cs="Times New Roman"/>
                <w:bCs/>
                <w:sz w:val="24"/>
                <w:szCs w:val="24"/>
                <w:lang w:eastAsia="zh-CN"/>
              </w:rPr>
            </w:pPr>
          </w:p>
          <w:p w14:paraId="5AF43364">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本项目原材料液氨的氨含量达到《液体无水氨》（GB/T536-2017）表1的合格品要求，即氨含量</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99%，见前文表</w:t>
            </w:r>
            <w:r>
              <w:rPr>
                <w:rFonts w:hint="eastAsia" w:ascii="Times New Roman" w:hAnsi="Times New Roman" w:eastAsia="宋体" w:cs="Times New Roman"/>
                <w:bCs/>
                <w:sz w:val="24"/>
                <w:szCs w:val="24"/>
                <w:lang w:val="en-US" w:eastAsia="zh-CN"/>
              </w:rPr>
              <w:t>2-4。</w:t>
            </w:r>
          </w:p>
          <w:p w14:paraId="1AF07A34">
            <w:pPr>
              <w:adjustRightInd w:val="0"/>
              <w:snapToGrid w:val="0"/>
              <w:spacing w:line="360" w:lineRule="auto"/>
              <w:ind w:firstLine="480" w:firstLineChars="200"/>
              <w:jc w:val="left"/>
              <w:rPr>
                <w:rFonts w:ascii="Times New Roman" w:hAnsi="Times New Roman" w:eastAsia="宋体" w:cs="Times New Roman"/>
                <w:b/>
                <w:kern w:val="24"/>
                <w:sz w:val="24"/>
                <w:szCs w:val="20"/>
                <w:lang w:val="en-US" w:eastAsia="zh-CN" w:bidi="ar-SA"/>
              </w:rPr>
            </w:pPr>
            <w:r>
              <w:rPr>
                <w:rFonts w:hint="eastAsia" w:ascii="Times New Roman" w:hAnsi="Times New Roman" w:eastAsia="宋体" w:cs="Times New Roman"/>
                <w:bCs/>
                <w:sz w:val="24"/>
                <w:szCs w:val="24"/>
                <w:lang w:val="en-US" w:eastAsia="zh-CN"/>
              </w:rPr>
              <w:t>液氨的MSDS见附件</w:t>
            </w:r>
            <w:r>
              <w:rPr>
                <w:rFonts w:hint="eastAsia" w:cs="Times New Roman"/>
                <w:bCs/>
                <w:sz w:val="24"/>
                <w:szCs w:val="24"/>
                <w:lang w:val="en-US" w:eastAsia="zh-CN"/>
              </w:rPr>
              <w:t>8</w:t>
            </w:r>
            <w:r>
              <w:rPr>
                <w:rFonts w:hint="eastAsia" w:ascii="Times New Roman" w:hAnsi="Times New Roman" w:eastAsia="宋体" w:cs="Times New Roman"/>
                <w:bCs/>
                <w:sz w:val="24"/>
                <w:szCs w:val="24"/>
                <w:lang w:val="en-US" w:eastAsia="zh-CN"/>
              </w:rPr>
              <w:t>，氨水的MSDS见附件</w:t>
            </w:r>
            <w:r>
              <w:rPr>
                <w:rFonts w:hint="eastAsia" w:cs="Times New Roman"/>
                <w:bCs/>
                <w:sz w:val="24"/>
                <w:szCs w:val="24"/>
                <w:lang w:val="en-US" w:eastAsia="zh-CN"/>
              </w:rPr>
              <w:t>9</w:t>
            </w:r>
            <w:r>
              <w:rPr>
                <w:rFonts w:hint="eastAsia" w:ascii="Times New Roman" w:hAnsi="Times New Roman" w:eastAsia="宋体" w:cs="Times New Roman"/>
                <w:bCs/>
                <w:sz w:val="24"/>
                <w:szCs w:val="24"/>
                <w:lang w:val="en-US" w:eastAsia="zh-CN"/>
              </w:rPr>
              <w:t>。</w:t>
            </w:r>
          </w:p>
          <w:p w14:paraId="5BF482CA">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r>
              <w:rPr>
                <w:rFonts w:ascii="Times New Roman" w:hAnsi="Times New Roman" w:eastAsia="宋体" w:cs="Times New Roman"/>
                <w:b/>
                <w:kern w:val="24"/>
                <w:sz w:val="24"/>
                <w:szCs w:val="20"/>
                <w:lang w:val="en-US" w:eastAsia="zh-CN" w:bidi="ar-SA"/>
              </w:rPr>
              <w:t>表</w:t>
            </w:r>
            <w:r>
              <w:rPr>
                <w:rFonts w:hint="eastAsia" w:ascii="Times New Roman" w:hAnsi="Times New Roman" w:eastAsia="宋体" w:cs="Times New Roman"/>
                <w:b/>
                <w:kern w:val="24"/>
                <w:sz w:val="24"/>
                <w:szCs w:val="20"/>
                <w:lang w:val="en-US" w:eastAsia="zh-CN" w:bidi="ar-SA"/>
              </w:rPr>
              <w:t>2-7</w:t>
            </w:r>
            <w:r>
              <w:rPr>
                <w:rFonts w:ascii="Times New Roman" w:hAnsi="Times New Roman" w:eastAsia="宋体" w:cs="Times New Roman"/>
                <w:b/>
                <w:kern w:val="24"/>
                <w:sz w:val="24"/>
                <w:szCs w:val="20"/>
                <w:lang w:val="en-US" w:eastAsia="zh-CN" w:bidi="ar-SA"/>
              </w:rPr>
              <w:t xml:space="preserve"> 液氨理化性质和毒性一览表</w:t>
            </w:r>
          </w:p>
          <w:tbl>
            <w:tblPr>
              <w:tblStyle w:val="11"/>
              <w:tblW w:w="92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690"/>
              <w:gridCol w:w="1397"/>
              <w:gridCol w:w="1202"/>
              <w:gridCol w:w="906"/>
              <w:gridCol w:w="997"/>
              <w:gridCol w:w="892"/>
              <w:gridCol w:w="132"/>
              <w:gridCol w:w="2183"/>
              <w:gridCol w:w="819"/>
            </w:tblGrid>
            <w:tr w14:paraId="18748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1" w:hRule="atLeast"/>
                <w:jc w:val="center"/>
              </w:trPr>
              <w:tc>
                <w:tcPr>
                  <w:tcW w:w="690" w:type="dxa"/>
                  <w:vMerge w:val="restart"/>
                  <w:tcBorders>
                    <w:tl2br w:val="nil"/>
                    <w:tr2bl w:val="nil"/>
                  </w:tcBorders>
                  <w:vAlign w:val="center"/>
                </w:tcPr>
                <w:p w14:paraId="2BB0AA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标识</w:t>
                  </w:r>
                </w:p>
              </w:tc>
              <w:tc>
                <w:tcPr>
                  <w:tcW w:w="5394" w:type="dxa"/>
                  <w:gridSpan w:val="5"/>
                  <w:tcBorders>
                    <w:tl2br w:val="nil"/>
                    <w:tr2bl w:val="nil"/>
                  </w:tcBorders>
                  <w:vAlign w:val="center"/>
                </w:tcPr>
                <w:p w14:paraId="4F7186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中文名：液氨</w:t>
                  </w:r>
                </w:p>
              </w:tc>
              <w:tc>
                <w:tcPr>
                  <w:tcW w:w="3134" w:type="dxa"/>
                  <w:gridSpan w:val="3"/>
                  <w:tcBorders>
                    <w:tl2br w:val="nil"/>
                    <w:tr2bl w:val="nil"/>
                  </w:tcBorders>
                  <w:vAlign w:val="center"/>
                </w:tcPr>
                <w:p w14:paraId="7FD190E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危险货物编号：</w:t>
                  </w:r>
                  <w:r>
                    <w:rPr>
                      <w:rFonts w:ascii="Times New Roman" w:hAnsi="Times New Roman" w:eastAsia="宋体" w:cs="Times New Roman"/>
                      <w:kern w:val="2"/>
                      <w:sz w:val="21"/>
                      <w:szCs w:val="24"/>
                      <w:lang w:val="en-US" w:eastAsia="zh-CN" w:bidi="ar-SA"/>
                    </w:rPr>
                    <w:t>23003</w:t>
                  </w:r>
                </w:p>
              </w:tc>
            </w:tr>
            <w:tr w14:paraId="60D677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7063F3B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5394" w:type="dxa"/>
                  <w:gridSpan w:val="5"/>
                  <w:tcBorders>
                    <w:tl2br w:val="nil"/>
                    <w:tr2bl w:val="nil"/>
                  </w:tcBorders>
                  <w:vAlign w:val="center"/>
                </w:tcPr>
                <w:p w14:paraId="01F9D78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英文名：</w:t>
                  </w:r>
                  <w:r>
                    <w:rPr>
                      <w:rFonts w:ascii="Times New Roman" w:hAnsi="Times New Roman" w:eastAsia="宋体" w:cs="Times New Roman"/>
                      <w:kern w:val="2"/>
                      <w:sz w:val="21"/>
                      <w:szCs w:val="24"/>
                      <w:lang w:val="en-US" w:eastAsia="zh-CN" w:bidi="ar-SA"/>
                    </w:rPr>
                    <w:t>ammonia</w:t>
                  </w:r>
                </w:p>
              </w:tc>
              <w:tc>
                <w:tcPr>
                  <w:tcW w:w="3134" w:type="dxa"/>
                  <w:gridSpan w:val="3"/>
                  <w:tcBorders>
                    <w:tl2br w:val="nil"/>
                    <w:tr2bl w:val="nil"/>
                  </w:tcBorders>
                  <w:vAlign w:val="center"/>
                </w:tcPr>
                <w:p w14:paraId="560F6CC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UN</w:t>
                  </w:r>
                  <w:r>
                    <w:rPr>
                      <w:rFonts w:hint="eastAsia" w:ascii="Times New Roman" w:hAnsi="Times New Roman" w:eastAsia="宋体" w:cs="Times New Roman"/>
                      <w:kern w:val="2"/>
                      <w:sz w:val="21"/>
                      <w:szCs w:val="24"/>
                      <w:lang w:val="en-US" w:eastAsia="zh-CN" w:bidi="ar-SA"/>
                    </w:rPr>
                    <w:t>编号：</w:t>
                  </w:r>
                  <w:r>
                    <w:rPr>
                      <w:rFonts w:ascii="Times New Roman" w:hAnsi="Times New Roman" w:eastAsia="宋体" w:cs="Times New Roman"/>
                      <w:kern w:val="2"/>
                      <w:sz w:val="21"/>
                      <w:szCs w:val="24"/>
                      <w:lang w:val="en-US" w:eastAsia="zh-CN" w:bidi="ar-SA"/>
                    </w:rPr>
                    <w:t>1005</w:t>
                  </w:r>
                </w:p>
              </w:tc>
            </w:tr>
            <w:tr w14:paraId="7C4F0D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75A01D3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2599" w:type="dxa"/>
                  <w:gridSpan w:val="2"/>
                  <w:tcBorders>
                    <w:tl2br w:val="nil"/>
                    <w:tr2bl w:val="nil"/>
                  </w:tcBorders>
                  <w:vAlign w:val="center"/>
                </w:tcPr>
                <w:p w14:paraId="1D855A4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分子式：</w:t>
                  </w:r>
                  <w:r>
                    <w:rPr>
                      <w:rFonts w:ascii="Times New Roman" w:hAnsi="Times New Roman" w:eastAsia="宋体" w:cs="Times New Roman"/>
                      <w:kern w:val="2"/>
                      <w:sz w:val="21"/>
                      <w:szCs w:val="24"/>
                      <w:lang w:val="en-US" w:eastAsia="zh-CN" w:bidi="ar-SA"/>
                    </w:rPr>
                    <w:t>NH</w:t>
                  </w:r>
                  <w:r>
                    <w:rPr>
                      <w:rFonts w:ascii="Times New Roman" w:hAnsi="Times New Roman" w:eastAsia="宋体" w:cs="Times New Roman"/>
                      <w:kern w:val="2"/>
                      <w:sz w:val="21"/>
                      <w:szCs w:val="24"/>
                      <w:vertAlign w:val="subscript"/>
                      <w:lang w:val="en-US" w:eastAsia="zh-CN" w:bidi="ar-SA"/>
                    </w:rPr>
                    <w:t>3</w:t>
                  </w:r>
                </w:p>
              </w:tc>
              <w:tc>
                <w:tcPr>
                  <w:tcW w:w="2795" w:type="dxa"/>
                  <w:gridSpan w:val="3"/>
                  <w:tcBorders>
                    <w:tl2br w:val="nil"/>
                    <w:tr2bl w:val="nil"/>
                  </w:tcBorders>
                  <w:vAlign w:val="center"/>
                </w:tcPr>
                <w:p w14:paraId="5022D21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分子量：</w:t>
                  </w:r>
                  <w:r>
                    <w:rPr>
                      <w:rFonts w:ascii="Times New Roman" w:hAnsi="Times New Roman" w:eastAsia="宋体" w:cs="Times New Roman"/>
                      <w:kern w:val="2"/>
                      <w:sz w:val="21"/>
                      <w:szCs w:val="24"/>
                      <w:lang w:val="en-US" w:eastAsia="zh-CN" w:bidi="ar-SA"/>
                    </w:rPr>
                    <w:t>17.03</w:t>
                  </w:r>
                </w:p>
              </w:tc>
              <w:tc>
                <w:tcPr>
                  <w:tcW w:w="3134" w:type="dxa"/>
                  <w:gridSpan w:val="3"/>
                  <w:tcBorders>
                    <w:tl2br w:val="nil"/>
                    <w:tr2bl w:val="nil"/>
                  </w:tcBorders>
                  <w:vAlign w:val="center"/>
                </w:tcPr>
                <w:p w14:paraId="199418B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CAS</w:t>
                  </w:r>
                  <w:r>
                    <w:rPr>
                      <w:rFonts w:hint="eastAsia" w:ascii="Times New Roman" w:hAnsi="Times New Roman" w:eastAsia="宋体" w:cs="Times New Roman"/>
                      <w:kern w:val="2"/>
                      <w:sz w:val="21"/>
                      <w:szCs w:val="24"/>
                      <w:lang w:val="en-US" w:eastAsia="zh-CN" w:bidi="ar-SA"/>
                    </w:rPr>
                    <w:t>号：</w:t>
                  </w:r>
                  <w:r>
                    <w:rPr>
                      <w:rFonts w:ascii="Times New Roman" w:hAnsi="Times New Roman" w:eastAsia="宋体" w:cs="Times New Roman"/>
                      <w:kern w:val="2"/>
                      <w:sz w:val="21"/>
                      <w:szCs w:val="24"/>
                      <w:lang w:val="en-US" w:eastAsia="zh-CN" w:bidi="ar-SA"/>
                    </w:rPr>
                    <w:t>7664-41-7</w:t>
                  </w:r>
                </w:p>
              </w:tc>
            </w:tr>
            <w:tr w14:paraId="7B0804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restart"/>
                  <w:tcBorders>
                    <w:tl2br w:val="nil"/>
                    <w:tr2bl w:val="nil"/>
                  </w:tcBorders>
                  <w:vAlign w:val="center"/>
                </w:tcPr>
                <w:p w14:paraId="23C2D9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理化性质</w:t>
                  </w:r>
                </w:p>
              </w:tc>
              <w:tc>
                <w:tcPr>
                  <w:tcW w:w="2599" w:type="dxa"/>
                  <w:gridSpan w:val="2"/>
                  <w:tcBorders>
                    <w:tl2br w:val="nil"/>
                    <w:tr2bl w:val="nil"/>
                  </w:tcBorders>
                  <w:vAlign w:val="center"/>
                </w:tcPr>
                <w:p w14:paraId="416429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外观与性状</w:t>
                  </w:r>
                </w:p>
              </w:tc>
              <w:tc>
                <w:tcPr>
                  <w:tcW w:w="5929" w:type="dxa"/>
                  <w:gridSpan w:val="6"/>
                  <w:tcBorders>
                    <w:tl2br w:val="nil"/>
                    <w:tr2bl w:val="nil"/>
                  </w:tcBorders>
                  <w:vAlign w:val="center"/>
                </w:tcPr>
                <w:p w14:paraId="47452C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无色、有刺激性恶臭的气体。</w:t>
                  </w:r>
                </w:p>
              </w:tc>
            </w:tr>
            <w:tr w14:paraId="733040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5EB6019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605ED7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熔点（℃）</w:t>
                  </w:r>
                </w:p>
              </w:tc>
              <w:tc>
                <w:tcPr>
                  <w:tcW w:w="1202" w:type="dxa"/>
                  <w:tcBorders>
                    <w:tl2br w:val="nil"/>
                    <w:tr2bl w:val="nil"/>
                  </w:tcBorders>
                  <w:vAlign w:val="center"/>
                </w:tcPr>
                <w:p w14:paraId="5906072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-77.7</w:t>
                  </w:r>
                </w:p>
              </w:tc>
              <w:tc>
                <w:tcPr>
                  <w:tcW w:w="1903" w:type="dxa"/>
                  <w:gridSpan w:val="2"/>
                  <w:tcBorders>
                    <w:tl2br w:val="nil"/>
                    <w:tr2bl w:val="nil"/>
                  </w:tcBorders>
                  <w:vAlign w:val="center"/>
                </w:tcPr>
                <w:p w14:paraId="305556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相对密度（水</w:t>
                  </w:r>
                  <w:r>
                    <w:rPr>
                      <w:rFonts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w:t>
                  </w:r>
                </w:p>
              </w:tc>
              <w:tc>
                <w:tcPr>
                  <w:tcW w:w="892" w:type="dxa"/>
                  <w:tcBorders>
                    <w:tl2br w:val="nil"/>
                    <w:tr2bl w:val="nil"/>
                  </w:tcBorders>
                  <w:vAlign w:val="center"/>
                </w:tcPr>
                <w:p w14:paraId="7F884942">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0.6</w:t>
                  </w:r>
                  <w:r>
                    <w:rPr>
                      <w:rFonts w:hint="eastAsia" w:ascii="Times New Roman" w:hAnsi="Times New Roman" w:eastAsia="宋体" w:cs="Times New Roman"/>
                      <w:kern w:val="2"/>
                      <w:sz w:val="21"/>
                      <w:szCs w:val="24"/>
                      <w:lang w:val="en-US" w:eastAsia="zh-CN" w:bidi="ar-SA"/>
                    </w:rPr>
                    <w:t>02</w:t>
                  </w:r>
                </w:p>
              </w:tc>
              <w:tc>
                <w:tcPr>
                  <w:tcW w:w="2315" w:type="dxa"/>
                  <w:gridSpan w:val="2"/>
                  <w:tcBorders>
                    <w:tl2br w:val="nil"/>
                    <w:tr2bl w:val="nil"/>
                  </w:tcBorders>
                  <w:vAlign w:val="center"/>
                </w:tcPr>
                <w:p w14:paraId="367A1E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相对密度（空气</w:t>
                  </w:r>
                  <w:r>
                    <w:rPr>
                      <w:rFonts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w:t>
                  </w:r>
                </w:p>
              </w:tc>
              <w:tc>
                <w:tcPr>
                  <w:tcW w:w="819" w:type="dxa"/>
                  <w:tcBorders>
                    <w:tl2br w:val="nil"/>
                    <w:tr2bl w:val="nil"/>
                  </w:tcBorders>
                  <w:vAlign w:val="center"/>
                </w:tcPr>
                <w:p w14:paraId="7E2E2F9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0.59</w:t>
                  </w:r>
                </w:p>
              </w:tc>
            </w:tr>
            <w:tr w14:paraId="05E5FC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633705A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7C573D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沸点（℃）</w:t>
                  </w:r>
                </w:p>
              </w:tc>
              <w:tc>
                <w:tcPr>
                  <w:tcW w:w="1202" w:type="dxa"/>
                  <w:tcBorders>
                    <w:tl2br w:val="nil"/>
                    <w:tr2bl w:val="nil"/>
                  </w:tcBorders>
                  <w:vAlign w:val="center"/>
                </w:tcPr>
                <w:p w14:paraId="3F46E18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-33.5℃</w:t>
                  </w:r>
                </w:p>
              </w:tc>
              <w:tc>
                <w:tcPr>
                  <w:tcW w:w="2795" w:type="dxa"/>
                  <w:gridSpan w:val="3"/>
                  <w:tcBorders>
                    <w:tl2br w:val="nil"/>
                    <w:tr2bl w:val="nil"/>
                  </w:tcBorders>
                  <w:vAlign w:val="center"/>
                </w:tcPr>
                <w:p w14:paraId="07B8E1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饱和蒸气压（</w:t>
                  </w:r>
                  <w:r>
                    <w:rPr>
                      <w:rFonts w:ascii="Times New Roman" w:hAnsi="Times New Roman" w:eastAsia="宋体" w:cs="Times New Roman"/>
                      <w:kern w:val="2"/>
                      <w:sz w:val="21"/>
                      <w:szCs w:val="24"/>
                      <w:lang w:val="en-US" w:eastAsia="zh-CN" w:bidi="ar-SA"/>
                    </w:rPr>
                    <w:t>KPa</w:t>
                  </w:r>
                  <w:r>
                    <w:rPr>
                      <w:rFonts w:hint="eastAsia" w:ascii="Times New Roman" w:hAnsi="Times New Roman" w:eastAsia="宋体" w:cs="Times New Roman"/>
                      <w:kern w:val="2"/>
                      <w:sz w:val="21"/>
                      <w:szCs w:val="24"/>
                      <w:lang w:val="en-US" w:eastAsia="zh-CN" w:bidi="ar-SA"/>
                    </w:rPr>
                    <w:t>）</w:t>
                  </w:r>
                </w:p>
              </w:tc>
              <w:tc>
                <w:tcPr>
                  <w:tcW w:w="3134" w:type="dxa"/>
                  <w:gridSpan w:val="3"/>
                  <w:tcBorders>
                    <w:tl2br w:val="nil"/>
                    <w:tr2bl w:val="nil"/>
                  </w:tcBorders>
                  <w:vAlign w:val="center"/>
                </w:tcPr>
                <w:p w14:paraId="52ABAD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506.62</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4.7</w:t>
                  </w:r>
                  <w:r>
                    <w:rPr>
                      <w:rFonts w:hint="eastAsia" w:ascii="Times New Roman" w:hAnsi="Times New Roman" w:eastAsia="宋体" w:cs="Times New Roman"/>
                      <w:kern w:val="2"/>
                      <w:sz w:val="21"/>
                      <w:szCs w:val="24"/>
                      <w:lang w:val="en-US" w:eastAsia="zh-CN" w:bidi="ar-SA"/>
                    </w:rPr>
                    <w:t>℃）</w:t>
                  </w:r>
                </w:p>
              </w:tc>
            </w:tr>
            <w:tr w14:paraId="22DC1C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1C8F679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2599" w:type="dxa"/>
                  <w:gridSpan w:val="2"/>
                  <w:tcBorders>
                    <w:tl2br w:val="nil"/>
                    <w:tr2bl w:val="nil"/>
                  </w:tcBorders>
                  <w:vAlign w:val="center"/>
                </w:tcPr>
                <w:p w14:paraId="16F62E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溶解性</w:t>
                  </w:r>
                </w:p>
              </w:tc>
              <w:tc>
                <w:tcPr>
                  <w:tcW w:w="5929" w:type="dxa"/>
                  <w:gridSpan w:val="6"/>
                  <w:tcBorders>
                    <w:tl2br w:val="nil"/>
                    <w:tr2bl w:val="nil"/>
                  </w:tcBorders>
                  <w:vAlign w:val="center"/>
                </w:tcPr>
                <w:p w14:paraId="3A9F54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易溶于乙醇、乙醚。</w:t>
                  </w:r>
                </w:p>
              </w:tc>
            </w:tr>
            <w:tr w14:paraId="6C1439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restart"/>
                  <w:tcBorders>
                    <w:tl2br w:val="nil"/>
                    <w:tr2bl w:val="nil"/>
                  </w:tcBorders>
                  <w:vAlign w:val="center"/>
                </w:tcPr>
                <w:p w14:paraId="6BCF6B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毒性及健康危害</w:t>
                  </w:r>
                </w:p>
              </w:tc>
              <w:tc>
                <w:tcPr>
                  <w:tcW w:w="1397" w:type="dxa"/>
                  <w:tcBorders>
                    <w:tl2br w:val="nil"/>
                    <w:tr2bl w:val="nil"/>
                  </w:tcBorders>
                  <w:vAlign w:val="center"/>
                </w:tcPr>
                <w:p w14:paraId="5B6262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侵入途径</w:t>
                  </w:r>
                </w:p>
              </w:tc>
              <w:tc>
                <w:tcPr>
                  <w:tcW w:w="7131" w:type="dxa"/>
                  <w:gridSpan w:val="7"/>
                  <w:tcBorders>
                    <w:tl2br w:val="nil"/>
                    <w:tr2bl w:val="nil"/>
                  </w:tcBorders>
                  <w:vAlign w:val="center"/>
                </w:tcPr>
                <w:p w14:paraId="5F5F93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吸入、食入、经皮吸收。</w:t>
                  </w:r>
                </w:p>
              </w:tc>
            </w:tr>
            <w:tr w14:paraId="6D5506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16" w:hRule="atLeast"/>
                <w:jc w:val="center"/>
              </w:trPr>
              <w:tc>
                <w:tcPr>
                  <w:tcW w:w="690" w:type="dxa"/>
                  <w:vMerge w:val="continue"/>
                  <w:tcBorders>
                    <w:tl2br w:val="nil"/>
                    <w:tr2bl w:val="nil"/>
                  </w:tcBorders>
                  <w:vAlign w:val="center"/>
                </w:tcPr>
                <w:p w14:paraId="1476B5E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622805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w:t>
                  </w:r>
                </w:p>
              </w:tc>
              <w:tc>
                <w:tcPr>
                  <w:tcW w:w="7131" w:type="dxa"/>
                  <w:gridSpan w:val="7"/>
                  <w:tcBorders>
                    <w:tl2br w:val="nil"/>
                    <w:tr2bl w:val="nil"/>
                  </w:tcBorders>
                  <w:vAlign w:val="center"/>
                </w:tcPr>
                <w:p w14:paraId="3A7E946D">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LD50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350mg/kg(</w:t>
                  </w:r>
                  <w:r>
                    <w:rPr>
                      <w:rFonts w:hint="eastAsia" w:ascii="Times New Roman" w:hAnsi="Times New Roman" w:eastAsia="宋体" w:cs="Times New Roman"/>
                      <w:kern w:val="2"/>
                      <w:sz w:val="21"/>
                      <w:szCs w:val="24"/>
                      <w:lang w:val="en-US" w:eastAsia="zh-CN" w:bidi="ar-SA"/>
                    </w:rPr>
                    <w:t>大鼠经口</w:t>
                  </w:r>
                  <w:r>
                    <w:rPr>
                      <w:rFonts w:ascii="Times New Roman" w:hAnsi="Times New Roman" w:eastAsia="宋体" w:cs="Times New Roman"/>
                      <w:kern w:val="2"/>
                      <w:sz w:val="21"/>
                      <w:szCs w:val="24"/>
                      <w:lang w:val="en-US" w:eastAsia="zh-CN" w:bidi="ar-SA"/>
                    </w:rPr>
                    <w:t>)</w:t>
                  </w:r>
                </w:p>
                <w:p w14:paraId="6FC7C976">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LC50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1390mg/m</w:t>
                  </w:r>
                  <w:r>
                    <w:rPr>
                      <w:rFonts w:ascii="Times New Roman" w:hAnsi="Times New Roman" w:eastAsia="宋体" w:cs="Times New Roman"/>
                      <w:kern w:val="2"/>
                      <w:sz w:val="21"/>
                      <w:szCs w:val="24"/>
                      <w:vertAlign w:val="superscript"/>
                      <w:lang w:val="en-US" w:eastAsia="zh-CN" w:bidi="ar-SA"/>
                    </w:rPr>
                    <w:t>3</w:t>
                  </w:r>
                  <w:r>
                    <w:rPr>
                      <w:rFonts w:ascii="Times New Roman" w:hAnsi="Times New Roman" w:eastAsia="宋体" w:cs="Times New Roman"/>
                      <w:kern w:val="2"/>
                      <w:sz w:val="21"/>
                      <w:szCs w:val="24"/>
                      <w:lang w:val="en-US" w:eastAsia="zh-CN" w:bidi="ar-SA"/>
                    </w:rPr>
                    <w:t>4</w:t>
                  </w:r>
                  <w:r>
                    <w:rPr>
                      <w:rFonts w:hint="eastAsia" w:ascii="Times New Roman" w:hAnsi="Times New Roman" w:eastAsia="宋体" w:cs="Times New Roman"/>
                      <w:kern w:val="2"/>
                      <w:sz w:val="21"/>
                      <w:szCs w:val="24"/>
                      <w:lang w:val="en-US" w:eastAsia="zh-CN" w:bidi="ar-SA"/>
                    </w:rPr>
                    <w:t>小时</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大鼠吸入</w:t>
                  </w:r>
                  <w:r>
                    <w:rPr>
                      <w:rFonts w:ascii="Times New Roman" w:hAnsi="Times New Roman" w:eastAsia="宋体" w:cs="Times New Roman"/>
                      <w:kern w:val="2"/>
                      <w:sz w:val="21"/>
                      <w:szCs w:val="24"/>
                      <w:lang w:val="en-US" w:eastAsia="zh-CN" w:bidi="ar-SA"/>
                    </w:rPr>
                    <w:t>)</w:t>
                  </w:r>
                </w:p>
                <w:p w14:paraId="1D0CCC0A">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PAC-1</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770mg/m</w:t>
                  </w:r>
                  <w:r>
                    <w:rPr>
                      <w:rFonts w:ascii="Times New Roman" w:hAnsi="Times New Roman" w:eastAsia="宋体" w:cs="Times New Roman"/>
                      <w:kern w:val="2"/>
                      <w:sz w:val="21"/>
                      <w:szCs w:val="24"/>
                      <w:vertAlign w:val="superscript"/>
                      <w:lang w:val="en-US" w:eastAsia="zh-CN" w:bidi="ar-SA"/>
                    </w:rPr>
                    <w:t>3</w:t>
                  </w:r>
                </w:p>
                <w:p w14:paraId="706E0499">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PAC-2</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110mg/m</w:t>
                  </w:r>
                  <w:r>
                    <w:rPr>
                      <w:rFonts w:ascii="Times New Roman" w:hAnsi="Times New Roman" w:eastAsia="宋体" w:cs="Times New Roman"/>
                      <w:kern w:val="2"/>
                      <w:sz w:val="21"/>
                      <w:szCs w:val="24"/>
                      <w:vertAlign w:val="superscript"/>
                      <w:lang w:val="en-US" w:eastAsia="zh-CN" w:bidi="ar-SA"/>
                    </w:rPr>
                    <w:t>3</w:t>
                  </w:r>
                </w:p>
                <w:p w14:paraId="52945D6B">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立即威胁生命和健康浓度（</w:t>
                  </w:r>
                  <w:r>
                    <w:rPr>
                      <w:rFonts w:ascii="Times New Roman" w:hAnsi="Times New Roman" w:eastAsia="宋体" w:cs="Times New Roman"/>
                      <w:kern w:val="2"/>
                      <w:sz w:val="21"/>
                      <w:szCs w:val="24"/>
                      <w:lang w:val="en-US" w:eastAsia="zh-CN" w:bidi="ar-SA"/>
                    </w:rPr>
                    <w:t>IDLH</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360mg/m</w:t>
                  </w:r>
                  <w:r>
                    <w:rPr>
                      <w:rFonts w:ascii="Times New Roman" w:hAnsi="Times New Roman" w:eastAsia="宋体" w:cs="Times New Roman"/>
                      <w:kern w:val="2"/>
                      <w:sz w:val="21"/>
                      <w:szCs w:val="24"/>
                      <w:vertAlign w:val="superscript"/>
                      <w:lang w:val="en-US" w:eastAsia="zh-CN" w:bidi="ar-SA"/>
                    </w:rPr>
                    <w:t>3</w:t>
                  </w:r>
                </w:p>
                <w:p w14:paraId="4F4F23EB">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最高短时允许接触浓度（</w:t>
                  </w:r>
                  <w:r>
                    <w:rPr>
                      <w:rFonts w:ascii="Times New Roman" w:hAnsi="Times New Roman" w:eastAsia="宋体" w:cs="Times New Roman"/>
                      <w:kern w:val="2"/>
                      <w:sz w:val="21"/>
                      <w:szCs w:val="24"/>
                      <w:lang w:val="en-US" w:eastAsia="zh-CN" w:bidi="ar-SA"/>
                    </w:rPr>
                    <w:t>MAC</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30mg/m</w:t>
                  </w:r>
                  <w:r>
                    <w:rPr>
                      <w:rFonts w:ascii="Times New Roman" w:hAnsi="Times New Roman" w:eastAsia="宋体" w:cs="Times New Roman"/>
                      <w:kern w:val="2"/>
                      <w:sz w:val="21"/>
                      <w:szCs w:val="24"/>
                      <w:vertAlign w:val="superscript"/>
                      <w:lang w:val="en-US" w:eastAsia="zh-CN" w:bidi="ar-SA"/>
                    </w:rPr>
                    <w:t>3</w:t>
                  </w:r>
                </w:p>
              </w:tc>
            </w:tr>
            <w:tr w14:paraId="5F7801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84" w:hRule="atLeast"/>
                <w:jc w:val="center"/>
              </w:trPr>
              <w:tc>
                <w:tcPr>
                  <w:tcW w:w="690" w:type="dxa"/>
                  <w:vMerge w:val="continue"/>
                  <w:tcBorders>
                    <w:tl2br w:val="nil"/>
                    <w:tr2bl w:val="nil"/>
                  </w:tcBorders>
                  <w:vAlign w:val="center"/>
                </w:tcPr>
                <w:p w14:paraId="4FBE54F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709836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健康危害</w:t>
                  </w:r>
                </w:p>
              </w:tc>
              <w:tc>
                <w:tcPr>
                  <w:tcW w:w="7131" w:type="dxa"/>
                  <w:gridSpan w:val="7"/>
                  <w:tcBorders>
                    <w:tl2br w:val="nil"/>
                    <w:tr2bl w:val="nil"/>
                  </w:tcBorders>
                  <w:vAlign w:val="center"/>
                </w:tcPr>
                <w:p w14:paraId="1A1210B7">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低浓度氨对粘膜有刺激作用，高浓度可造成组织溶解坏死。</w:t>
                  </w:r>
                </w:p>
                <w:p w14:paraId="42666664">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急性中毒：轻度者出现流泪、咽痛、声音嘶哑、咳嗽等；眼结膜、鼻粘膜、咽部充血、水肿；胸部</w:t>
                  </w:r>
                  <w:r>
                    <w:rPr>
                      <w:rFonts w:ascii="Times New Roman" w:hAnsi="Times New Roman" w:eastAsia="宋体" w:cs="Times New Roman"/>
                      <w:kern w:val="2"/>
                      <w:sz w:val="21"/>
                      <w:szCs w:val="24"/>
                      <w:lang w:val="en-US" w:eastAsia="zh-CN" w:bidi="ar-SA"/>
                    </w:rPr>
                    <w:t>X</w:t>
                  </w:r>
                  <w:r>
                    <w:rPr>
                      <w:rFonts w:hint="eastAsia" w:ascii="Times New Roman" w:hAnsi="Times New Roman" w:eastAsia="宋体" w:cs="Times New Roman"/>
                      <w:kern w:val="2"/>
                      <w:sz w:val="21"/>
                      <w:szCs w:val="24"/>
                      <w:lang w:val="en-US" w:eastAsia="zh-CN" w:bidi="ar-SA"/>
                    </w:rPr>
                    <w:t>线征象符合支气管炎或支气管周围炎。中度中毒上述症状加剧，出现呼吸困难；胸部</w:t>
                  </w:r>
                  <w:r>
                    <w:rPr>
                      <w:rFonts w:ascii="Times New Roman" w:hAnsi="Times New Roman" w:eastAsia="宋体" w:cs="Times New Roman"/>
                      <w:kern w:val="2"/>
                      <w:sz w:val="21"/>
                      <w:szCs w:val="24"/>
                      <w:lang w:val="en-US" w:eastAsia="zh-CN" w:bidi="ar-SA"/>
                    </w:rPr>
                    <w:t>X</w:t>
                  </w:r>
                  <w:r>
                    <w:rPr>
                      <w:rFonts w:hint="eastAsia" w:ascii="Times New Roman" w:hAnsi="Times New Roman" w:eastAsia="宋体" w:cs="Times New Roman"/>
                      <w:kern w:val="2"/>
                      <w:sz w:val="21"/>
                      <w:szCs w:val="24"/>
                      <w:lang w:val="en-US" w:eastAsia="zh-CN" w:bidi="ar-SA"/>
                    </w:rPr>
                    <w:t>线征象符合肺炎或间质性肺炎。严重者可发生中毒性肺水肿，或有呼吸窘迫综合征，患者剧烈咳嗽、大量泡沫痰、呼吸窘迫、昏迷、休克等。可发生喉头水肿或支气管粘膜坏死脱落窒息。高浓度氨可引起反射性呼吸停止。液氨或高浓度氨可致眼灼伤；液氨可致皮肤灼伤。</w:t>
                  </w:r>
                </w:p>
              </w:tc>
            </w:tr>
            <w:tr w14:paraId="2EA785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16" w:hRule="atLeast"/>
                <w:jc w:val="center"/>
              </w:trPr>
              <w:tc>
                <w:tcPr>
                  <w:tcW w:w="690" w:type="dxa"/>
                  <w:vMerge w:val="continue"/>
                  <w:tcBorders>
                    <w:tl2br w:val="nil"/>
                    <w:tr2bl w:val="nil"/>
                  </w:tcBorders>
                  <w:vAlign w:val="center"/>
                </w:tcPr>
                <w:p w14:paraId="53A4CB2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42C11D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急救方法</w:t>
                  </w:r>
                </w:p>
              </w:tc>
              <w:tc>
                <w:tcPr>
                  <w:tcW w:w="7131" w:type="dxa"/>
                  <w:gridSpan w:val="7"/>
                  <w:tcBorders>
                    <w:tl2br w:val="nil"/>
                    <w:tr2bl w:val="nil"/>
                  </w:tcBorders>
                  <w:vAlign w:val="center"/>
                </w:tcPr>
                <w:p w14:paraId="7B1D8B29">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皮肤接触：立即脱去污染的衣着，应用</w:t>
                  </w:r>
                  <w:r>
                    <w:rPr>
                      <w:rFonts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en-US" w:eastAsia="zh-CN" w:bidi="ar-SA"/>
                    </w:rPr>
                    <w:t>硼酸液或大量清水彻底冲洗，就医。</w:t>
                  </w:r>
                </w:p>
                <w:p w14:paraId="6029D77D">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眼睛接触：立即提起眼睑，用大量流动清水或生理盐水彻底冲洗至少</w:t>
                  </w:r>
                  <w:r>
                    <w:rPr>
                      <w:rFonts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分钟，就医。</w:t>
                  </w:r>
                </w:p>
                <w:p w14:paraId="27EA27E4">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吸入：迅速脱离现场至空气新鲜处。保持呼吸道通畅。如呼吸困难，给输氧。如呼吸停止，立即进行人工呼吸，就医。</w:t>
                  </w:r>
                </w:p>
              </w:tc>
            </w:tr>
            <w:tr w14:paraId="45BEC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restart"/>
                  <w:tcBorders>
                    <w:tl2br w:val="nil"/>
                    <w:tr2bl w:val="nil"/>
                  </w:tcBorders>
                  <w:vAlign w:val="center"/>
                </w:tcPr>
                <w:p w14:paraId="3CBB17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燃烧爆炸危险性</w:t>
                  </w:r>
                </w:p>
              </w:tc>
              <w:tc>
                <w:tcPr>
                  <w:tcW w:w="1397" w:type="dxa"/>
                  <w:tcBorders>
                    <w:tl2br w:val="nil"/>
                    <w:tr2bl w:val="nil"/>
                  </w:tcBorders>
                  <w:vAlign w:val="center"/>
                </w:tcPr>
                <w:p w14:paraId="7F2FF7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燃烧性</w:t>
                  </w:r>
                </w:p>
              </w:tc>
              <w:tc>
                <w:tcPr>
                  <w:tcW w:w="2108" w:type="dxa"/>
                  <w:gridSpan w:val="2"/>
                  <w:tcBorders>
                    <w:tl2br w:val="nil"/>
                    <w:tr2bl w:val="nil"/>
                  </w:tcBorders>
                  <w:vAlign w:val="center"/>
                </w:tcPr>
                <w:p w14:paraId="76B064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易燃</w:t>
                  </w:r>
                </w:p>
              </w:tc>
              <w:tc>
                <w:tcPr>
                  <w:tcW w:w="2021" w:type="dxa"/>
                  <w:gridSpan w:val="3"/>
                  <w:tcBorders>
                    <w:tl2br w:val="nil"/>
                    <w:tr2bl w:val="nil"/>
                  </w:tcBorders>
                  <w:vAlign w:val="center"/>
                </w:tcPr>
                <w:p w14:paraId="5AB5A2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燃烧分解物</w:t>
                  </w:r>
                </w:p>
              </w:tc>
              <w:tc>
                <w:tcPr>
                  <w:tcW w:w="3002" w:type="dxa"/>
                  <w:gridSpan w:val="2"/>
                  <w:tcBorders>
                    <w:tl2br w:val="nil"/>
                    <w:tr2bl w:val="nil"/>
                  </w:tcBorders>
                  <w:vAlign w:val="center"/>
                </w:tcPr>
                <w:p w14:paraId="69762D3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r>
            <w:tr w14:paraId="6D88FA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7B56ACB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13B157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闪点（℃）</w:t>
                  </w:r>
                </w:p>
              </w:tc>
              <w:tc>
                <w:tcPr>
                  <w:tcW w:w="2108" w:type="dxa"/>
                  <w:gridSpan w:val="2"/>
                  <w:tcBorders>
                    <w:tl2br w:val="nil"/>
                    <w:tr2bl w:val="nil"/>
                  </w:tcBorders>
                  <w:vAlign w:val="center"/>
                </w:tcPr>
                <w:p w14:paraId="00BA210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021" w:type="dxa"/>
                  <w:gridSpan w:val="3"/>
                  <w:tcBorders>
                    <w:tl2br w:val="nil"/>
                    <w:tr2bl w:val="nil"/>
                  </w:tcBorders>
                  <w:vAlign w:val="center"/>
                </w:tcPr>
                <w:p w14:paraId="0D706F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爆炸上限（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02" w:type="dxa"/>
                  <w:gridSpan w:val="2"/>
                  <w:tcBorders>
                    <w:tl2br w:val="nil"/>
                    <w:tr2bl w:val="nil"/>
                  </w:tcBorders>
                  <w:vAlign w:val="center"/>
                </w:tcPr>
                <w:p w14:paraId="31D0253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27.4</w:t>
                  </w:r>
                </w:p>
              </w:tc>
            </w:tr>
            <w:tr w14:paraId="59CE72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58" w:hRule="atLeast"/>
                <w:jc w:val="center"/>
              </w:trPr>
              <w:tc>
                <w:tcPr>
                  <w:tcW w:w="690" w:type="dxa"/>
                  <w:vMerge w:val="continue"/>
                  <w:tcBorders>
                    <w:tl2br w:val="nil"/>
                    <w:tr2bl w:val="nil"/>
                  </w:tcBorders>
                  <w:vAlign w:val="center"/>
                </w:tcPr>
                <w:p w14:paraId="2EB0BFC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76A2CB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引燃温度（℃）</w:t>
                  </w:r>
                </w:p>
              </w:tc>
              <w:tc>
                <w:tcPr>
                  <w:tcW w:w="2108" w:type="dxa"/>
                  <w:gridSpan w:val="2"/>
                  <w:tcBorders>
                    <w:tl2br w:val="nil"/>
                    <w:tr2bl w:val="nil"/>
                  </w:tcBorders>
                  <w:vAlign w:val="center"/>
                </w:tcPr>
                <w:p w14:paraId="10830D0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651</w:t>
                  </w:r>
                </w:p>
              </w:tc>
              <w:tc>
                <w:tcPr>
                  <w:tcW w:w="2021" w:type="dxa"/>
                  <w:gridSpan w:val="3"/>
                  <w:tcBorders>
                    <w:tl2br w:val="nil"/>
                    <w:tr2bl w:val="nil"/>
                  </w:tcBorders>
                  <w:vAlign w:val="center"/>
                </w:tcPr>
                <w:p w14:paraId="2C59FA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爆炸下限（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02" w:type="dxa"/>
                  <w:gridSpan w:val="2"/>
                  <w:tcBorders>
                    <w:tl2br w:val="nil"/>
                    <w:tr2bl w:val="nil"/>
                  </w:tcBorders>
                  <w:vAlign w:val="center"/>
                </w:tcPr>
                <w:p w14:paraId="6691051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15.7</w:t>
                  </w:r>
                </w:p>
              </w:tc>
            </w:tr>
            <w:tr w14:paraId="0E2B91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13" w:hRule="atLeast"/>
                <w:jc w:val="center"/>
              </w:trPr>
              <w:tc>
                <w:tcPr>
                  <w:tcW w:w="690" w:type="dxa"/>
                  <w:vMerge w:val="continue"/>
                  <w:tcBorders>
                    <w:tl2br w:val="nil"/>
                    <w:tr2bl w:val="nil"/>
                  </w:tcBorders>
                  <w:vAlign w:val="center"/>
                </w:tcPr>
                <w:p w14:paraId="1F7E2B7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78EFEB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危险特性</w:t>
                  </w:r>
                </w:p>
              </w:tc>
              <w:tc>
                <w:tcPr>
                  <w:tcW w:w="7131" w:type="dxa"/>
                  <w:gridSpan w:val="7"/>
                  <w:tcBorders>
                    <w:tl2br w:val="nil"/>
                    <w:tr2bl w:val="nil"/>
                  </w:tcBorders>
                  <w:vAlign w:val="center"/>
                </w:tcPr>
                <w:p w14:paraId="685B3914">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与空气混合能形成爆炸性混合物。遇明火、高热能引起燃烧爆炸。与氟、氯等接触会发生剧烈的化学反应。若遇高热，容器内压增大，有开裂和爆炸的危险。</w:t>
                  </w:r>
                </w:p>
              </w:tc>
            </w:tr>
            <w:tr w14:paraId="0ACE7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81" w:hRule="atLeast"/>
                <w:jc w:val="center"/>
              </w:trPr>
              <w:tc>
                <w:tcPr>
                  <w:tcW w:w="690" w:type="dxa"/>
                  <w:vMerge w:val="continue"/>
                  <w:tcBorders>
                    <w:tl2br w:val="nil"/>
                    <w:tr2bl w:val="nil"/>
                  </w:tcBorders>
                  <w:vAlign w:val="center"/>
                </w:tcPr>
                <w:p w14:paraId="3352ED7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796742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储运条件与泄漏处理</w:t>
                  </w:r>
                </w:p>
              </w:tc>
              <w:tc>
                <w:tcPr>
                  <w:tcW w:w="7131" w:type="dxa"/>
                  <w:gridSpan w:val="7"/>
                  <w:tcBorders>
                    <w:tl2br w:val="nil"/>
                    <w:tr2bl w:val="nil"/>
                  </w:tcBorders>
                  <w:vAlign w:val="center"/>
                </w:tcPr>
                <w:p w14:paraId="3AC89116">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储运条件：储存在阴凉、通风良好的专用库房内或大型气柜，远离容易起火的地方。与氧化剂、酸类、卤素接触隔离储运。泄漏处理：切断火源，勿使其燃烧，同时关闭阀门等，制止</w:t>
                  </w:r>
                  <w:r>
                    <w:rPr>
                      <w:rFonts w:hint="eastAsia" w:ascii="Times New Roman" w:hAnsi="Times New Roman" w:eastAsia="宋体" w:cs="Times New Roman"/>
                      <w:kern w:val="2"/>
                      <w:sz w:val="21"/>
                      <w:szCs w:val="24"/>
                      <w:lang w:val="en-US" w:eastAsia="zh-CN" w:bidi="ar-SA"/>
                    </w:rPr>
                    <w:drawing>
                      <wp:inline distT="0" distB="0" distL="0" distR="0">
                        <wp:extent cx="127000" cy="120650"/>
                        <wp:effectExtent l="0" t="0" r="6350" b="12700"/>
                        <wp:docPr id="366" name="Image 366"/>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5" cstate="print"/>
                                <a:stretch>
                                  <a:fillRect/>
                                </a:stretch>
                              </pic:blipFill>
                              <pic:spPr>
                                <a:xfrm>
                                  <a:off x="0" y="0"/>
                                  <a:ext cx="127000" cy="120650"/>
                                </a:xfrm>
                                <a:prstGeom prst="rect">
                                  <a:avLst/>
                                </a:prstGeom>
                              </pic:spPr>
                            </pic:pic>
                          </a:graphicData>
                        </a:graphic>
                      </wp:inline>
                    </w:drawing>
                  </w:r>
                  <w:r>
                    <w:rPr>
                      <w:rFonts w:hint="eastAsia" w:ascii="Times New Roman" w:hAnsi="Times New Roman" w:eastAsia="宋体" w:cs="Times New Roman"/>
                      <w:kern w:val="2"/>
                      <w:sz w:val="21"/>
                      <w:szCs w:val="24"/>
                      <w:lang w:val="en-US" w:eastAsia="zh-CN" w:bidi="ar-SA"/>
                    </w:rPr>
                    <w:t>漏；并用雾状水保护阀门人员；操作时必须穿戴防毒面具与手套。对残余废气或钢瓶泄漏出气要用排风机排至空旷地方。</w:t>
                  </w:r>
                </w:p>
              </w:tc>
            </w:tr>
            <w:tr w14:paraId="7FA68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8" w:hRule="atLeast"/>
                <w:jc w:val="center"/>
              </w:trPr>
              <w:tc>
                <w:tcPr>
                  <w:tcW w:w="690" w:type="dxa"/>
                  <w:vMerge w:val="continue"/>
                  <w:tcBorders>
                    <w:tl2br w:val="nil"/>
                    <w:tr2bl w:val="nil"/>
                  </w:tcBorders>
                  <w:vAlign w:val="center"/>
                </w:tcPr>
                <w:p w14:paraId="5B25246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35FD64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灭火方法</w:t>
                  </w:r>
                </w:p>
              </w:tc>
              <w:tc>
                <w:tcPr>
                  <w:tcW w:w="7131" w:type="dxa"/>
                  <w:gridSpan w:val="7"/>
                  <w:tcBorders>
                    <w:tl2br w:val="nil"/>
                    <w:tr2bl w:val="nil"/>
                  </w:tcBorders>
                  <w:vAlign w:val="center"/>
                </w:tcPr>
                <w:p w14:paraId="34BA5177">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消防人员必须穿全身防火防毒服，在上风向灭火。切断气源。若不能切断气源，则不允许熄灭泄漏处的火焰。喷水冷却容器，可能的话将容器从火场移至空旷处。灭火剂：雾状水、抗溶性泡沫、二氧化碳、砂土。</w:t>
                  </w:r>
                </w:p>
              </w:tc>
            </w:tr>
          </w:tbl>
          <w:p w14:paraId="5E3ABC5C">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p>
          <w:p w14:paraId="49E29A01">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r>
              <w:rPr>
                <w:rFonts w:ascii="Times New Roman" w:hAnsi="Times New Roman" w:eastAsia="宋体" w:cs="Times New Roman"/>
                <w:b/>
                <w:kern w:val="24"/>
                <w:sz w:val="24"/>
                <w:szCs w:val="20"/>
                <w:lang w:val="en-US" w:eastAsia="zh-CN" w:bidi="ar-SA"/>
              </w:rPr>
              <w:t>表</w:t>
            </w:r>
            <w:r>
              <w:rPr>
                <w:rFonts w:hint="eastAsia" w:cs="Times New Roman"/>
                <w:b/>
                <w:kern w:val="24"/>
                <w:sz w:val="24"/>
                <w:szCs w:val="20"/>
                <w:lang w:val="en-US" w:eastAsia="zh-CN" w:bidi="ar-SA"/>
              </w:rPr>
              <w:t>2-8</w:t>
            </w:r>
            <w:r>
              <w:rPr>
                <w:rFonts w:ascii="Times New Roman" w:hAnsi="Times New Roman" w:eastAsia="宋体" w:cs="Times New Roman"/>
                <w:b/>
                <w:kern w:val="24"/>
                <w:sz w:val="24"/>
                <w:szCs w:val="20"/>
                <w:lang w:val="en-US" w:eastAsia="zh-CN" w:bidi="ar-SA"/>
              </w:rPr>
              <w:t xml:space="preserve"> 低浓度氨水理化性质和毒性一览表</w:t>
            </w:r>
          </w:p>
          <w:tbl>
            <w:tblPr>
              <w:tblStyle w:val="11"/>
              <w:tblW w:w="922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559"/>
              <w:gridCol w:w="1477"/>
              <w:gridCol w:w="1208"/>
              <w:gridCol w:w="231"/>
              <w:gridCol w:w="315"/>
              <w:gridCol w:w="1151"/>
              <w:gridCol w:w="351"/>
              <w:gridCol w:w="680"/>
              <w:gridCol w:w="166"/>
              <w:gridCol w:w="1350"/>
              <w:gridCol w:w="658"/>
              <w:gridCol w:w="1075"/>
            </w:tblGrid>
            <w:tr w14:paraId="33312C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2EA32B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标识</w:t>
                  </w:r>
                </w:p>
              </w:tc>
              <w:tc>
                <w:tcPr>
                  <w:tcW w:w="5413" w:type="dxa"/>
                  <w:gridSpan w:val="7"/>
                  <w:tcBorders>
                    <w:tl2br w:val="nil"/>
                    <w:tr2bl w:val="nil"/>
                  </w:tcBorders>
                  <w:vAlign w:val="center"/>
                </w:tcPr>
                <w:p w14:paraId="475A18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中文名：氨溶液</w:t>
                  </w:r>
                  <w:r>
                    <w:rPr>
                      <w:rFonts w:ascii="Times New Roman" w:hAnsi="Times New Roman" w:eastAsia="宋体" w:cs="Times New Roman"/>
                      <w:kern w:val="2"/>
                      <w:sz w:val="21"/>
                      <w:szCs w:val="24"/>
                      <w:lang w:val="en-US" w:eastAsia="zh-CN" w:bidi="ar-SA"/>
                    </w:rPr>
                    <w:t>[20%</w:t>
                  </w:r>
                  <w:r>
                    <w:rPr>
                      <w:rFonts w:hint="eastAsia" w:ascii="Times New Roman" w:hAnsi="Times New Roman" w:eastAsia="宋体" w:cs="Times New Roman"/>
                      <w:kern w:val="2"/>
                      <w:sz w:val="21"/>
                      <w:szCs w:val="24"/>
                      <w:lang w:val="en-US" w:eastAsia="zh-CN" w:bidi="ar-SA"/>
                    </w:rPr>
                    <w:t>＜含氨</w:t>
                  </w:r>
                  <w:r>
                    <w:rPr>
                      <w:rFonts w:ascii="Times New Roman" w:hAnsi="Times New Roman" w:eastAsia="宋体" w:cs="Times New Roman"/>
                      <w:kern w:val="2"/>
                      <w:sz w:val="21"/>
                      <w:szCs w:val="24"/>
                      <w:lang w:val="en-US" w:eastAsia="zh-CN" w:bidi="ar-SA"/>
                    </w:rPr>
                    <w:t>≤25%]</w:t>
                  </w:r>
                  <w:r>
                    <w:rPr>
                      <w:rFonts w:hint="eastAsia" w:ascii="Times New Roman" w:hAnsi="Times New Roman" w:eastAsia="宋体" w:cs="Times New Roman"/>
                      <w:kern w:val="2"/>
                      <w:sz w:val="21"/>
                      <w:szCs w:val="24"/>
                      <w:lang w:val="en-US" w:eastAsia="zh-CN" w:bidi="ar-SA"/>
                    </w:rPr>
                    <w:t>；氢氧化铵；氨水</w:t>
                  </w:r>
                </w:p>
              </w:tc>
              <w:tc>
                <w:tcPr>
                  <w:tcW w:w="3249" w:type="dxa"/>
                  <w:gridSpan w:val="4"/>
                  <w:tcBorders>
                    <w:tl2br w:val="nil"/>
                    <w:tr2bl w:val="nil"/>
                  </w:tcBorders>
                  <w:vAlign w:val="center"/>
                </w:tcPr>
                <w:p w14:paraId="2369A42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危险货物编号：</w:t>
                  </w:r>
                  <w:r>
                    <w:rPr>
                      <w:rFonts w:ascii="Times New Roman" w:hAnsi="Times New Roman" w:eastAsia="宋体" w:cs="Times New Roman"/>
                      <w:kern w:val="2"/>
                      <w:sz w:val="21"/>
                      <w:szCs w:val="24"/>
                      <w:lang w:val="en-US" w:eastAsia="zh-CN" w:bidi="ar-SA"/>
                    </w:rPr>
                    <w:t>82503</w:t>
                  </w:r>
                </w:p>
              </w:tc>
            </w:tr>
            <w:tr w14:paraId="7D5CEA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3529F55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5413" w:type="dxa"/>
                  <w:gridSpan w:val="7"/>
                  <w:tcBorders>
                    <w:tl2br w:val="nil"/>
                    <w:tr2bl w:val="nil"/>
                  </w:tcBorders>
                  <w:vAlign w:val="center"/>
                </w:tcPr>
                <w:p w14:paraId="39DD315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英文名：</w:t>
                  </w:r>
                  <w:r>
                    <w:rPr>
                      <w:rFonts w:ascii="Times New Roman" w:hAnsi="Times New Roman" w:eastAsia="宋体" w:cs="Times New Roman"/>
                      <w:kern w:val="2"/>
                      <w:sz w:val="21"/>
                      <w:szCs w:val="24"/>
                      <w:lang w:val="en-US" w:eastAsia="zh-CN" w:bidi="ar-SA"/>
                    </w:rPr>
                    <w:t>Ammoniumhydroxide</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Ammoniawater</w:t>
                  </w:r>
                </w:p>
              </w:tc>
              <w:tc>
                <w:tcPr>
                  <w:tcW w:w="3249" w:type="dxa"/>
                  <w:gridSpan w:val="4"/>
                  <w:tcBorders>
                    <w:tl2br w:val="nil"/>
                    <w:tr2bl w:val="nil"/>
                  </w:tcBorders>
                  <w:vAlign w:val="center"/>
                </w:tcPr>
                <w:p w14:paraId="44167DA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UN</w:t>
                  </w:r>
                  <w:r>
                    <w:rPr>
                      <w:rFonts w:hint="eastAsia" w:ascii="Times New Roman" w:hAnsi="Times New Roman" w:eastAsia="宋体" w:cs="Times New Roman"/>
                      <w:kern w:val="2"/>
                      <w:sz w:val="21"/>
                      <w:szCs w:val="24"/>
                      <w:lang w:val="en-US" w:eastAsia="zh-CN" w:bidi="ar-SA"/>
                    </w:rPr>
                    <w:t>编号：</w:t>
                  </w:r>
                  <w:r>
                    <w:rPr>
                      <w:rFonts w:ascii="Times New Roman" w:hAnsi="Times New Roman" w:eastAsia="宋体" w:cs="Times New Roman"/>
                      <w:kern w:val="2"/>
                      <w:sz w:val="21"/>
                      <w:szCs w:val="24"/>
                      <w:lang w:val="en-US" w:eastAsia="zh-CN" w:bidi="ar-SA"/>
                    </w:rPr>
                    <w:t>2672</w:t>
                  </w:r>
                </w:p>
              </w:tc>
            </w:tr>
            <w:tr w14:paraId="3BBAD7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5DA860C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2916" w:type="dxa"/>
                  <w:gridSpan w:val="3"/>
                  <w:tcBorders>
                    <w:tl2br w:val="nil"/>
                    <w:tr2bl w:val="nil"/>
                  </w:tcBorders>
                  <w:vAlign w:val="center"/>
                </w:tcPr>
                <w:p w14:paraId="3D182FD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分子式：</w:t>
                  </w:r>
                  <w:r>
                    <w:rPr>
                      <w:rFonts w:ascii="Times New Roman" w:hAnsi="Times New Roman" w:eastAsia="宋体" w:cs="Times New Roman"/>
                      <w:kern w:val="2"/>
                      <w:sz w:val="21"/>
                      <w:szCs w:val="24"/>
                      <w:lang w:val="en-US" w:eastAsia="zh-CN" w:bidi="ar-SA"/>
                    </w:rPr>
                    <w:t>NH</w:t>
                  </w:r>
                  <w:r>
                    <w:rPr>
                      <w:rFonts w:ascii="Times New Roman" w:hAnsi="Times New Roman" w:eastAsia="宋体" w:cs="Times New Roman"/>
                      <w:kern w:val="2"/>
                      <w:sz w:val="21"/>
                      <w:szCs w:val="24"/>
                      <w:vertAlign w:val="subscript"/>
                      <w:lang w:val="en-US" w:eastAsia="zh-CN" w:bidi="ar-SA"/>
                    </w:rPr>
                    <w:t>4</w:t>
                  </w:r>
                  <w:r>
                    <w:rPr>
                      <w:rFonts w:ascii="Times New Roman" w:hAnsi="Times New Roman" w:eastAsia="宋体" w:cs="Times New Roman"/>
                      <w:kern w:val="2"/>
                      <w:sz w:val="21"/>
                      <w:szCs w:val="24"/>
                      <w:lang w:val="en-US" w:eastAsia="zh-CN" w:bidi="ar-SA"/>
                    </w:rPr>
                    <w:t>OH</w:t>
                  </w:r>
                </w:p>
              </w:tc>
              <w:tc>
                <w:tcPr>
                  <w:tcW w:w="2497" w:type="dxa"/>
                  <w:gridSpan w:val="4"/>
                  <w:tcBorders>
                    <w:tl2br w:val="nil"/>
                    <w:tr2bl w:val="nil"/>
                  </w:tcBorders>
                  <w:vAlign w:val="center"/>
                </w:tcPr>
                <w:p w14:paraId="5530A44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分子量：</w:t>
                  </w:r>
                  <w:r>
                    <w:rPr>
                      <w:rFonts w:ascii="Times New Roman" w:hAnsi="Times New Roman" w:eastAsia="宋体" w:cs="Times New Roman"/>
                      <w:kern w:val="2"/>
                      <w:sz w:val="21"/>
                      <w:szCs w:val="24"/>
                      <w:lang w:val="en-US" w:eastAsia="zh-CN" w:bidi="ar-SA"/>
                    </w:rPr>
                    <w:t>35.05</w:t>
                  </w:r>
                </w:p>
              </w:tc>
              <w:tc>
                <w:tcPr>
                  <w:tcW w:w="3249" w:type="dxa"/>
                  <w:gridSpan w:val="4"/>
                  <w:tcBorders>
                    <w:tl2br w:val="nil"/>
                    <w:tr2bl w:val="nil"/>
                  </w:tcBorders>
                  <w:vAlign w:val="center"/>
                </w:tcPr>
                <w:p w14:paraId="36F53EE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CAS</w:t>
                  </w:r>
                  <w:r>
                    <w:rPr>
                      <w:rFonts w:hint="eastAsia" w:ascii="Times New Roman" w:hAnsi="Times New Roman" w:eastAsia="宋体" w:cs="Times New Roman"/>
                      <w:kern w:val="2"/>
                      <w:sz w:val="21"/>
                      <w:szCs w:val="24"/>
                      <w:lang w:val="en-US" w:eastAsia="zh-CN" w:bidi="ar-SA"/>
                    </w:rPr>
                    <w:t>号：</w:t>
                  </w:r>
                  <w:r>
                    <w:rPr>
                      <w:rFonts w:ascii="Times New Roman" w:hAnsi="Times New Roman" w:eastAsia="宋体" w:cs="Times New Roman"/>
                      <w:kern w:val="2"/>
                      <w:sz w:val="21"/>
                      <w:szCs w:val="24"/>
                      <w:lang w:val="en-US" w:eastAsia="zh-CN" w:bidi="ar-SA"/>
                    </w:rPr>
                    <w:t>1336-21-6</w:t>
                  </w:r>
                </w:p>
              </w:tc>
            </w:tr>
            <w:tr w14:paraId="2DFC97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56B699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理化性质</w:t>
                  </w:r>
                </w:p>
              </w:tc>
              <w:tc>
                <w:tcPr>
                  <w:tcW w:w="1477" w:type="dxa"/>
                  <w:tcBorders>
                    <w:tl2br w:val="nil"/>
                    <w:tr2bl w:val="nil"/>
                  </w:tcBorders>
                  <w:vAlign w:val="center"/>
                </w:tcPr>
                <w:p w14:paraId="4866BB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外观与性状</w:t>
                  </w:r>
                </w:p>
              </w:tc>
              <w:tc>
                <w:tcPr>
                  <w:tcW w:w="7185" w:type="dxa"/>
                  <w:gridSpan w:val="10"/>
                  <w:tcBorders>
                    <w:tl2br w:val="nil"/>
                    <w:tr2bl w:val="nil"/>
                  </w:tcBorders>
                  <w:vAlign w:val="center"/>
                </w:tcPr>
                <w:p w14:paraId="21B427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无色透明液体，有强烈的刺激性臭味。</w:t>
                  </w:r>
                </w:p>
              </w:tc>
            </w:tr>
            <w:tr w14:paraId="67C47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41B0786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41D602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熔点（℃）</w:t>
                  </w:r>
                </w:p>
              </w:tc>
              <w:tc>
                <w:tcPr>
                  <w:tcW w:w="1208" w:type="dxa"/>
                  <w:tcBorders>
                    <w:tl2br w:val="nil"/>
                    <w:tr2bl w:val="nil"/>
                  </w:tcBorders>
                  <w:vAlign w:val="center"/>
                </w:tcPr>
                <w:p w14:paraId="50F8923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048" w:type="dxa"/>
                  <w:gridSpan w:val="4"/>
                  <w:tcBorders>
                    <w:tl2br w:val="nil"/>
                    <w:tr2bl w:val="nil"/>
                  </w:tcBorders>
                  <w:vAlign w:val="center"/>
                </w:tcPr>
                <w:p w14:paraId="1EE592C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水</w:t>
                  </w:r>
                  <w:r>
                    <w:rPr>
                      <w:rFonts w:ascii="Times New Roman" w:hAnsi="Times New Roman" w:eastAsia="宋体" w:cs="Times New Roman"/>
                      <w:kern w:val="2"/>
                      <w:sz w:val="21"/>
                      <w:szCs w:val="24"/>
                      <w:lang w:val="en-US" w:eastAsia="zh-CN" w:bidi="ar-SA"/>
                    </w:rPr>
                    <w:t>=1)</w:t>
                  </w:r>
                </w:p>
              </w:tc>
              <w:tc>
                <w:tcPr>
                  <w:tcW w:w="680" w:type="dxa"/>
                  <w:tcBorders>
                    <w:tl2br w:val="nil"/>
                    <w:tr2bl w:val="nil"/>
                  </w:tcBorders>
                  <w:vAlign w:val="center"/>
                </w:tcPr>
                <w:p w14:paraId="122C89D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0.91</w:t>
                  </w:r>
                </w:p>
              </w:tc>
              <w:tc>
                <w:tcPr>
                  <w:tcW w:w="2174" w:type="dxa"/>
                  <w:gridSpan w:val="3"/>
                  <w:tcBorders>
                    <w:tl2br w:val="nil"/>
                    <w:tr2bl w:val="nil"/>
                  </w:tcBorders>
                  <w:vAlign w:val="center"/>
                </w:tcPr>
                <w:p w14:paraId="74BD706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空气</w:t>
                  </w:r>
                  <w:r>
                    <w:rPr>
                      <w:rFonts w:ascii="Times New Roman" w:hAnsi="Times New Roman" w:eastAsia="宋体" w:cs="Times New Roman"/>
                      <w:kern w:val="2"/>
                      <w:sz w:val="21"/>
                      <w:szCs w:val="24"/>
                      <w:lang w:val="en-US" w:eastAsia="zh-CN" w:bidi="ar-SA"/>
                    </w:rPr>
                    <w:t>=1)</w:t>
                  </w:r>
                </w:p>
              </w:tc>
              <w:tc>
                <w:tcPr>
                  <w:tcW w:w="1075" w:type="dxa"/>
                  <w:tcBorders>
                    <w:tl2br w:val="nil"/>
                    <w:tr2bl w:val="nil"/>
                  </w:tcBorders>
                  <w:vAlign w:val="center"/>
                </w:tcPr>
                <w:p w14:paraId="42753C6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r>
            <w:tr w14:paraId="06B0AA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52E1104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633D8D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沸点（℃）</w:t>
                  </w:r>
                </w:p>
              </w:tc>
              <w:tc>
                <w:tcPr>
                  <w:tcW w:w="1208" w:type="dxa"/>
                  <w:tcBorders>
                    <w:tl2br w:val="nil"/>
                    <w:tr2bl w:val="nil"/>
                  </w:tcBorders>
                  <w:vAlign w:val="center"/>
                </w:tcPr>
                <w:p w14:paraId="30F3CEB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728" w:type="dxa"/>
                  <w:gridSpan w:val="5"/>
                  <w:tcBorders>
                    <w:tl2br w:val="nil"/>
                    <w:tr2bl w:val="nil"/>
                  </w:tcBorders>
                  <w:vAlign w:val="center"/>
                </w:tcPr>
                <w:p w14:paraId="3F982A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饱和蒸气压（</w:t>
                  </w:r>
                  <w:r>
                    <w:rPr>
                      <w:rFonts w:ascii="Times New Roman" w:hAnsi="Times New Roman" w:eastAsia="宋体" w:cs="Times New Roman"/>
                      <w:kern w:val="2"/>
                      <w:sz w:val="21"/>
                      <w:szCs w:val="24"/>
                      <w:lang w:val="en-US" w:eastAsia="zh-CN" w:bidi="ar-SA"/>
                    </w:rPr>
                    <w:t>KPa</w:t>
                  </w:r>
                  <w:r>
                    <w:rPr>
                      <w:rFonts w:hint="eastAsia" w:ascii="Times New Roman" w:hAnsi="Times New Roman" w:eastAsia="宋体" w:cs="Times New Roman"/>
                      <w:kern w:val="2"/>
                      <w:sz w:val="21"/>
                      <w:szCs w:val="24"/>
                      <w:lang w:val="en-US" w:eastAsia="zh-CN" w:bidi="ar-SA"/>
                    </w:rPr>
                    <w:t>）</w:t>
                  </w:r>
                </w:p>
              </w:tc>
              <w:tc>
                <w:tcPr>
                  <w:tcW w:w="3249" w:type="dxa"/>
                  <w:gridSpan w:val="4"/>
                  <w:tcBorders>
                    <w:tl2br w:val="nil"/>
                    <w:tr2bl w:val="nil"/>
                  </w:tcBorders>
                  <w:vAlign w:val="center"/>
                </w:tcPr>
                <w:p w14:paraId="219E852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1.59/20℃</w:t>
                  </w:r>
                </w:p>
              </w:tc>
            </w:tr>
            <w:tr w14:paraId="3795E0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1FE61E5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39D30C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溶解性</w:t>
                  </w:r>
                </w:p>
              </w:tc>
              <w:tc>
                <w:tcPr>
                  <w:tcW w:w="7185" w:type="dxa"/>
                  <w:gridSpan w:val="10"/>
                  <w:tcBorders>
                    <w:tl2br w:val="nil"/>
                    <w:tr2bl w:val="nil"/>
                  </w:tcBorders>
                  <w:vAlign w:val="center"/>
                </w:tcPr>
                <w:p w14:paraId="7C3B01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溶于水、醇。</w:t>
                  </w:r>
                </w:p>
              </w:tc>
            </w:tr>
            <w:tr w14:paraId="454FCA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42F190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毒性及健康危害</w:t>
                  </w:r>
                </w:p>
              </w:tc>
              <w:tc>
                <w:tcPr>
                  <w:tcW w:w="1477" w:type="dxa"/>
                  <w:tcBorders>
                    <w:tl2br w:val="nil"/>
                    <w:tr2bl w:val="nil"/>
                  </w:tcBorders>
                  <w:vAlign w:val="center"/>
                </w:tcPr>
                <w:p w14:paraId="5BA6DF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侵入途径</w:t>
                  </w:r>
                </w:p>
              </w:tc>
              <w:tc>
                <w:tcPr>
                  <w:tcW w:w="7185" w:type="dxa"/>
                  <w:gridSpan w:val="10"/>
                  <w:tcBorders>
                    <w:tl2br w:val="nil"/>
                    <w:tr2bl w:val="nil"/>
                  </w:tcBorders>
                  <w:vAlign w:val="center"/>
                </w:tcPr>
                <w:p w14:paraId="076902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吸入、食入、经皮吸收。</w:t>
                  </w:r>
                </w:p>
              </w:tc>
            </w:tr>
            <w:tr w14:paraId="013264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014F2AE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037927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w:t>
                  </w:r>
                </w:p>
              </w:tc>
              <w:tc>
                <w:tcPr>
                  <w:tcW w:w="7185" w:type="dxa"/>
                  <w:gridSpan w:val="10"/>
                  <w:tcBorders>
                    <w:tl2br w:val="nil"/>
                    <w:tr2bl w:val="nil"/>
                  </w:tcBorders>
                  <w:vAlign w:val="center"/>
                </w:tcPr>
                <w:p w14:paraId="14F10E1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LD50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350mg/kg(</w:t>
                  </w:r>
                  <w:r>
                    <w:rPr>
                      <w:rFonts w:hint="eastAsia" w:ascii="Times New Roman" w:hAnsi="Times New Roman" w:eastAsia="宋体" w:cs="Times New Roman"/>
                      <w:kern w:val="2"/>
                      <w:sz w:val="21"/>
                      <w:szCs w:val="24"/>
                      <w:lang w:val="en-US" w:eastAsia="zh-CN" w:bidi="ar-SA"/>
                    </w:rPr>
                    <w:t>大鼠经口</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LC50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w:t>
                  </w:r>
                </w:p>
              </w:tc>
            </w:tr>
            <w:tr w14:paraId="50E5A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F2E9FE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5AEE5E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健康危害</w:t>
                  </w:r>
                </w:p>
              </w:tc>
              <w:tc>
                <w:tcPr>
                  <w:tcW w:w="7185" w:type="dxa"/>
                  <w:gridSpan w:val="10"/>
                  <w:tcBorders>
                    <w:tl2br w:val="nil"/>
                    <w:tr2bl w:val="nil"/>
                  </w:tcBorders>
                  <w:vAlign w:val="center"/>
                </w:tcPr>
                <w:p w14:paraId="3C280D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后对鼻、喉和肺有刺激性引起咳嗽、气短和哮喘等；可因喉头水肿而窒息死亡；可发生肺水肿，引起死亡。氨水溅入眼内，可造成严重损害，甚至导致失明；皮肤接触可致灼伤。慢性影响：反复低浓度接触，可引起支气管炎。皮肤反复接触，可致皮炎，表现为皮肤干燥、痒、发红。</w:t>
                  </w:r>
                </w:p>
              </w:tc>
            </w:tr>
            <w:tr w14:paraId="5FB93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5326028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0D65EA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急救方法</w:t>
                  </w:r>
                </w:p>
              </w:tc>
              <w:tc>
                <w:tcPr>
                  <w:tcW w:w="7185" w:type="dxa"/>
                  <w:gridSpan w:val="10"/>
                  <w:tcBorders>
                    <w:tl2br w:val="nil"/>
                    <w:tr2bl w:val="nil"/>
                  </w:tcBorders>
                  <w:vAlign w:val="center"/>
                </w:tcPr>
                <w:p w14:paraId="729D2D4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皮肤接触：立即用水冲洗至少</w:t>
                  </w:r>
                  <w:r>
                    <w:rPr>
                      <w:rFonts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分钟。若有灼伤，就医治疗。眼睛接触：立即提起眼睑，用流动清水或生理盐水冲洗至少</w:t>
                  </w:r>
                  <w:r>
                    <w:rPr>
                      <w:rFonts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分钟。或用</w:t>
                  </w:r>
                  <w:r>
                    <w:rPr>
                      <w:rFonts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硼酸溶液冲洗。立即就医。吸入：迅速脱离现场至空气新鲜处。保持呼吸道通畅。呼吸困难时给输氧。呼吸停止时，立即进行人工呼吸。就医。食入：误服者立即漱口，口服稀释的醋或柠檬汁，就医。</w:t>
                  </w:r>
                </w:p>
              </w:tc>
            </w:tr>
            <w:tr w14:paraId="49EEA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623EDE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燃烧爆炸危险性</w:t>
                  </w:r>
                </w:p>
              </w:tc>
              <w:tc>
                <w:tcPr>
                  <w:tcW w:w="1477" w:type="dxa"/>
                  <w:tcBorders>
                    <w:tl2br w:val="nil"/>
                    <w:tr2bl w:val="nil"/>
                  </w:tcBorders>
                  <w:vAlign w:val="center"/>
                </w:tcPr>
                <w:p w14:paraId="666B8A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燃烧性</w:t>
                  </w:r>
                </w:p>
              </w:tc>
              <w:tc>
                <w:tcPr>
                  <w:tcW w:w="1754" w:type="dxa"/>
                  <w:gridSpan w:val="3"/>
                  <w:tcBorders>
                    <w:tl2br w:val="nil"/>
                    <w:tr2bl w:val="nil"/>
                  </w:tcBorders>
                  <w:vAlign w:val="center"/>
                </w:tcPr>
                <w:p w14:paraId="2ED87D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可燃</w:t>
                  </w:r>
                </w:p>
              </w:tc>
              <w:tc>
                <w:tcPr>
                  <w:tcW w:w="2348" w:type="dxa"/>
                  <w:gridSpan w:val="4"/>
                  <w:tcBorders>
                    <w:tl2br w:val="nil"/>
                    <w:tr2bl w:val="nil"/>
                  </w:tcBorders>
                  <w:vAlign w:val="center"/>
                </w:tcPr>
                <w:p w14:paraId="51736C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燃烧分解物</w:t>
                  </w:r>
                </w:p>
              </w:tc>
              <w:tc>
                <w:tcPr>
                  <w:tcW w:w="3083" w:type="dxa"/>
                  <w:gridSpan w:val="3"/>
                  <w:tcBorders>
                    <w:tl2br w:val="nil"/>
                    <w:tr2bl w:val="nil"/>
                  </w:tcBorders>
                  <w:vAlign w:val="center"/>
                </w:tcPr>
                <w:p w14:paraId="3D10DF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氨。</w:t>
                  </w:r>
                </w:p>
              </w:tc>
            </w:tr>
            <w:tr w14:paraId="52D089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40E63AE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5E7059D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闪点</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w:t>
                  </w:r>
                </w:p>
              </w:tc>
              <w:tc>
                <w:tcPr>
                  <w:tcW w:w="1754" w:type="dxa"/>
                  <w:gridSpan w:val="3"/>
                  <w:tcBorders>
                    <w:tl2br w:val="nil"/>
                    <w:tr2bl w:val="nil"/>
                  </w:tcBorders>
                  <w:vAlign w:val="center"/>
                </w:tcPr>
                <w:p w14:paraId="6A0E8D6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348" w:type="dxa"/>
                  <w:gridSpan w:val="4"/>
                  <w:tcBorders>
                    <w:tl2br w:val="nil"/>
                    <w:tr2bl w:val="nil"/>
                  </w:tcBorders>
                  <w:vAlign w:val="center"/>
                </w:tcPr>
                <w:p w14:paraId="7878D9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爆炸上限（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83" w:type="dxa"/>
                  <w:gridSpan w:val="3"/>
                  <w:tcBorders>
                    <w:tl2br w:val="nil"/>
                    <w:tr2bl w:val="nil"/>
                  </w:tcBorders>
                  <w:vAlign w:val="center"/>
                </w:tcPr>
                <w:p w14:paraId="6A1BCD4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25.0</w:t>
                  </w:r>
                </w:p>
              </w:tc>
            </w:tr>
            <w:tr w14:paraId="6EE3EE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10FA53F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491281D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引燃温度</w:t>
                  </w:r>
                  <w:r>
                    <w:rPr>
                      <w:rFonts w:ascii="Times New Roman" w:hAnsi="Times New Roman" w:eastAsia="宋体" w:cs="Times New Roman"/>
                      <w:kern w:val="2"/>
                      <w:sz w:val="21"/>
                      <w:szCs w:val="24"/>
                      <w:lang w:val="en-US" w:eastAsia="zh-CN" w:bidi="ar-SA"/>
                    </w:rPr>
                    <w:t>(℃)</w:t>
                  </w:r>
                </w:p>
              </w:tc>
              <w:tc>
                <w:tcPr>
                  <w:tcW w:w="1754" w:type="dxa"/>
                  <w:gridSpan w:val="3"/>
                  <w:tcBorders>
                    <w:tl2br w:val="nil"/>
                    <w:tr2bl w:val="nil"/>
                  </w:tcBorders>
                  <w:vAlign w:val="center"/>
                </w:tcPr>
                <w:p w14:paraId="3EE36A3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348" w:type="dxa"/>
                  <w:gridSpan w:val="4"/>
                  <w:tcBorders>
                    <w:tl2br w:val="nil"/>
                    <w:tr2bl w:val="nil"/>
                  </w:tcBorders>
                  <w:vAlign w:val="center"/>
                </w:tcPr>
                <w:p w14:paraId="135899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爆炸下限（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83" w:type="dxa"/>
                  <w:gridSpan w:val="3"/>
                  <w:tcBorders>
                    <w:tl2br w:val="nil"/>
                    <w:tr2bl w:val="nil"/>
                  </w:tcBorders>
                  <w:vAlign w:val="center"/>
                </w:tcPr>
                <w:p w14:paraId="3888AB8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16.0</w:t>
                  </w:r>
                </w:p>
              </w:tc>
            </w:tr>
            <w:tr w14:paraId="1FC931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0088CBA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489514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危险特性</w:t>
                  </w:r>
                </w:p>
              </w:tc>
              <w:tc>
                <w:tcPr>
                  <w:tcW w:w="7185" w:type="dxa"/>
                  <w:gridSpan w:val="10"/>
                  <w:tcBorders>
                    <w:tl2br w:val="nil"/>
                    <w:tr2bl w:val="nil"/>
                  </w:tcBorders>
                  <w:vAlign w:val="center"/>
                </w:tcPr>
                <w:p w14:paraId="23BBE8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易分解放出氨气，温度越高，分解速度越快，可形成爆炸性气体。若遇高热，容器内压增大，有开裂和爆炸的危险。</w:t>
                  </w:r>
                </w:p>
              </w:tc>
            </w:tr>
            <w:tr w14:paraId="75405F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22FEDA8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42814B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建规火险分级</w:t>
                  </w:r>
                </w:p>
              </w:tc>
              <w:tc>
                <w:tcPr>
                  <w:tcW w:w="1754" w:type="dxa"/>
                  <w:gridSpan w:val="3"/>
                  <w:tcBorders>
                    <w:tl2br w:val="nil"/>
                    <w:tr2bl w:val="nil"/>
                  </w:tcBorders>
                  <w:vAlign w:val="center"/>
                </w:tcPr>
                <w:p w14:paraId="258CE2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戊</w:t>
                  </w:r>
                </w:p>
              </w:tc>
              <w:tc>
                <w:tcPr>
                  <w:tcW w:w="1151" w:type="dxa"/>
                  <w:tcBorders>
                    <w:tl2br w:val="nil"/>
                    <w:tr2bl w:val="nil"/>
                  </w:tcBorders>
                  <w:vAlign w:val="center"/>
                </w:tcPr>
                <w:p w14:paraId="2CF3A6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稳定性</w:t>
                  </w:r>
                </w:p>
              </w:tc>
              <w:tc>
                <w:tcPr>
                  <w:tcW w:w="1197" w:type="dxa"/>
                  <w:gridSpan w:val="3"/>
                  <w:tcBorders>
                    <w:tl2br w:val="nil"/>
                    <w:tr2bl w:val="nil"/>
                  </w:tcBorders>
                  <w:vAlign w:val="center"/>
                </w:tcPr>
                <w:p w14:paraId="094E58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稳定</w:t>
                  </w:r>
                </w:p>
              </w:tc>
              <w:tc>
                <w:tcPr>
                  <w:tcW w:w="1350" w:type="dxa"/>
                  <w:tcBorders>
                    <w:tl2br w:val="nil"/>
                    <w:tr2bl w:val="nil"/>
                  </w:tcBorders>
                  <w:vAlign w:val="center"/>
                </w:tcPr>
                <w:p w14:paraId="0B8BA1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聚合危害</w:t>
                  </w:r>
                </w:p>
              </w:tc>
              <w:tc>
                <w:tcPr>
                  <w:tcW w:w="1733" w:type="dxa"/>
                  <w:gridSpan w:val="2"/>
                  <w:tcBorders>
                    <w:tl2br w:val="nil"/>
                    <w:tr2bl w:val="nil"/>
                  </w:tcBorders>
                  <w:vAlign w:val="center"/>
                </w:tcPr>
                <w:p w14:paraId="18F96E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不聚合</w:t>
                  </w:r>
                </w:p>
              </w:tc>
            </w:tr>
            <w:tr w14:paraId="0B48F8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2C2E708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6E3E89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禁忌物</w:t>
                  </w:r>
                </w:p>
              </w:tc>
              <w:tc>
                <w:tcPr>
                  <w:tcW w:w="7185" w:type="dxa"/>
                  <w:gridSpan w:val="10"/>
                  <w:tcBorders>
                    <w:tl2br w:val="nil"/>
                    <w:tr2bl w:val="nil"/>
                  </w:tcBorders>
                  <w:vAlign w:val="center"/>
                </w:tcPr>
                <w:p w14:paraId="741CB6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酸类、铝、铜。</w:t>
                  </w:r>
                </w:p>
              </w:tc>
            </w:tr>
            <w:tr w14:paraId="474A6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351D2E0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1B7969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储运条件与泄漏处理</w:t>
                  </w:r>
                </w:p>
              </w:tc>
              <w:tc>
                <w:tcPr>
                  <w:tcW w:w="7185" w:type="dxa"/>
                  <w:gridSpan w:val="10"/>
                  <w:tcBorders>
                    <w:tl2br w:val="nil"/>
                    <w:tr2bl w:val="nil"/>
                  </w:tcBorders>
                  <w:vAlign w:val="center"/>
                </w:tcPr>
                <w:p w14:paraId="287739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储存于阴凉、干燥通风良好的仓间内。远离火种、热源。防止阳光直射。应与酸类、金属类粉末分开存放。搬运时应轻装轻卸，防止包装和容器损坏。运输按规定路线行驶，勿在居民区和人口稠密区停留。泄漏处理：疏散泄漏污染区人员至安全区，禁止无关人员进入污染区，建议应急处理人员戴自给式呼吸器，穿化学防护服。不要直接接触泄漏物，在确保安全情况下堵漏。用大量水冲洗，经稀释的洗水放入废水系统。用沙土、蛭石或其它惰性材料吸收，然后以少量加入大量水中，调节至中性，再放入废水系统。如大量泄漏，利用围堤收容，然后收集、转移、回收或无害处理后废弃。</w:t>
                  </w:r>
                </w:p>
              </w:tc>
            </w:tr>
            <w:tr w14:paraId="31065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27DB39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7EBA0C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灭火方法</w:t>
                  </w:r>
                </w:p>
              </w:tc>
              <w:tc>
                <w:tcPr>
                  <w:tcW w:w="7185" w:type="dxa"/>
                  <w:gridSpan w:val="10"/>
                  <w:tcBorders>
                    <w:tl2br w:val="nil"/>
                    <w:tr2bl w:val="nil"/>
                  </w:tcBorders>
                  <w:vAlign w:val="center"/>
                </w:tcPr>
                <w:p w14:paraId="13C37A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用雾状水、二氧化碳、砂土灭火。</w:t>
                  </w:r>
                </w:p>
              </w:tc>
            </w:tr>
          </w:tbl>
          <w:p w14:paraId="4F2E9708">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p>
          <w:p w14:paraId="51ECA3EB">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本项目原材料液氨采购自湖北湖南或云南贵州地区，委托有相应运输资质的公司采用槽罐车运输。规划运输路线为</w:t>
            </w:r>
            <w:r>
              <w:rPr>
                <w:rFonts w:hint="eastAsia" w:ascii="Times New Roman" w:hAnsi="Times New Roman" w:eastAsia="宋体" w:cs="Times New Roman"/>
                <w:bCs/>
                <w:sz w:val="24"/>
                <w:szCs w:val="24"/>
                <w:highlight w:val="none"/>
                <w:lang w:eastAsia="zh-CN"/>
              </w:rPr>
              <w:t>供应地→</w:t>
            </w:r>
            <w:r>
              <w:rPr>
                <w:rFonts w:hint="eastAsia" w:ascii="Times New Roman" w:hAnsi="Times New Roman" w:eastAsia="宋体" w:cs="Times New Roman"/>
                <w:bCs/>
                <w:sz w:val="24"/>
                <w:szCs w:val="24"/>
                <w:highlight w:val="none"/>
                <w:lang w:val="en-US" w:eastAsia="zh-CN"/>
              </w:rPr>
              <w:t>相关高速公路</w:t>
            </w:r>
            <w:r>
              <w:rPr>
                <w:rFonts w:hint="eastAsia" w:ascii="Times New Roman" w:hAnsi="Times New Roman" w:eastAsia="宋体" w:cs="Times New Roman"/>
                <w:bCs/>
                <w:sz w:val="24"/>
                <w:szCs w:val="24"/>
                <w:highlight w:val="none"/>
                <w:lang w:eastAsia="zh-CN"/>
              </w:rPr>
              <w:t>→云安收费站（出高速）→云硫大道→青州大道→本项目厂区，见附图</w:t>
            </w:r>
            <w:r>
              <w:rPr>
                <w:rFonts w:hint="eastAsia" w:ascii="Times New Roman" w:hAnsi="Times New Roman" w:eastAsia="宋体" w:cs="Times New Roman"/>
                <w:bCs/>
                <w:sz w:val="24"/>
                <w:szCs w:val="24"/>
                <w:lang w:eastAsia="zh-CN"/>
              </w:rPr>
              <w:t>。</w:t>
            </w:r>
          </w:p>
          <w:p w14:paraId="543F4CFD">
            <w:pPr>
              <w:adjustRightInd w:val="0"/>
              <w:snapToGrid w:val="0"/>
              <w:spacing w:line="360" w:lineRule="auto"/>
              <w:jc w:val="center"/>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drawing>
                <wp:inline distT="0" distB="0" distL="114300" distR="114300">
                  <wp:extent cx="3596005" cy="2181225"/>
                  <wp:effectExtent l="0" t="0" r="4445" b="9525"/>
                  <wp:docPr id="74" name="图片 3" descr="液氨槽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液氨槽罐车"/>
                          <pic:cNvPicPr>
                            <a:picLocks noChangeAspect="1"/>
                          </pic:cNvPicPr>
                        </pic:nvPicPr>
                        <pic:blipFill>
                          <a:blip r:embed="rId16"/>
                          <a:stretch>
                            <a:fillRect/>
                          </a:stretch>
                        </pic:blipFill>
                        <pic:spPr>
                          <a:xfrm>
                            <a:off x="0" y="0"/>
                            <a:ext cx="3596005" cy="2181225"/>
                          </a:xfrm>
                          <a:prstGeom prst="rect">
                            <a:avLst/>
                          </a:prstGeom>
                          <a:noFill/>
                          <a:ln>
                            <a:noFill/>
                          </a:ln>
                        </pic:spPr>
                      </pic:pic>
                    </a:graphicData>
                  </a:graphic>
                </wp:inline>
              </w:drawing>
            </w:r>
          </w:p>
          <w:p w14:paraId="4CA67458">
            <w:pPr>
              <w:adjustRightInd w:val="0"/>
              <w:snapToGrid w:val="0"/>
              <w:spacing w:line="360" w:lineRule="auto"/>
              <w:jc w:val="center"/>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2-3 液氨槽罐车（资料图）</w:t>
            </w:r>
          </w:p>
          <w:p w14:paraId="26FECC20">
            <w:pPr>
              <w:adjustRightInd w:val="0"/>
              <w:snapToGrid w:val="0"/>
              <w:spacing w:line="360" w:lineRule="auto"/>
              <w:ind w:firstLine="480" w:firstLineChars="200"/>
              <w:jc w:val="both"/>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本项目使用电能用于生产和办公生活，根据项目可研阶段的核算，项目用电量为80万kW</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h/a。参考《综合能耗计算通则》（GB/T2589-2020）表A.2的电力（当量值）的折标准煤系数0.1229kgce/（kW</w:t>
            </w:r>
            <w:r>
              <w:rPr>
                <w:rFonts w:hint="default" w:ascii="Times New Roman" w:hAnsi="Times New Roman" w:eastAsia="宋体" w:cs="Times New Roman"/>
                <w:b w:val="0"/>
                <w:bCs/>
                <w:sz w:val="24"/>
                <w:szCs w:val="24"/>
                <w:lang w:val="en-US" w:eastAsia="zh-CN"/>
              </w:rPr>
              <w:t>·</w:t>
            </w:r>
            <w:r>
              <w:rPr>
                <w:rFonts w:hint="eastAsia" w:ascii="Times New Roman" w:hAnsi="Times New Roman" w:eastAsia="宋体" w:cs="Times New Roman"/>
                <w:b w:val="0"/>
                <w:bCs/>
                <w:sz w:val="24"/>
                <w:szCs w:val="24"/>
                <w:lang w:val="en-US" w:eastAsia="zh-CN"/>
              </w:rPr>
              <w:t>h）计算，该用电量折合标准煤为98.32t/a。</w:t>
            </w:r>
          </w:p>
          <w:p w14:paraId="10FFAAD3">
            <w:pPr>
              <w:adjustRightInd w:val="0"/>
              <w:snapToGrid w:val="0"/>
              <w:spacing w:line="360" w:lineRule="auto"/>
              <w:ind w:firstLine="480" w:firstLineChars="200"/>
              <w:jc w:val="both"/>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项目设置1台800kW的柴油发电机用于应急发电。考虑当地供电可靠性（99.8%）和柴油发电机保养规程（每月运行1次，每次30min），预估该柴油发电机年运行时间约为24h。800kW柴油发电机柴油单位消耗量约为176kg/h。综上，项目柴油消耗量约为4.224t/a。参考《综合能耗计算通则》（GB/T2589-2020）表A.1的柴油的折标准煤系数1.4571kgce/kg计算，本项目柴油消耗量折合标准煤为6.155t/a。本项目在发电机房内设置了密闭的储油间，柴油最大储存量为1t。</w:t>
            </w:r>
          </w:p>
          <w:p w14:paraId="61B6A154">
            <w:pPr>
              <w:adjustRightInd w:val="0"/>
              <w:snapToGrid w:val="0"/>
              <w:spacing w:line="360" w:lineRule="auto"/>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本项目市政自来水用量为163692m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/a（见下文水平衡）。参考《综合能耗计算通则》（GB/T2589-2020）表B.1的新水的折标准煤系数0.2571kgce/t计算，本项目用水耗能折合标准煤为42.085t/a。</w:t>
            </w:r>
          </w:p>
          <w:p w14:paraId="4BE69A94">
            <w:pPr>
              <w:adjustRightInd w:val="0"/>
              <w:snapToGrid w:val="0"/>
              <w:spacing w:line="360" w:lineRule="auto"/>
              <w:ind w:firstLine="480" w:firstLineChars="200"/>
              <w:jc w:val="both"/>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综上，本项目综合能耗折合标准煤为146.56t/a。</w:t>
            </w:r>
          </w:p>
          <w:p w14:paraId="7C5E9F17">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5、</w:t>
            </w:r>
            <w:r>
              <w:rPr>
                <w:rFonts w:hint="eastAsia" w:ascii="Times New Roman" w:hAnsi="Times New Roman" w:eastAsia="宋体" w:cs="Times New Roman"/>
                <w:b/>
                <w:bCs w:val="0"/>
                <w:sz w:val="24"/>
                <w:szCs w:val="24"/>
                <w:lang w:eastAsia="zh-CN"/>
              </w:rPr>
              <w:t>水平衡</w:t>
            </w:r>
          </w:p>
          <w:p w14:paraId="42554B4B">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本项目用水包括氨水生产用水、冷却用水、氨气回收用水、办公生活用水、消防备用水。</w:t>
            </w:r>
          </w:p>
          <w:p w14:paraId="56A71630">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）氨水生产用水</w:t>
            </w:r>
          </w:p>
          <w:p w14:paraId="73C1AC8C">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本项目利用纯水通过物理稀释液氨的方式年产工业级氨水</w:t>
            </w:r>
            <w:r>
              <w:rPr>
                <w:rFonts w:hint="eastAsia" w:ascii="Times New Roman" w:hAnsi="Times New Roman" w:eastAsia="宋体" w:cs="Times New Roman"/>
                <w:bCs/>
                <w:sz w:val="24"/>
                <w:szCs w:val="24"/>
                <w:lang w:val="en-US" w:eastAsia="zh-CN"/>
              </w:rPr>
              <w:t>15万吨，氨含量（质量分数）为25%，因此纯水用量为112500m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/a，其中4500m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/a直接来自纯水罐，其余108000m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/a来自氨气回收装置（该装置利用纯水吸收回收氨气，得到氨含量极低的水，可充当纯水回用于生产氨水）。</w:t>
            </w:r>
          </w:p>
          <w:p w14:paraId="27D028C3">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本项目设置</w:t>
            </w:r>
            <w:r>
              <w:rPr>
                <w:rFonts w:hint="eastAsia" w:ascii="Times New Roman" w:hAnsi="Times New Roman" w:eastAsia="宋体" w:cs="Times New Roman"/>
                <w:bCs/>
                <w:sz w:val="24"/>
                <w:szCs w:val="24"/>
                <w:lang w:val="en-US" w:eastAsia="zh-CN"/>
              </w:rPr>
              <w:t>2个软水器（单个出水能力50t/h，一用一备），通过离子交换去除市政自来水中的钙、镁离子，降低水质硬度，制备纯水。本项目产品氨水为工业级氨水，对纯水的软硬度要求较低，故采用的软水器纯水率达到95%以上（本评价按95%），因此制备软水所用的原水（市政自来水）用量为118421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p>
          <w:p w14:paraId="495FE5E6">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软水器制备纯水后产生少量浓水（水质硬度较高的水），产生量为5921m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/a，该浓水属于清净下水，直接排入园区雨水管网。</w:t>
            </w:r>
          </w:p>
          <w:p w14:paraId="7370BD7B">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）冷却用水</w:t>
            </w:r>
          </w:p>
          <w:p w14:paraId="01CCF4A8">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①球罐储存过程的冷却用水</w:t>
            </w:r>
          </w:p>
          <w:p w14:paraId="7389A947">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液氨在球罐内常温高压储存，正常情况下，球罐外部靠自然通风不需要用水冷却；但在高温天气、火灾情况、设备故障（如压力控制系统失效或储罐保冷层损坏）等情况下，外部热量可能导致罐内压力上升，此时需要通过喷淋水冷却球罐外壁，降低罐体温度。</w:t>
            </w:r>
          </w:p>
          <w:p w14:paraId="60759C7D">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本项目在各个液氨球罐顶部设置喷淋系统，喷淋水采用防晒循环水池内的自来水，通过冷却循环水泵输送至喷淋系统，对球罐表面进行喷淋降温。</w:t>
            </w:r>
          </w:p>
          <w:p w14:paraId="6CA7C6A6">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sz w:val="24"/>
                <w:szCs w:val="24"/>
                <w:lang w:eastAsia="zh-CN"/>
              </w:rPr>
              <w:t>由于发生火灾以及设备故障等情况具有不确定性，因此本评价仅考虑夏季高温情况下的球罐冷却喷淋用水。夏季高温时，本项目拟每天开启一次喷淋球罐降温，喷淋强度约为</w:t>
            </w:r>
            <w:r>
              <w:rPr>
                <w:rFonts w:hint="eastAsia" w:ascii="Times New Roman" w:hAnsi="Times New Roman" w:eastAsia="宋体" w:cs="Times New Roman"/>
                <w:bCs/>
                <w:sz w:val="24"/>
                <w:szCs w:val="24"/>
                <w:lang w:val="en-US" w:eastAsia="zh-CN"/>
              </w:rPr>
              <w:t>5L/(m</w:t>
            </w:r>
            <w:r>
              <w:rPr>
                <w:rFonts w:hint="eastAsia" w:ascii="Times New Roman" w:hAnsi="Times New Roman" w:eastAsia="宋体" w:cs="Times New Roman"/>
                <w:bCs/>
                <w:sz w:val="24"/>
                <w:szCs w:val="24"/>
                <w:vertAlign w:val="superscript"/>
                <w:lang w:val="en-US" w:eastAsia="zh-CN"/>
              </w:rPr>
              <w:t>2</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min)，单次喷淋时长为30min，单个球罐表面积为490.6m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eastAsia="zh-CN"/>
              </w:rPr>
              <w:t>，因此</w:t>
            </w:r>
            <w:r>
              <w:rPr>
                <w:rFonts w:hint="eastAsia" w:ascii="Times New Roman" w:hAnsi="Times New Roman" w:eastAsia="宋体" w:cs="Times New Roman"/>
                <w:bCs/>
                <w:sz w:val="24"/>
                <w:szCs w:val="24"/>
                <w:lang w:val="en-US" w:eastAsia="zh-CN"/>
              </w:rPr>
              <w:t>4个球罐</w:t>
            </w:r>
            <w:r>
              <w:rPr>
                <w:rFonts w:hint="eastAsia" w:ascii="Times New Roman" w:hAnsi="Times New Roman" w:eastAsia="宋体" w:cs="Times New Roman"/>
                <w:bCs/>
                <w:sz w:val="24"/>
                <w:szCs w:val="24"/>
                <w:lang w:eastAsia="zh-CN"/>
              </w:rPr>
              <w:t>喷淋用水量为</w:t>
            </w:r>
            <w:r>
              <w:rPr>
                <w:rFonts w:hint="eastAsia" w:ascii="Times New Roman" w:hAnsi="Times New Roman" w:eastAsia="宋体" w:cs="Times New Roman"/>
                <w:bCs/>
                <w:sz w:val="24"/>
                <w:szCs w:val="24"/>
                <w:lang w:val="en-US" w:eastAsia="zh-CN"/>
              </w:rPr>
              <w:t>294.4m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/d。考虑产生蒸发损耗，损耗量按15%计</w:t>
            </w:r>
            <w:r>
              <w:rPr>
                <w:rFonts w:hint="eastAsia" w:cs="Times New Roman"/>
                <w:bCs/>
                <w:sz w:val="24"/>
                <w:szCs w:val="24"/>
                <w:lang w:val="en-US" w:eastAsia="zh-CN"/>
              </w:rPr>
              <w:t>，则蒸发损耗</w:t>
            </w:r>
            <w:r>
              <w:rPr>
                <w:rFonts w:hint="eastAsia" w:ascii="Times New Roman" w:hAnsi="Times New Roman" w:eastAsia="宋体" w:cs="Times New Roman"/>
                <w:bCs/>
                <w:sz w:val="24"/>
                <w:szCs w:val="24"/>
                <w:lang w:val="en-US" w:eastAsia="zh-CN"/>
              </w:rPr>
              <w:t>为44.2m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/d，其余250.2m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/d在球罐下方汇集，经管道输送返回防晒循环水池内循环回用。</w:t>
            </w:r>
            <w:r>
              <w:rPr>
                <w:rFonts w:hint="eastAsia" w:cs="Times New Roman"/>
                <w:bCs/>
                <w:color w:val="000000" w:themeColor="text1"/>
                <w:sz w:val="24"/>
                <w:szCs w:val="24"/>
                <w:lang w:val="en-US" w:eastAsia="zh-CN"/>
                <w14:textFill>
                  <w14:solidFill>
                    <w14:schemeClr w14:val="tx1"/>
                  </w14:solidFill>
                </w14:textFill>
              </w:rPr>
              <w:t>云浮市地区夏季高温时段保守取5~11月，共计240天，经计算，本项目蒸发损耗水量为10680m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/a，即本项目球罐冷却喷淋用水补充水量为10680m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/a。</w:t>
            </w:r>
          </w:p>
          <w:p w14:paraId="7891F34E">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②氨水生产过程的冷却用水</w:t>
            </w:r>
          </w:p>
          <w:p w14:paraId="5B778088">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氨水生产过程中，纯水和液氨在吸氨器内接触互溶过程，放出大量的热量，因此需要用水对吸氨器进行吸热冷却处理。</w:t>
            </w:r>
          </w:p>
          <w:p w14:paraId="4061D6C1">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氨的溶解热是指</w:t>
            </w: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lang w:eastAsia="zh-CN"/>
              </w:rPr>
              <w:t>摩尔氨溶解于水时释放的热量，其值为</w:t>
            </w:r>
            <w:r>
              <w:rPr>
                <w:rFonts w:hint="eastAsia" w:ascii="Times New Roman" w:hAnsi="Times New Roman" w:eastAsia="宋体" w:cs="Times New Roman"/>
                <w:bCs/>
                <w:sz w:val="24"/>
                <w:szCs w:val="24"/>
                <w:lang w:val="en-US" w:eastAsia="zh-CN"/>
              </w:rPr>
              <w:t>30.5kJ/mol。氨的摩尔质量为17g/mol，1kg氨的物质的量约为58.82mol，因此单位数量的氨溶于水释放的热量为1794.01kJ/kg（折合428.78kcal/kg）。</w:t>
            </w:r>
          </w:p>
          <w:p w14:paraId="05FDC7D2">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本项目年产工业级氨水</w:t>
            </w:r>
            <w:r>
              <w:rPr>
                <w:rFonts w:hint="eastAsia" w:ascii="Times New Roman" w:hAnsi="Times New Roman" w:eastAsia="宋体" w:cs="Times New Roman"/>
                <w:bCs/>
                <w:sz w:val="24"/>
                <w:szCs w:val="24"/>
                <w:lang w:val="en-US" w:eastAsia="zh-CN"/>
              </w:rPr>
              <w:t>15万吨，其中液氨用量为3.75万吨，年生产7200小时，因此每小时稀释处理的液氨量为5208kg，其溶于水释放的热量为2233086.24kcal/h。</w:t>
            </w:r>
          </w:p>
          <w:p w14:paraId="7CBB8CC3">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本项目设置的冷却循环水池容积为</w:t>
            </w:r>
            <w:r>
              <w:rPr>
                <w:rFonts w:hint="eastAsia" w:ascii="Times New Roman" w:hAnsi="Times New Roman" w:eastAsia="宋体" w:cs="Times New Roman"/>
                <w:bCs/>
                <w:sz w:val="24"/>
                <w:szCs w:val="24"/>
                <w:lang w:val="en-US" w:eastAsia="zh-CN"/>
              </w:rPr>
              <w:t>80m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，储水量按90%计算为72m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vertAlign w:val="baseline"/>
                <w:lang w:val="en-US" w:eastAsia="zh-CN"/>
              </w:rPr>
              <w:t>（</w:t>
            </w:r>
            <w:r>
              <w:rPr>
                <w:rFonts w:hint="eastAsia" w:ascii="Times New Roman" w:hAnsi="Times New Roman" w:eastAsia="宋体" w:cs="Times New Roman"/>
                <w:b/>
                <w:bCs w:val="0"/>
                <w:sz w:val="24"/>
                <w:szCs w:val="24"/>
                <w:vertAlign w:val="baseline"/>
                <w:lang w:val="en-US" w:eastAsia="zh-CN"/>
              </w:rPr>
              <w:t>循环水量</w:t>
            </w:r>
            <w:r>
              <w:rPr>
                <w:rFonts w:hint="eastAsia" w:ascii="Times New Roman" w:hAnsi="Times New Roman" w:eastAsia="宋体" w:cs="Times New Roman"/>
                <w:bCs/>
                <w:sz w:val="24"/>
                <w:szCs w:val="24"/>
                <w:vertAlign w:val="baseline"/>
                <w:lang w:val="en-US" w:eastAsia="zh-CN"/>
              </w:rPr>
              <w:t>）</w:t>
            </w:r>
            <w:r>
              <w:rPr>
                <w:rFonts w:hint="eastAsia" w:ascii="Times New Roman" w:hAnsi="Times New Roman" w:eastAsia="宋体" w:cs="Times New Roman"/>
                <w:bCs/>
                <w:sz w:val="24"/>
                <w:szCs w:val="24"/>
                <w:lang w:val="en-US" w:eastAsia="zh-CN"/>
              </w:rPr>
              <w:t>；配备的冷却循环水泵和凉水塔设计参数均为250m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/h，即氨水生产过程的冷却水</w:t>
            </w:r>
            <w:r>
              <w:rPr>
                <w:rFonts w:hint="eastAsia" w:ascii="Times New Roman" w:hAnsi="Times New Roman" w:eastAsia="宋体" w:cs="Times New Roman"/>
                <w:b/>
                <w:bCs w:val="0"/>
                <w:sz w:val="24"/>
                <w:szCs w:val="24"/>
                <w:lang w:val="en-US" w:eastAsia="zh-CN"/>
              </w:rPr>
              <w:t>循环流量</w:t>
            </w:r>
            <w:r>
              <w:rPr>
                <w:rFonts w:hint="eastAsia" w:ascii="Times New Roman" w:hAnsi="Times New Roman" w:eastAsia="宋体" w:cs="Times New Roman"/>
                <w:bCs/>
                <w:sz w:val="24"/>
                <w:szCs w:val="24"/>
                <w:lang w:val="en-US" w:eastAsia="zh-CN"/>
              </w:rPr>
              <w:t>为250m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/h。常温常压下水的比热容为1kcal/（kg</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℃）。综上，冷却循环水吸收氨释放的热量后升高的温度约为8.93℃。本项目配备的凉水塔设计入口温度45℃，出口温度35℃，温差</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10℃，因此该设备满足氨水生产过程的冷却需要。</w:t>
            </w:r>
          </w:p>
          <w:p w14:paraId="505D77B9">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凉水塔的水蒸发损耗量约为水循环流量的</w:t>
            </w:r>
            <w:r>
              <w:rPr>
                <w:rFonts w:hint="eastAsia" w:ascii="Times New Roman" w:hAnsi="Times New Roman" w:eastAsia="宋体" w:cs="Times New Roman"/>
                <w:bCs/>
                <w:sz w:val="24"/>
                <w:szCs w:val="24"/>
                <w:lang w:val="en-US" w:eastAsia="zh-CN"/>
              </w:rPr>
              <w:t>2%，即蒸发损耗量为5m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/h，其余水经过冷却后循环利用，并相应地补充蒸发损耗的水量。</w:t>
            </w:r>
          </w:p>
          <w:p w14:paraId="0E09CAC4">
            <w:pPr>
              <w:adjustRightInd w:val="0"/>
              <w:snapToGrid w:val="0"/>
              <w:ind w:firstLine="482" w:firstLineChars="200"/>
              <w:rPr>
                <w:rFonts w:hint="eastAsia"/>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（3）尾气吸收塔喷淋用水</w:t>
            </w:r>
          </w:p>
          <w:p w14:paraId="79FA883B">
            <w:pPr>
              <w:adjustRightInd w:val="0"/>
              <w:snapToGrid w:val="0"/>
              <w:spacing w:line="360" w:lineRule="auto"/>
              <w:ind w:firstLine="480" w:firstLineChars="200"/>
              <w:jc w:val="left"/>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本项目</w:t>
            </w:r>
            <w:r>
              <w:rPr>
                <w:rFonts w:hint="eastAsia" w:cs="Times New Roman"/>
                <w:bCs/>
                <w:color w:val="000000" w:themeColor="text1"/>
                <w:sz w:val="24"/>
                <w:szCs w:val="24"/>
                <w:lang w:eastAsia="zh-CN"/>
                <w14:textFill>
                  <w14:solidFill>
                    <w14:schemeClr w14:val="tx1"/>
                  </w14:solidFill>
                </w14:textFill>
              </w:rPr>
              <w:t>液氨球罐、氨水中间罐和氨水储罐在运营期间会产生大小呼吸废气，各储罐灌顶均设置有大小呼吸阀门，阀门密闭连接至项目尾气吸收塔，储罐产生的大小呼吸废气经尾气吸收塔喷淋吸附处理，处理过程产生的喷淋水泵入超级吸氨器作为生产氨水用水</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p>
          <w:p w14:paraId="006EB8DC">
            <w:pPr>
              <w:adjustRightInd w:val="0"/>
              <w:snapToGrid w:val="0"/>
              <w:spacing w:line="360" w:lineRule="auto"/>
              <w:ind w:firstLine="480" w:firstLineChars="200"/>
              <w:jc w:val="left"/>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氨气回收装置工作原理是：氨气经管道通入</w:t>
            </w:r>
            <w:r>
              <w:rPr>
                <w:rFonts w:hint="eastAsia" w:cs="Times New Roman"/>
                <w:bCs/>
                <w:color w:val="000000" w:themeColor="text1"/>
                <w:sz w:val="24"/>
                <w:szCs w:val="24"/>
                <w:lang w:eastAsia="zh-CN"/>
                <w14:textFill>
                  <w14:solidFill>
                    <w14:schemeClr w14:val="tx1"/>
                  </w14:solidFill>
                </w14:textFill>
              </w:rPr>
              <w:t>尾气吸收塔</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内的纯水液面下方，氨气被纯水吸收，同时回收装置内上方也利用纯水进行</w:t>
            </w:r>
            <w:r>
              <w:rPr>
                <w:rFonts w:hint="eastAsia" w:cs="Times New Roman"/>
                <w:bCs/>
                <w:color w:val="000000" w:themeColor="text1"/>
                <w:sz w:val="24"/>
                <w:szCs w:val="24"/>
                <w:lang w:eastAsia="zh-CN"/>
                <w14:textFill>
                  <w14:solidFill>
                    <w14:schemeClr w14:val="tx1"/>
                  </w14:solidFill>
                </w14:textFill>
              </w:rPr>
              <w:t>二级</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喷淋，确保氨气最大程度被纯水吸收回收。</w:t>
            </w:r>
            <w:r>
              <w:rPr>
                <w:rFonts w:hint="eastAsia" w:cs="Times New Roman"/>
                <w:bCs/>
                <w:color w:val="000000" w:themeColor="text1"/>
                <w:sz w:val="24"/>
                <w:szCs w:val="24"/>
                <w:lang w:eastAsia="zh-CN"/>
                <w14:textFill>
                  <w14:solidFill>
                    <w14:schemeClr w14:val="tx1"/>
                  </w14:solidFill>
                </w14:textFill>
              </w:rPr>
              <w:t>尾气吸收塔内</w:t>
            </w:r>
            <w:r>
              <w:rPr>
                <w:rFonts w:hint="eastAsia" w:ascii="Times New Roman" w:hAnsi="Times New Roman" w:eastAsia="宋体" w:cs="Times New Roman"/>
                <w:bCs/>
                <w:color w:val="000000" w:themeColor="text1"/>
                <w:sz w:val="24"/>
                <w:szCs w:val="24"/>
                <w:lang w:eastAsia="zh-CN"/>
                <w14:textFill>
                  <w14:solidFill>
                    <w14:schemeClr w14:val="tx1"/>
                  </w14:solidFill>
                </w14:textFill>
              </w:rPr>
              <w:t>纯水吸收氨气后其氨浓度极低，该纯水可回用于生产氨水。</w:t>
            </w:r>
          </w:p>
          <w:p w14:paraId="5C93DC6E">
            <w:pPr>
              <w:adjustRightInd w:val="0"/>
              <w:snapToGrid w:val="0"/>
              <w:spacing w:line="360" w:lineRule="auto"/>
              <w:ind w:firstLine="480" w:firstLineChars="200"/>
              <w:jc w:val="left"/>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cs="Times New Roman"/>
                <w:bCs/>
                <w:color w:val="000000" w:themeColor="text1"/>
                <w:sz w:val="24"/>
                <w:szCs w:val="24"/>
                <w:lang w:eastAsia="zh-CN"/>
                <w14:textFill>
                  <w14:solidFill>
                    <w14:schemeClr w14:val="tx1"/>
                  </w14:solidFill>
                </w14:textFill>
              </w:rPr>
              <w:t>根据项目设计资料，吸氨器生产用纯水其中4500m</w:t>
            </w:r>
            <w:r>
              <w:rPr>
                <w:rFonts w:hint="eastAsia" w:cs="Times New Roman"/>
                <w:bCs/>
                <w:color w:val="000000" w:themeColor="text1"/>
                <w:sz w:val="24"/>
                <w:szCs w:val="24"/>
                <w:vertAlign w:val="superscript"/>
                <w:lang w:eastAsia="zh-CN"/>
                <w14:textFill>
                  <w14:solidFill>
                    <w14:schemeClr w14:val="tx1"/>
                  </w14:solidFill>
                </w14:textFill>
              </w:rPr>
              <w:t>3</w:t>
            </w:r>
            <w:r>
              <w:rPr>
                <w:rFonts w:hint="eastAsia" w:cs="Times New Roman"/>
                <w:bCs/>
                <w:color w:val="000000" w:themeColor="text1"/>
                <w:sz w:val="24"/>
                <w:szCs w:val="24"/>
                <w:lang w:eastAsia="zh-CN"/>
                <w14:textFill>
                  <w14:solidFill>
                    <w14:schemeClr w14:val="tx1"/>
                  </w14:solidFill>
                </w14:textFill>
              </w:rPr>
              <w:t>/a直接来自纯水罐，其余108000m</w:t>
            </w:r>
            <w:r>
              <w:rPr>
                <w:rFonts w:hint="eastAsia" w:cs="Times New Roman"/>
                <w:bCs/>
                <w:color w:val="000000" w:themeColor="text1"/>
                <w:sz w:val="24"/>
                <w:szCs w:val="24"/>
                <w:vertAlign w:val="superscript"/>
                <w:lang w:eastAsia="zh-CN"/>
                <w14:textFill>
                  <w14:solidFill>
                    <w14:schemeClr w14:val="tx1"/>
                  </w14:solidFill>
                </w14:textFill>
              </w:rPr>
              <w:t>3</w:t>
            </w:r>
            <w:r>
              <w:rPr>
                <w:rFonts w:hint="eastAsia" w:cs="Times New Roman"/>
                <w:bCs/>
                <w:color w:val="000000" w:themeColor="text1"/>
                <w:sz w:val="24"/>
                <w:szCs w:val="24"/>
                <w:lang w:eastAsia="zh-CN"/>
                <w14:textFill>
                  <w14:solidFill>
                    <w14:schemeClr w14:val="tx1"/>
                  </w14:solidFill>
                </w14:textFill>
              </w:rPr>
              <w:t>/a纯水来自尾气吸收塔（该装置利用纯水吸收回收氨气，得到氨含量极低的水，可充当纯水回用于生产氨水），综上所述，本项目尾气吸收塔喷淋用水量为108000m</w:t>
            </w:r>
            <w:r>
              <w:rPr>
                <w:rFonts w:hint="eastAsia" w:cs="Times New Roman"/>
                <w:bCs/>
                <w:color w:val="000000" w:themeColor="text1"/>
                <w:sz w:val="24"/>
                <w:szCs w:val="24"/>
                <w:vertAlign w:val="superscript"/>
                <w:lang w:eastAsia="zh-CN"/>
                <w14:textFill>
                  <w14:solidFill>
                    <w14:schemeClr w14:val="tx1"/>
                  </w14:solidFill>
                </w14:textFill>
              </w:rPr>
              <w:t>3</w:t>
            </w:r>
            <w:r>
              <w:rPr>
                <w:rFonts w:hint="eastAsia" w:cs="Times New Roman"/>
                <w:bCs/>
                <w:color w:val="000000" w:themeColor="text1"/>
                <w:sz w:val="24"/>
                <w:szCs w:val="24"/>
                <w:lang w:eastAsia="zh-CN"/>
                <w14:textFill>
                  <w14:solidFill>
                    <w14:schemeClr w14:val="tx1"/>
                  </w14:solidFill>
                </w14:textFill>
              </w:rPr>
              <w:t>/a，其中所有喷淋用水均回用于项目氨水生产，另外尾气吸收塔设置有</w:t>
            </w:r>
            <w:r>
              <w:rPr>
                <w:rFonts w:hint="eastAsia" w:cs="Times New Roman"/>
                <w:bCs/>
                <w:color w:val="000000" w:themeColor="text1"/>
                <w:sz w:val="24"/>
                <w:szCs w:val="24"/>
                <w:lang w:val="en-US" w:eastAsia="zh-CN"/>
                <w14:textFill>
                  <w14:solidFill>
                    <w14:schemeClr w14:val="tx1"/>
                  </w14:solidFill>
                </w14:textFill>
              </w:rPr>
              <w:t>12.5m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/h的吸收循环泵，其作用为循环喷淋吸收塔内纯水</w:t>
            </w:r>
            <w:r>
              <w:rPr>
                <w:rFonts w:hint="eastAsia" w:cs="Times New Roman"/>
                <w:bCs/>
                <w:color w:val="000000" w:themeColor="text1"/>
                <w:sz w:val="24"/>
                <w:szCs w:val="24"/>
                <w:lang w:eastAsia="zh-CN"/>
                <w14:textFill>
                  <w14:solidFill>
                    <w14:schemeClr w14:val="tx1"/>
                  </w14:solidFill>
                </w14:textFill>
              </w:rPr>
              <w:t>。（详见下图）</w:t>
            </w:r>
          </w:p>
          <w:p w14:paraId="68BEA036">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drawing>
                <wp:inline distT="0" distB="0" distL="114300" distR="114300">
                  <wp:extent cx="5181600" cy="200025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5181600" cy="2000250"/>
                          </a:xfrm>
                          <a:prstGeom prst="rect">
                            <a:avLst/>
                          </a:prstGeom>
                          <a:noFill/>
                          <a:ln>
                            <a:noFill/>
                          </a:ln>
                        </pic:spPr>
                      </pic:pic>
                    </a:graphicData>
                  </a:graphic>
                </wp:inline>
              </w:drawing>
            </w:r>
          </w:p>
          <w:p w14:paraId="6CD151B9">
            <w:pPr>
              <w:bidi w:val="0"/>
              <w:adjustRightInd w:val="0"/>
              <w:snapToGrid w:val="0"/>
              <w:spacing w:line="360" w:lineRule="auto"/>
              <w:jc w:val="center"/>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宋体"/>
                <w:b/>
                <w:bCs/>
                <w:color w:val="000000" w:themeColor="text1"/>
                <w:kern w:val="2"/>
                <w:sz w:val="24"/>
                <w:lang w:val="en-US" w:eastAsia="zh-CN" w:bidi="ar-SA"/>
                <w14:textFill>
                  <w14:solidFill>
                    <w14:schemeClr w14:val="tx1"/>
                  </w14:solidFill>
                </w14:textFill>
              </w:rPr>
              <w:t>图2-1 尾气吸收塔水平衡图</w:t>
            </w:r>
          </w:p>
          <w:p w14:paraId="353CC6EC">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4</w:t>
            </w:r>
            <w:r>
              <w:rPr>
                <w:rFonts w:hint="eastAsia" w:ascii="Times New Roman" w:hAnsi="Times New Roman" w:eastAsia="宋体" w:cs="Times New Roman"/>
                <w:b/>
                <w:bCs w:val="0"/>
                <w:sz w:val="24"/>
                <w:szCs w:val="24"/>
                <w:lang w:eastAsia="zh-CN"/>
              </w:rPr>
              <w:t>）办公生活用水</w:t>
            </w:r>
          </w:p>
          <w:p w14:paraId="18987CAE">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本项目劳动定员为</w:t>
            </w:r>
            <w:r>
              <w:rPr>
                <w:rFonts w:hint="eastAsia" w:ascii="Times New Roman" w:hAnsi="Times New Roman" w:eastAsia="宋体" w:cs="Times New Roman"/>
                <w:bCs/>
                <w:sz w:val="24"/>
                <w:szCs w:val="24"/>
                <w:lang w:val="en-US" w:eastAsia="zh-CN"/>
              </w:rPr>
              <w:t>47人，厂内不安排食宿。参考《用水定额 第3部分：生活》（DB44/T1461.3-2021）表A.1的办公楼（无食堂和浴室）的先进值用水定额为10m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/（人</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a）、通用值用水定额为28m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/（人</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a），本评价取平均值19m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/（人</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a），因此项目办公生活用水量为893m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r>
              <w:rPr>
                <w:rFonts w:hint="eastAsia" w:ascii="Times New Roman" w:hAnsi="Times New Roman" w:eastAsia="宋体" w:cs="Times New Roman"/>
                <w:bCs/>
                <w:sz w:val="24"/>
                <w:szCs w:val="24"/>
                <w:lang w:eastAsia="zh-CN"/>
              </w:rPr>
              <w:t>。</w:t>
            </w:r>
          </w:p>
          <w:p w14:paraId="7BC49ADC">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办公生活用水折污系数取</w:t>
            </w:r>
            <w:r>
              <w:rPr>
                <w:rFonts w:hint="eastAsia" w:ascii="Times New Roman" w:hAnsi="Times New Roman" w:eastAsia="宋体" w:cs="Times New Roman"/>
                <w:bCs/>
                <w:sz w:val="24"/>
                <w:szCs w:val="24"/>
                <w:lang w:val="en-US" w:eastAsia="zh-CN"/>
              </w:rPr>
              <w:t>85%，因此办公生活污水产生量为759m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/a。办公生活污水进入三级化粪池处理，出水排入园区污水处理厂进一步处理。</w:t>
            </w:r>
          </w:p>
          <w:p w14:paraId="4977F529">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5</w:t>
            </w:r>
            <w:r>
              <w:rPr>
                <w:rFonts w:hint="eastAsia" w:ascii="Times New Roman" w:hAnsi="Times New Roman" w:eastAsia="宋体" w:cs="Times New Roman"/>
                <w:b/>
                <w:bCs w:val="0"/>
                <w:sz w:val="24"/>
                <w:szCs w:val="24"/>
                <w:lang w:eastAsia="zh-CN"/>
              </w:rPr>
              <w:t>）消防备用水</w:t>
            </w:r>
          </w:p>
          <w:p w14:paraId="13653A66">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本项目设置</w:t>
            </w:r>
            <w:r>
              <w:rPr>
                <w:rFonts w:hint="eastAsia" w:ascii="Times New Roman" w:hAnsi="Times New Roman" w:eastAsia="宋体" w:cs="Times New Roman"/>
                <w:bCs/>
                <w:sz w:val="24"/>
                <w:szCs w:val="24"/>
                <w:lang w:val="en-US" w:eastAsia="zh-CN"/>
              </w:rPr>
              <w:t>2个消防水罐，日常储备消防用水，单个消防水罐有效容积为2200m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，因此项目消防备用水量为4400m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p>
          <w:p w14:paraId="24E2E8F7">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6</w:t>
            </w:r>
            <w:r>
              <w:rPr>
                <w:rFonts w:hint="eastAsia" w:ascii="Times New Roman" w:hAnsi="Times New Roman" w:eastAsia="宋体" w:cs="Times New Roman"/>
                <w:b/>
                <w:bCs w:val="0"/>
                <w:sz w:val="24"/>
                <w:szCs w:val="24"/>
                <w:lang w:eastAsia="zh-CN"/>
              </w:rPr>
              <w:t>）初期雨水</w:t>
            </w:r>
          </w:p>
          <w:p w14:paraId="0C454F4D">
            <w:pPr>
              <w:adjustRightInd w:val="0"/>
              <w:snapToGrid w:val="0"/>
              <w:spacing w:line="360" w:lineRule="auto"/>
              <w:ind w:firstLine="482" w:firstLineChars="200"/>
              <w:jc w:val="both"/>
              <w:rPr>
                <w:rFonts w:hint="default" w:ascii="Times New Roman" w:hAnsi="Times New Roman" w:eastAsia="宋体" w:cs="Times New Roman"/>
                <w:bCs/>
                <w:sz w:val="24"/>
                <w:szCs w:val="24"/>
                <w:lang w:val="en-US" w:eastAsia="zh-CN"/>
              </w:rPr>
            </w:pPr>
            <w:r>
              <w:rPr>
                <w:rFonts w:hint="eastAsia" w:ascii="楷体" w:hAnsi="楷体" w:eastAsia="楷体" w:cs="楷体"/>
                <w:b/>
                <w:bCs w:val="0"/>
                <w:sz w:val="24"/>
                <w:szCs w:val="24"/>
                <w:lang w:eastAsia="zh-CN"/>
              </w:rPr>
              <w:t>年平均雨水径流量</w:t>
            </w:r>
            <w:r>
              <w:rPr>
                <w:rFonts w:hint="eastAsia" w:ascii="楷体" w:hAnsi="楷体" w:eastAsia="楷体" w:cs="楷体"/>
                <w:b/>
                <w:bCs w:val="0"/>
                <w:sz w:val="24"/>
                <w:szCs w:val="24"/>
                <w:lang w:val="en-US" w:eastAsia="zh-CN"/>
              </w:rPr>
              <w:t>=年平均降雨量×径流系数×汇水面积。</w:t>
            </w:r>
          </w:p>
          <w:p w14:paraId="04D10E4D">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有关统计资料显示，云安区多年平均降雨量为</w:t>
            </w:r>
            <w:r>
              <w:rPr>
                <w:rFonts w:hint="eastAsia" w:ascii="Times New Roman" w:hAnsi="Times New Roman" w:eastAsia="宋体" w:cs="Times New Roman"/>
                <w:bCs/>
                <w:sz w:val="24"/>
                <w:szCs w:val="24"/>
                <w:lang w:val="en-US" w:eastAsia="zh-CN"/>
              </w:rPr>
              <w:t>1587mm。</w:t>
            </w:r>
          </w:p>
          <w:p w14:paraId="72BEF175">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用地范围内基本硬底化（或建筑屋面、钢结构顶棚、混凝土池体等），参考《建筑给水排水设计标准》（GB50015-2019）和《室外排水设计规范》（GB50014-2006）等标准规范，屋面、混凝土或沥青路面径流系数在0.85~0.95之间；同时径流系数受当地气候影响较大（如降雨强度低、降雨历时长时，降雨可能不会产生径流雨水），因此本评价对项目降雨径流系数取0.8。</w:t>
            </w:r>
          </w:p>
          <w:p w14:paraId="0C02B341">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本项目用地面积为21666.86m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val="en-US" w:eastAsia="zh-CN"/>
              </w:rPr>
              <w:t>。</w:t>
            </w:r>
          </w:p>
          <w:p w14:paraId="5728E54F">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综上，本项目径流雨水产生量为</w:t>
            </w:r>
            <w:r>
              <w:rPr>
                <w:rFonts w:hint="eastAsia" w:ascii="Times New Roman" w:hAnsi="Times New Roman" w:eastAsia="宋体" w:cs="Times New Roman"/>
                <w:bCs/>
                <w:sz w:val="24"/>
                <w:szCs w:val="24"/>
                <w:lang w:val="en-US" w:eastAsia="zh-CN"/>
              </w:rPr>
              <w:t>27508m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r>
              <w:rPr>
                <w:rFonts w:hint="eastAsia" w:ascii="Times New Roman" w:hAnsi="Times New Roman" w:eastAsia="宋体" w:cs="Times New Roman"/>
                <w:bCs/>
                <w:sz w:val="24"/>
                <w:szCs w:val="24"/>
                <w:lang w:eastAsia="zh-CN"/>
              </w:rPr>
              <w:t>。</w:t>
            </w:r>
          </w:p>
          <w:p w14:paraId="47D6982E">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初期雨水设计流量计算公式如下：</w:t>
            </w:r>
          </w:p>
          <w:p w14:paraId="328E06C8">
            <w:pPr>
              <w:adjustRightInd w:val="0"/>
              <w:snapToGrid w:val="0"/>
              <w:spacing w:line="360" w:lineRule="auto"/>
              <w:jc w:val="center"/>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Q=q×a×F</w:t>
            </w:r>
          </w:p>
          <w:p w14:paraId="7591D963">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式中：Q</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雨水设计流量，L/s；</w:t>
            </w:r>
          </w:p>
          <w:p w14:paraId="44280D49">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q</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设计暴雨强度，L/s</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ha；</w:t>
            </w:r>
          </w:p>
          <w:p w14:paraId="50CF9E6F">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a</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径流系数；取</w:t>
            </w:r>
            <w:r>
              <w:rPr>
                <w:rFonts w:hint="eastAsia" w:ascii="Times New Roman" w:hAnsi="Times New Roman" w:eastAsia="宋体" w:cs="Times New Roman"/>
                <w:bCs/>
                <w:sz w:val="24"/>
                <w:szCs w:val="24"/>
                <w:lang w:val="en-US" w:eastAsia="zh-CN"/>
              </w:rPr>
              <w:t>0.8</w:t>
            </w:r>
            <w:r>
              <w:rPr>
                <w:rFonts w:hint="eastAsia" w:ascii="Times New Roman" w:hAnsi="Times New Roman" w:eastAsia="宋体" w:cs="Times New Roman"/>
                <w:bCs/>
                <w:sz w:val="24"/>
                <w:szCs w:val="24"/>
                <w:lang w:eastAsia="zh-CN"/>
              </w:rPr>
              <w:t>；</w:t>
            </w:r>
          </w:p>
          <w:p w14:paraId="2ECDB269">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F</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汇水面积，ha。</w:t>
            </w:r>
          </w:p>
          <w:p w14:paraId="0CB56D53">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根据《云浮市城市规划技术管理规定》(云府办[2018]1号)，云浮市设计暴雨强度参照肇庆市的暴雨强度公式：</w:t>
            </w:r>
          </w:p>
          <w:p w14:paraId="1C549AA1">
            <w:pPr>
              <w:spacing w:line="240" w:lineRule="auto"/>
              <w:jc w:val="center"/>
              <w:rPr>
                <w:rFonts w:hint="eastAsia"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q=</w:t>
            </w:r>
            <w:r>
              <w:rPr>
                <w:rFonts w:ascii="Times New Roman" w:hAnsi="Times New Roman" w:eastAsia="宋体" w:cs="Times New Roman"/>
                <w:b/>
                <w:bCs/>
                <w:color w:val="000000"/>
                <w:position w:val="-24"/>
                <w:sz w:val="21"/>
              </w:rPr>
              <w:object>
                <v:shape id="_x0000_i1025" o:spt="75" type="#_x0000_t75" style="height:31pt;width:114.95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14:paraId="75DED15E">
            <w:pPr>
              <w:adjustRightInd w:val="0"/>
              <w:snapToGrid w:val="0"/>
              <w:spacing w:line="360" w:lineRule="auto"/>
              <w:ind w:firstLine="420" w:firstLineChars="200"/>
              <w:jc w:val="left"/>
              <w:rPr>
                <w:rFonts w:hint="eastAsia" w:ascii="Times New Roman" w:hAnsi="Times New Roman" w:eastAsia="宋体" w:cs="Times New Roman"/>
                <w:bCs/>
                <w:sz w:val="24"/>
                <w:szCs w:val="24"/>
                <w:lang w:eastAsia="zh-CN"/>
              </w:rPr>
            </w:pPr>
            <w:r>
              <w:rPr>
                <w:rFonts w:ascii="Times New Roman" w:hAnsi="Times New Roman" w:eastAsia="宋体" w:cs="Times New Roman"/>
                <w:color w:val="000000"/>
                <w:sz w:val="21"/>
              </w:rPr>
              <w:t>式</w:t>
            </w:r>
            <w:r>
              <w:rPr>
                <w:rFonts w:hint="eastAsia" w:ascii="Times New Roman" w:hAnsi="Times New Roman" w:eastAsia="宋体" w:cs="Times New Roman"/>
                <w:bCs/>
                <w:sz w:val="24"/>
                <w:szCs w:val="24"/>
                <w:lang w:eastAsia="zh-CN"/>
              </w:rPr>
              <w:t>中：q</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设计暴雨强度，L/s</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ha；</w:t>
            </w:r>
          </w:p>
          <w:p w14:paraId="69ADC624">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t</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设计降雨历时，min；取15min；</w:t>
            </w:r>
          </w:p>
          <w:p w14:paraId="40672986">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P</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设计暴雨重现期，年；取1年。</w:t>
            </w:r>
          </w:p>
          <w:p w14:paraId="36D86F17">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综上，设计暴雨强度</w:t>
            </w:r>
            <w:r>
              <w:rPr>
                <w:rFonts w:hint="eastAsia" w:ascii="Times New Roman" w:hAnsi="Times New Roman" w:eastAsia="宋体" w:cs="Times New Roman"/>
                <w:bCs/>
                <w:sz w:val="24"/>
                <w:szCs w:val="24"/>
                <w:lang w:val="en-US" w:eastAsia="zh-CN"/>
              </w:rPr>
              <w:t>q为286L/s</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ha。</w:t>
            </w:r>
          </w:p>
          <w:p w14:paraId="6D1FDAC8">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液氨球罐区和氨水罐区，与生产车间和综合楼的天面雨水污染程度较低，该天面雨水通过斜坡汇流至天沟，再通过管道落下就近排入园区雨水管网，本评价考虑该部分雨水不计入初期雨水。因此除生产车间、综合楼、液氨球罐区和氨水罐区外，其它区域为汇水面积，占地</w:t>
            </w:r>
            <w:r>
              <w:rPr>
                <w:rFonts w:hint="eastAsia" w:ascii="Times New Roman" w:hAnsi="Times New Roman" w:eastAsia="宋体" w:cs="Times New Roman"/>
                <w:bCs/>
                <w:sz w:val="24"/>
                <w:szCs w:val="24"/>
                <w:lang w:val="en-US" w:eastAsia="zh-CN"/>
              </w:rPr>
              <w:t>16362.7m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val="en-US" w:eastAsia="zh-CN"/>
              </w:rPr>
              <w:t>，即1.63627ha。</w:t>
            </w:r>
          </w:p>
          <w:p w14:paraId="2552F620">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综上，雨水设计流量为</w:t>
            </w:r>
            <w:r>
              <w:rPr>
                <w:rFonts w:hint="eastAsia" w:ascii="Times New Roman" w:hAnsi="Times New Roman" w:eastAsia="宋体" w:cs="Times New Roman"/>
                <w:bCs/>
                <w:sz w:val="24"/>
                <w:szCs w:val="24"/>
                <w:lang w:val="en-US" w:eastAsia="zh-CN"/>
              </w:rPr>
              <w:t>374.38L/s。项目单次初期雨水产生量为337m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。项目设置的初期雨水池为400m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，满足需要。初期雨水在初期雨水池内进行</w:t>
            </w:r>
            <w:r>
              <w:rPr>
                <w:rFonts w:hint="eastAsia" w:cs="Times New Roman"/>
                <w:bCs/>
                <w:color w:val="000000" w:themeColor="text1"/>
                <w:sz w:val="24"/>
                <w:szCs w:val="24"/>
                <w:lang w:val="en-US" w:eastAsia="zh-CN"/>
                <w14:textFill>
                  <w14:solidFill>
                    <w14:schemeClr w14:val="tx1"/>
                  </w14:solidFill>
                </w14:textFill>
              </w:rPr>
              <w:t>暂存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交由有资质的污水处理单位安排槽罐车清运处置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40A0F8CA">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本评价考虑降雨强度与历时的不确定因素，假设日平均降雨量集中在降雨初期1h内，估计初期雨水年产生量按以下公式进行计算：</w:t>
            </w:r>
          </w:p>
          <w:p w14:paraId="58BDA721">
            <w:pPr>
              <w:pStyle w:val="16"/>
              <w:bidi w:val="0"/>
              <w:rPr>
                <w:rFonts w:hint="eastAsia"/>
                <w:lang w:eastAsia="zh-CN"/>
              </w:rPr>
            </w:pPr>
            <w:r>
              <w:rPr>
                <w:rFonts w:hint="eastAsia"/>
                <w:lang w:eastAsia="zh-CN"/>
              </w:rPr>
              <w:t>年均初期雨水量=年平均降雨量×径流系数×汇水面积×</w:t>
            </w:r>
            <w:r>
              <w:rPr>
                <w:rFonts w:hint="default"/>
                <w:lang w:eastAsia="zh-CN"/>
              </w:rPr>
              <w:t>15/60</w:t>
            </w:r>
          </w:p>
          <w:p w14:paraId="0F6CCEB7">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综上，项目全年初期雨水量为</w:t>
            </w:r>
            <w:r>
              <w:rPr>
                <w:rFonts w:hint="eastAsia" w:ascii="Times New Roman" w:hAnsi="Times New Roman" w:eastAsia="宋体" w:cs="Times New Roman"/>
                <w:bCs/>
                <w:sz w:val="24"/>
                <w:szCs w:val="24"/>
                <w:lang w:val="en-US" w:eastAsia="zh-CN"/>
              </w:rPr>
              <w:t>5193</w:t>
            </w:r>
            <w:r>
              <w:rPr>
                <w:rFonts w:hint="eastAsia" w:ascii="Times New Roman" w:hAnsi="Times New Roman" w:eastAsia="宋体" w:cs="Times New Roman"/>
                <w:bCs/>
                <w:sz w:val="24"/>
                <w:szCs w:val="24"/>
                <w:lang w:eastAsia="zh-CN"/>
              </w:rPr>
              <w:t>m</w:t>
            </w:r>
            <w:r>
              <w:rPr>
                <w:rFonts w:hint="eastAsia" w:ascii="Times New Roman" w:hAnsi="Times New Roman" w:eastAsia="宋体" w:cs="Times New Roman"/>
                <w:bCs/>
                <w:sz w:val="24"/>
                <w:szCs w:val="24"/>
                <w:vertAlign w:val="superscript"/>
                <w:lang w:eastAsia="zh-CN"/>
              </w:rPr>
              <w:t>3</w:t>
            </w:r>
            <w:r>
              <w:rPr>
                <w:rFonts w:hint="eastAsia" w:ascii="Times New Roman" w:hAnsi="Times New Roman" w:eastAsia="宋体" w:cs="Times New Roman"/>
                <w:bCs/>
                <w:sz w:val="24"/>
                <w:szCs w:val="24"/>
                <w:lang w:eastAsia="zh-CN"/>
              </w:rPr>
              <w:t>。</w:t>
            </w:r>
          </w:p>
          <w:p w14:paraId="7D0A1633">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综上，本项目水平衡见图</w:t>
            </w:r>
            <w:r>
              <w:rPr>
                <w:rFonts w:hint="eastAsia" w:ascii="Times New Roman" w:hAnsi="Times New Roman" w:eastAsia="宋体" w:cs="Times New Roman"/>
                <w:bCs/>
                <w:sz w:val="24"/>
                <w:szCs w:val="24"/>
                <w:lang w:val="en-US" w:eastAsia="zh-CN"/>
              </w:rPr>
              <w:t>2-4</w:t>
            </w:r>
            <w:r>
              <w:rPr>
                <w:rFonts w:hint="eastAsia" w:ascii="Times New Roman" w:hAnsi="Times New Roman" w:eastAsia="宋体" w:cs="Times New Roman"/>
                <w:bCs/>
                <w:sz w:val="24"/>
                <w:szCs w:val="24"/>
                <w:lang w:eastAsia="zh-CN"/>
              </w:rPr>
              <w:t>。</w:t>
            </w:r>
          </w:p>
          <w:p w14:paraId="094469E3">
            <w:pPr>
              <w:adjustRightInd w:val="0"/>
              <w:snapToGrid w:val="0"/>
              <w:spacing w:line="360" w:lineRule="auto"/>
              <w:jc w:val="center"/>
              <w:rPr>
                <w:rFonts w:hint="eastAsia" w:ascii="Times New Roman" w:hAnsi="Times New Roman" w:eastAsia="宋体" w:cs="Times New Roman"/>
                <w:bCs/>
                <w:sz w:val="24"/>
                <w:szCs w:val="24"/>
                <w:lang w:eastAsia="zh-CN"/>
              </w:rPr>
            </w:pPr>
            <w:r>
              <w:drawing>
                <wp:inline distT="0" distB="0" distL="114300" distR="114300">
                  <wp:extent cx="6030595" cy="6237605"/>
                  <wp:effectExtent l="0" t="0" r="8255" b="1079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0"/>
                          <a:stretch>
                            <a:fillRect/>
                          </a:stretch>
                        </pic:blipFill>
                        <pic:spPr>
                          <a:xfrm>
                            <a:off x="0" y="0"/>
                            <a:ext cx="6030595" cy="6237605"/>
                          </a:xfrm>
                          <a:prstGeom prst="rect">
                            <a:avLst/>
                          </a:prstGeom>
                          <a:noFill/>
                          <a:ln>
                            <a:noFill/>
                          </a:ln>
                        </pic:spPr>
                      </pic:pic>
                    </a:graphicData>
                  </a:graphic>
                </wp:inline>
              </w:drawing>
            </w:r>
          </w:p>
          <w:p w14:paraId="0B21FCC8">
            <w:pPr>
              <w:adjustRightInd w:val="0"/>
              <w:snapToGrid w:val="0"/>
              <w:spacing w:line="360" w:lineRule="auto"/>
              <w:jc w:val="cente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szCs w:val="24"/>
                <w:lang w:eastAsia="zh-CN"/>
                <w14:textFill>
                  <w14:solidFill>
                    <w14:schemeClr w14:val="tx1"/>
                  </w14:solidFill>
                </w14:textFill>
              </w:rPr>
              <w:t>图</w:t>
            </w: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2-4 本项目水平衡</w:t>
            </w:r>
          </w:p>
          <w:p w14:paraId="1590C2D3">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val="en-US" w:eastAsia="zh-CN"/>
              </w:rPr>
              <w:t>6、</w:t>
            </w:r>
            <w:r>
              <w:rPr>
                <w:rFonts w:hint="eastAsia" w:ascii="Times New Roman" w:hAnsi="Times New Roman" w:eastAsia="宋体" w:cs="Times New Roman"/>
                <w:b/>
                <w:bCs w:val="0"/>
                <w:sz w:val="24"/>
                <w:szCs w:val="24"/>
                <w:lang w:eastAsia="zh-CN"/>
              </w:rPr>
              <w:t>劳动定员和工作制度</w:t>
            </w:r>
          </w:p>
          <w:p w14:paraId="43957C21">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本项目全厂拟定员工47人，</w:t>
            </w:r>
            <w:r>
              <w:rPr>
                <w:rFonts w:hint="eastAsia" w:ascii="Times New Roman" w:hAnsi="Times New Roman" w:eastAsia="宋体" w:cs="Times New Roman"/>
                <w:bCs/>
                <w:sz w:val="24"/>
                <w:szCs w:val="24"/>
                <w:lang w:val="en-US" w:eastAsia="zh-CN"/>
              </w:rPr>
              <w:t>厂内不安排食宿。</w:t>
            </w:r>
          </w:p>
          <w:p w14:paraId="00DB5CBB">
            <w:pPr>
              <w:ind w:firstLine="480" w:firstLineChars="200"/>
            </w:pPr>
            <w:r>
              <w:rPr>
                <w:rFonts w:hint="eastAsia" w:ascii="Times New Roman" w:hAnsi="Times New Roman" w:eastAsia="宋体" w:cs="Times New Roman"/>
                <w:bCs/>
                <w:sz w:val="24"/>
                <w:szCs w:val="24"/>
                <w:lang w:eastAsia="zh-CN"/>
              </w:rPr>
              <w:t>本项目液氨输送至厂外的湿法磷酸项目以及氨水生产均采用三班工作制，每班工作8小时，每年工作300天；液氨钢瓶充装采用单班</w:t>
            </w:r>
            <w:r>
              <w:rPr>
                <w:rFonts w:hint="eastAsia" w:ascii="Times New Roman" w:hAnsi="Times New Roman" w:eastAsia="宋体" w:cs="Times New Roman"/>
                <w:bCs/>
                <w:sz w:val="24"/>
                <w:szCs w:val="24"/>
                <w:lang w:val="en-US" w:eastAsia="zh-CN"/>
              </w:rPr>
              <w:t>8小时工作制，年生产300天</w:t>
            </w:r>
            <w:r>
              <w:rPr>
                <w:rFonts w:hint="eastAsia" w:ascii="Times New Roman" w:hAnsi="Times New Roman" w:eastAsia="宋体" w:cs="Times New Roman"/>
                <w:bCs/>
                <w:sz w:val="24"/>
                <w:szCs w:val="24"/>
                <w:lang w:eastAsia="zh-CN"/>
              </w:rPr>
              <w:t>。</w:t>
            </w:r>
          </w:p>
        </w:tc>
      </w:tr>
    </w:tbl>
    <w:p w14:paraId="1E4A968D">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11"/>
        <w:tblW w:w="101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692"/>
      </w:tblGrid>
      <w:tr w14:paraId="2609C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3D604973">
            <w:pPr>
              <w:adjustRightInd w:val="0"/>
              <w:snapToGrid w:val="0"/>
              <w:jc w:val="center"/>
              <w:rPr>
                <w:rFonts w:cs="宋体"/>
                <w:sz w:val="21"/>
                <w:szCs w:val="21"/>
              </w:rPr>
            </w:pPr>
            <w:r>
              <w:rPr>
                <w:rFonts w:hint="eastAsia" w:cs="宋体"/>
                <w:b/>
                <w:bCs/>
                <w:sz w:val="21"/>
                <w:szCs w:val="21"/>
              </w:rPr>
              <w:t>工艺流程和产排污环节</w:t>
            </w:r>
          </w:p>
        </w:tc>
        <w:tc>
          <w:tcPr>
            <w:tcW w:w="9692" w:type="dxa"/>
          </w:tcPr>
          <w:p w14:paraId="54A383BC">
            <w:pPr>
              <w:adjustRightInd w:val="0"/>
              <w:snapToGrid w:val="0"/>
              <w:rPr>
                <w:b/>
                <w:bCs/>
              </w:rPr>
            </w:pPr>
            <w:r>
              <w:rPr>
                <w:rFonts w:hint="eastAsia"/>
                <w:b/>
                <w:bCs/>
              </w:rPr>
              <w:t>项目生产工艺流程如下：</w:t>
            </w:r>
          </w:p>
          <w:p w14:paraId="0DF271B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baseline"/>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1、液氨卸车</w:t>
            </w:r>
          </w:p>
          <w:p w14:paraId="34AACA8B">
            <w:pPr>
              <w:pStyle w:val="14"/>
              <w:bidi w:val="0"/>
              <w:rPr>
                <w:rFonts w:hint="eastAsia"/>
                <w:lang w:eastAsia="zh-CN"/>
              </w:rPr>
            </w:pPr>
            <w:r>
              <w:drawing>
                <wp:inline distT="0" distB="0" distL="114300" distR="114300">
                  <wp:extent cx="1893570" cy="4372610"/>
                  <wp:effectExtent l="0" t="0" r="11430"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1893570" cy="4372610"/>
                          </a:xfrm>
                          <a:prstGeom prst="rect">
                            <a:avLst/>
                          </a:prstGeom>
                          <a:noFill/>
                          <a:ln>
                            <a:noFill/>
                          </a:ln>
                        </pic:spPr>
                      </pic:pic>
                    </a:graphicData>
                  </a:graphic>
                </wp:inline>
              </w:drawing>
            </w:r>
          </w:p>
          <w:p w14:paraId="34A0F55E">
            <w:pPr>
              <w:adjustRightInd w:val="0"/>
              <w:snapToGrid w:val="0"/>
              <w:spacing w:line="360" w:lineRule="auto"/>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2-3 液氨卸车工艺流程及产污环节图</w:t>
            </w:r>
          </w:p>
          <w:p w14:paraId="22328B1B">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）工艺流程说明：</w:t>
            </w:r>
          </w:p>
          <w:p w14:paraId="35B22614">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①准备工作</w:t>
            </w:r>
          </w:p>
          <w:p w14:paraId="2C4B13BC">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卸车操作人员需经过专业培训，熟悉液氨特性和应急措施。检查卸车管道、阀门、压缩机、球罐等设备，确保无泄漏和损坏。操作人员穿戴好防护服、手套、面罩等。检查确保卸车区域通风良好，无明火或热源。</w:t>
            </w:r>
          </w:p>
          <w:p w14:paraId="6AD475E9">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②槽车就位</w:t>
            </w:r>
          </w:p>
          <w:p w14:paraId="65CC6083">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将槽车引导至卸车区域，确保位置准确</w:t>
            </w:r>
            <w:r>
              <w:rPr>
                <w:rFonts w:hint="eastAsia" w:ascii="Times New Roman" w:hAnsi="Times New Roman" w:eastAsia="宋体" w:cs="Times New Roman"/>
                <w:bCs/>
                <w:color w:val="000000" w:themeColor="text1"/>
                <w:sz w:val="24"/>
                <w:szCs w:val="24"/>
                <w:lang w:eastAsia="zh-CN"/>
                <w14:textFill>
                  <w14:solidFill>
                    <w14:schemeClr w14:val="tx1"/>
                  </w14:solidFill>
                </w14:textFill>
              </w:rPr>
              <w:t>，车辆熄火</w:t>
            </w:r>
            <w:r>
              <w:rPr>
                <w:rFonts w:hint="eastAsia" w:ascii="Times New Roman" w:hAnsi="Times New Roman" w:eastAsia="宋体" w:cs="Times New Roman"/>
                <w:bCs/>
                <w:sz w:val="24"/>
                <w:szCs w:val="24"/>
                <w:lang w:eastAsia="zh-CN"/>
              </w:rPr>
              <w:t>。使用车轮挡块固定槽车，防止移动。连接接地线，防止静电积聚。</w:t>
            </w:r>
          </w:p>
          <w:p w14:paraId="3547D296">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③连接卸车管道</w:t>
            </w:r>
          </w:p>
          <w:p w14:paraId="7946CB42">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将槽罐车出口、金属万向管道充装系统（装卸臂，又名鹤管）、压缩机和球罐进口连接好（液氨卸料通道）</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，填写管口连接确认表；</w:t>
            </w:r>
            <w:r>
              <w:rPr>
                <w:rFonts w:hint="eastAsia" w:ascii="Times New Roman" w:hAnsi="Times New Roman" w:eastAsia="宋体" w:cs="Times New Roman"/>
                <w:bCs/>
                <w:sz w:val="24"/>
                <w:szCs w:val="24"/>
                <w:lang w:eastAsia="zh-CN"/>
              </w:rPr>
              <w:t>另一路将球罐（上层气相空间）和槽罐车气相口连接好（气相平衡通道）。检查并确保所有连接牢固，密封无泄漏。</w:t>
            </w:r>
          </w:p>
          <w:p w14:paraId="070CFECF">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p>
          <w:p w14:paraId="03040E9F">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p>
          <w:p w14:paraId="27C8B789">
            <w:pPr>
              <w:pStyle w:val="14"/>
              <w:bidi w:val="0"/>
              <w:rPr>
                <w:rFonts w:hint="eastAsia"/>
                <w:lang w:eastAsia="zh-CN"/>
              </w:rPr>
            </w:pPr>
            <w:r>
              <w:drawing>
                <wp:inline distT="0" distB="0" distL="114300" distR="114300">
                  <wp:extent cx="6015990" cy="1670050"/>
                  <wp:effectExtent l="0" t="0" r="381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2"/>
                          <a:stretch>
                            <a:fillRect/>
                          </a:stretch>
                        </pic:blipFill>
                        <pic:spPr>
                          <a:xfrm>
                            <a:off x="0" y="0"/>
                            <a:ext cx="6015990" cy="1670050"/>
                          </a:xfrm>
                          <a:prstGeom prst="rect">
                            <a:avLst/>
                          </a:prstGeom>
                          <a:noFill/>
                          <a:ln>
                            <a:noFill/>
                          </a:ln>
                        </pic:spPr>
                      </pic:pic>
                    </a:graphicData>
                  </a:graphic>
                </wp:inline>
              </w:drawing>
            </w:r>
          </w:p>
          <w:p w14:paraId="0CD0DACF">
            <w:pPr>
              <w:adjustRightInd w:val="0"/>
              <w:snapToGrid w:val="0"/>
              <w:spacing w:line="360" w:lineRule="auto"/>
              <w:jc w:val="center"/>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2-4 液氨卸车设备连接图</w:t>
            </w:r>
          </w:p>
          <w:p w14:paraId="61293DB7">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④启动压缩机</w:t>
            </w:r>
          </w:p>
          <w:p w14:paraId="6512D154">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打开气相平衡管上的阀门，确保槽罐车和球罐之间的压力平衡。打开压缩机的入口阀门和出口阀门。启动压缩机，开始</w:t>
            </w:r>
            <w:r>
              <w:rPr>
                <w:rFonts w:hint="eastAsia" w:cs="Times New Roman"/>
                <w:bCs/>
                <w:color w:val="000000" w:themeColor="text1"/>
                <w:sz w:val="24"/>
                <w:szCs w:val="24"/>
                <w:lang w:eastAsia="zh-CN"/>
                <w14:textFill>
                  <w14:solidFill>
                    <w14:schemeClr w14:val="tx1"/>
                  </w14:solidFill>
                </w14:textFill>
              </w:rPr>
              <w:t>压送</w:t>
            </w:r>
            <w:r>
              <w:rPr>
                <w:rFonts w:hint="eastAsia" w:ascii="Times New Roman" w:hAnsi="Times New Roman" w:eastAsia="宋体" w:cs="Times New Roman"/>
                <w:bCs/>
                <w:sz w:val="24"/>
                <w:szCs w:val="24"/>
                <w:lang w:eastAsia="zh-CN"/>
              </w:rPr>
              <w:t>槽罐车中的液氨。</w:t>
            </w:r>
          </w:p>
          <w:p w14:paraId="76B7421D">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⑤液氨传输</w:t>
            </w:r>
          </w:p>
          <w:p w14:paraId="240A2E70">
            <w:pPr>
              <w:bidi w:val="0"/>
              <w:ind w:firstLine="480" w:firstLineChars="200"/>
              <w:rPr>
                <w:rFonts w:hint="eastAsia"/>
                <w:lang w:eastAsia="zh-CN"/>
              </w:rPr>
            </w:pPr>
            <w:r>
              <w:rPr>
                <w:rFonts w:hint="eastAsia"/>
                <w:color w:val="000000" w:themeColor="text1"/>
                <w:lang w:eastAsia="zh-CN"/>
                <w14:textFill>
                  <w14:solidFill>
                    <w14:schemeClr w14:val="tx1"/>
                  </w14:solidFill>
                </w14:textFill>
              </w:rPr>
              <w:t>开始时将槽罐车与储罐之间的液相管打开，确保液氨卸车管路畅通，此时槽罐车内液体自动流入储罐，当槽罐车与储罐达到平衡后，液氨停止流动。然后启动压缩机，调整四通阀，通过压缩机从储罐内抽取气体加压后压入槽罐车，此时槽罐车内压力升高，储罐内压力下降，槽罐车内的液体就流入储罐内。</w:t>
            </w:r>
            <w:r>
              <w:rPr>
                <w:rFonts w:hint="eastAsia"/>
                <w:lang w:eastAsia="zh-CN"/>
              </w:rPr>
              <w:t>液氨卸料过程中需进行监控，通过压力表监测槽罐车和球罐的压力，通过流量计监测液氨的流量，确保压缩机运行平稳，无异常噪音或振动。</w:t>
            </w:r>
          </w:p>
          <w:p w14:paraId="05E94D93">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⑥完成卸载</w:t>
            </w:r>
          </w:p>
          <w:p w14:paraId="231A45E0">
            <w:pPr>
              <w:adjustRightInd w:val="0"/>
              <w:snapToGrid w:val="0"/>
              <w:spacing w:line="360" w:lineRule="auto"/>
              <w:ind w:firstLine="480" w:firstLineChars="200"/>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液氨被输送后，</w:t>
            </w:r>
            <w:r>
              <w:rPr>
                <w:rFonts w:hint="eastAsia" w:cs="Times New Roman"/>
                <w:bCs/>
                <w:color w:val="000000" w:themeColor="text1"/>
                <w:sz w:val="24"/>
                <w:szCs w:val="24"/>
                <w:lang w:eastAsia="zh-CN"/>
                <w14:textFill>
                  <w14:solidFill>
                    <w14:schemeClr w14:val="tx1"/>
                  </w14:solidFill>
                </w14:textFill>
              </w:rPr>
              <w:t>关闭槽罐车</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出液口阀及氨罐液相阀</w:t>
            </w:r>
            <w:r>
              <w:rPr>
                <w:rFonts w:hint="eastAsia"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关闭氨气压缩机</w:t>
            </w:r>
            <w:r>
              <w:rPr>
                <w:rFonts w:hint="eastAsia"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关闭氨气压缩机入前后阀</w:t>
            </w:r>
            <w:r>
              <w:rPr>
                <w:rFonts w:hint="eastAsia"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关闭氨罐气相阀</w:t>
            </w:r>
            <w:r>
              <w:rPr>
                <w:rFonts w:hint="eastAsia"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关闭槽车气相阀。</w:t>
            </w:r>
          </w:p>
          <w:p w14:paraId="46EC8C6E">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cs="Times New Roman"/>
                <w:b/>
                <w:bCs w:val="0"/>
                <w:sz w:val="24"/>
                <w:szCs w:val="24"/>
                <w:lang w:eastAsia="zh-CN"/>
              </w:rPr>
              <w:t>⑦</w:t>
            </w:r>
            <w:r>
              <w:rPr>
                <w:rFonts w:hint="eastAsia" w:ascii="Times New Roman" w:hAnsi="Times New Roman" w:eastAsia="宋体" w:cs="Times New Roman"/>
                <w:b/>
                <w:bCs w:val="0"/>
                <w:sz w:val="24"/>
                <w:szCs w:val="24"/>
                <w:lang w:eastAsia="zh-CN"/>
              </w:rPr>
              <w:t>卸车后处理</w:t>
            </w:r>
          </w:p>
          <w:p w14:paraId="5B127252">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填写液氨卸车记录表，记录卸车时间、液氨量、操作人员等有关信息。检查卸车设备和管道，确保无泄漏或损坏。清理卸车区域，确保无液氨残留。</w:t>
            </w:r>
          </w:p>
          <w:p w14:paraId="54E008CF">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）产污环节及污染防治措施：</w:t>
            </w:r>
          </w:p>
          <w:p w14:paraId="4197EF63">
            <w:pPr>
              <w:adjustRightInd w:val="0"/>
              <w:snapToGrid w:val="0"/>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液氨卸车过程中，槽罐车与球罐之间达到气相平衡，基本不产生“大呼吸”废气。</w:t>
            </w:r>
          </w:p>
          <w:p w14:paraId="672BB941">
            <w:pPr>
              <w:adjustRightInd w:val="0"/>
              <w:snapToGrid w:val="0"/>
              <w:spacing w:line="360" w:lineRule="auto"/>
              <w:ind w:firstLine="480" w:firstLineChars="200"/>
              <w:rPr>
                <w:rFonts w:hint="eastAsia" w:ascii="Times New Roman" w:hAnsi="Times New Roman" w:eastAsia="宋体" w:cs="Times New Roman"/>
                <w:b w:val="0"/>
                <w:bCs/>
                <w:sz w:val="24"/>
                <w:szCs w:val="24"/>
                <w:lang w:val="en-US" w:eastAsia="zh-CN"/>
              </w:rPr>
            </w:pPr>
            <w:r>
              <w:rPr>
                <w:rFonts w:hint="eastAsia" w:ascii="Times New Roman" w:hAnsi="Times New Roman" w:eastAsia="宋体" w:cs="Times New Roman"/>
                <w:bCs/>
                <w:sz w:val="24"/>
                <w:szCs w:val="24"/>
                <w:lang w:val="en-US" w:eastAsia="zh-CN"/>
              </w:rPr>
              <w:t>液氨球罐储存液氨期间，如外界温度较高，在采取水喷淋降温措施的情况下球罐内气压仍较高、超过储存工作压力时，打开球罐上方的排气阀，将部分氨气排出，进入氨气回收装置</w:t>
            </w:r>
            <w:r>
              <w:rPr>
                <w:rFonts w:hint="eastAsia" w:ascii="Times New Roman" w:hAnsi="Times New Roman" w:eastAsia="宋体" w:cs="Times New Roman"/>
                <w:bCs/>
                <w:sz w:val="24"/>
                <w:szCs w:val="24"/>
                <w:lang w:eastAsia="zh-CN"/>
              </w:rPr>
              <w:t>处理</w:t>
            </w:r>
            <w:r>
              <w:rPr>
                <w:rFonts w:hint="eastAsia" w:ascii="Times New Roman" w:hAnsi="Times New Roman" w:eastAsia="宋体" w:cs="Times New Roman"/>
                <w:bCs/>
                <w:sz w:val="24"/>
                <w:szCs w:val="24"/>
                <w:lang w:val="en-US" w:eastAsia="zh-CN"/>
              </w:rPr>
              <w:t>。</w:t>
            </w:r>
          </w:p>
          <w:p w14:paraId="1404E097">
            <w:pPr>
              <w:adjustRightInd w:val="0"/>
              <w:snapToGrid w:val="0"/>
              <w:spacing w:line="360" w:lineRule="auto"/>
              <w:ind w:firstLine="482" w:firstLineChars="200"/>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2、液氨输送供应</w:t>
            </w:r>
          </w:p>
          <w:p w14:paraId="0C0DF5E2">
            <w:pPr>
              <w:adjustRightInd w:val="0"/>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drawing>
                <wp:inline distT="0" distB="0" distL="114300" distR="114300">
                  <wp:extent cx="1273810" cy="1960245"/>
                  <wp:effectExtent l="0" t="0" r="2540" b="190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3"/>
                          <a:stretch>
                            <a:fillRect/>
                          </a:stretch>
                        </pic:blipFill>
                        <pic:spPr>
                          <a:xfrm>
                            <a:off x="0" y="0"/>
                            <a:ext cx="1273810" cy="1960245"/>
                          </a:xfrm>
                          <a:prstGeom prst="rect">
                            <a:avLst/>
                          </a:prstGeom>
                          <a:noFill/>
                          <a:ln>
                            <a:noFill/>
                          </a:ln>
                        </pic:spPr>
                      </pic:pic>
                    </a:graphicData>
                  </a:graphic>
                </wp:inline>
              </w:drawing>
            </w:r>
          </w:p>
          <w:p w14:paraId="465B4A56">
            <w:pPr>
              <w:adjustRightInd w:val="0"/>
              <w:snapToGrid w:val="0"/>
              <w:spacing w:line="360" w:lineRule="auto"/>
              <w:jc w:val="center"/>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2-5 液氨供应厂外的湿法磷酸项目工艺流程图</w:t>
            </w:r>
          </w:p>
          <w:p w14:paraId="3CB079DD">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）工艺流程说明：</w:t>
            </w:r>
          </w:p>
          <w:p w14:paraId="5978D53A">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①管道连接</w:t>
            </w:r>
          </w:p>
          <w:p w14:paraId="0AEE706A">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本项目液氨主要供应项目北厂界外相距约</w:t>
            </w:r>
            <w:r>
              <w:rPr>
                <w:rFonts w:hint="eastAsia" w:ascii="Times New Roman" w:hAnsi="Times New Roman" w:eastAsia="宋体" w:cs="Times New Roman"/>
                <w:bCs/>
                <w:sz w:val="24"/>
                <w:szCs w:val="24"/>
                <w:lang w:val="en-US" w:eastAsia="zh-CN"/>
              </w:rPr>
              <w:t>6m</w:t>
            </w:r>
            <w:r>
              <w:rPr>
                <w:rFonts w:hint="eastAsia" w:ascii="Times New Roman" w:hAnsi="Times New Roman" w:eastAsia="宋体" w:cs="Times New Roman"/>
                <w:bCs/>
                <w:sz w:val="24"/>
                <w:szCs w:val="24"/>
                <w:lang w:eastAsia="zh-CN"/>
              </w:rPr>
              <w:t>的“广东云硫环保新材料科技有限公司10万吨年精制湿法磷酸项目”。本项目液氨球罐和液氨泵通过管道（其中厂外部分的输送管道是湿法磷酸项目建设的架空管廊管道）与该湿法磷酸项目的“工业级磷酸二氢铵”生产线的氨蒸发器密闭连接。</w:t>
            </w:r>
          </w:p>
          <w:p w14:paraId="12FD8C72">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②液氨输送</w:t>
            </w:r>
          </w:p>
          <w:p w14:paraId="36E12FB0">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本项目根据湿法磷酸项目的生产需要打开球罐出口阀门，启动液氨泵，将球罐中的液氨通过管道输送至湿法磷酸项目的“工业级磷酸二氢铵”生产线的氨蒸发器。</w:t>
            </w:r>
          </w:p>
          <w:p w14:paraId="1B1E3A24">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）产污环节及污染防治措施：</w:t>
            </w:r>
          </w:p>
          <w:p w14:paraId="5C2E22FE">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本项目液氨输送至厂外的湿法磷酸项目的输送系统密闭，输送过程中基本不产生废气。</w:t>
            </w:r>
          </w:p>
          <w:p w14:paraId="36C9FF2F">
            <w:pPr>
              <w:adjustRightInd w:val="0"/>
              <w:snapToGrid w:val="0"/>
              <w:spacing w:line="240" w:lineRule="auto"/>
              <w:rPr>
                <w:rFonts w:hint="eastAsia" w:ascii="Times New Roman" w:hAnsi="Times New Roman" w:eastAsia="宋体" w:cs="Times New Roman"/>
                <w:b w:val="0"/>
                <w:bCs/>
                <w:sz w:val="24"/>
                <w:szCs w:val="24"/>
                <w:lang w:val="en-US" w:eastAsia="zh-CN"/>
              </w:rPr>
            </w:pPr>
          </w:p>
          <w:p w14:paraId="77914DDF">
            <w:pPr>
              <w:adjustRightInd w:val="0"/>
              <w:snapToGrid w:val="0"/>
              <w:spacing w:line="360" w:lineRule="auto"/>
              <w:ind w:firstLine="482" w:firstLineChars="200"/>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3、氨水生产</w:t>
            </w:r>
          </w:p>
          <w:p w14:paraId="510159A0">
            <w:pPr>
              <w:pStyle w:val="14"/>
              <w:bidi w:val="0"/>
              <w:rPr>
                <w:rFonts w:hint="eastAsia"/>
                <w:lang w:eastAsia="zh-CN"/>
              </w:rPr>
            </w:pPr>
            <w:r>
              <w:drawing>
                <wp:inline distT="0" distB="0" distL="114300" distR="114300">
                  <wp:extent cx="5991225" cy="3390900"/>
                  <wp:effectExtent l="0" t="0" r="952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4"/>
                          <a:stretch>
                            <a:fillRect/>
                          </a:stretch>
                        </pic:blipFill>
                        <pic:spPr>
                          <a:xfrm>
                            <a:off x="0" y="0"/>
                            <a:ext cx="5991225" cy="3390900"/>
                          </a:xfrm>
                          <a:prstGeom prst="rect">
                            <a:avLst/>
                          </a:prstGeom>
                          <a:noFill/>
                          <a:ln>
                            <a:noFill/>
                          </a:ln>
                        </pic:spPr>
                      </pic:pic>
                    </a:graphicData>
                  </a:graphic>
                </wp:inline>
              </w:drawing>
            </w:r>
          </w:p>
          <w:p w14:paraId="60F0E3C2">
            <w:pPr>
              <w:adjustRightInd w:val="0"/>
              <w:snapToGrid w:val="0"/>
              <w:spacing w:line="360" w:lineRule="auto"/>
              <w:jc w:val="center"/>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2-6 氨水生产工艺流程及产污环节图</w:t>
            </w:r>
          </w:p>
          <w:p w14:paraId="76B36BF8">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）工艺流程说明：</w:t>
            </w:r>
          </w:p>
          <w:p w14:paraId="2E280B9B">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①纯水制备</w:t>
            </w:r>
          </w:p>
          <w:p w14:paraId="1506505D">
            <w:pPr>
              <w:adjustRightInd w:val="0"/>
              <w:snapToGrid w:val="0"/>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原水（市政自来水）通过原水管道进入原水罐，</w:t>
            </w:r>
            <w:r>
              <w:rPr>
                <w:rFonts w:hint="eastAsia" w:ascii="Times New Roman" w:hAnsi="Times New Roman" w:eastAsia="宋体" w:cs="Times New Roman"/>
                <w:bCs/>
                <w:sz w:val="24"/>
                <w:szCs w:val="24"/>
                <w:lang w:eastAsia="zh-CN"/>
              </w:rPr>
              <w:t>原水罐内的原水通过原水泵泵入软水器，软水器通过离子交换的方式制备纯水，制得的纯水通过纯水泵泵入纯水罐储存备用，</w:t>
            </w:r>
            <w:r>
              <w:rPr>
                <w:rFonts w:hint="eastAsia" w:cs="Times New Roman"/>
                <w:bCs/>
                <w:sz w:val="24"/>
                <w:szCs w:val="24"/>
                <w:lang w:eastAsia="zh-CN"/>
              </w:rPr>
              <w:t>纯水制备产生的浓水属于清净下水，</w:t>
            </w:r>
            <w:r>
              <w:rPr>
                <w:rFonts w:hint="eastAsia" w:cs="Times New Roman"/>
                <w:bCs/>
                <w:sz w:val="24"/>
                <w:szCs w:val="24"/>
                <w:lang w:val="en-US" w:eastAsia="zh-CN"/>
              </w:rPr>
              <w:t>因此本项目</w:t>
            </w:r>
            <w:r>
              <w:rPr>
                <w:rFonts w:hint="eastAsia" w:ascii="Times New Roman" w:hAnsi="Times New Roman" w:eastAsia="宋体" w:cs="Times New Roman"/>
                <w:bCs/>
                <w:sz w:val="24"/>
                <w:szCs w:val="24"/>
                <w:lang w:val="en-US" w:eastAsia="zh-CN"/>
              </w:rPr>
              <w:t>浓水排入园区雨水管网。</w:t>
            </w:r>
          </w:p>
          <w:p w14:paraId="1DA93166">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②氨水生产</w:t>
            </w:r>
          </w:p>
          <w:p w14:paraId="6B045285">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液氨球罐</w:t>
            </w:r>
            <w:r>
              <w:rPr>
                <w:rFonts w:hint="eastAsia" w:cs="Times New Roman"/>
                <w:bCs/>
                <w:sz w:val="24"/>
                <w:szCs w:val="24"/>
                <w:lang w:eastAsia="zh-CN"/>
              </w:rPr>
              <w:t>、</w:t>
            </w:r>
            <w:r>
              <w:rPr>
                <w:rFonts w:hint="eastAsia" w:ascii="Times New Roman" w:hAnsi="Times New Roman" w:eastAsia="宋体" w:cs="Times New Roman"/>
                <w:bCs/>
                <w:sz w:val="24"/>
                <w:szCs w:val="24"/>
                <w:lang w:eastAsia="zh-CN"/>
              </w:rPr>
              <w:t>纯水罐</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和</w:t>
            </w:r>
            <w:r>
              <w:rPr>
                <w:rFonts w:hint="eastAsia" w:cs="Times New Roman"/>
                <w:bCs/>
                <w:color w:val="000000" w:themeColor="text1"/>
                <w:sz w:val="24"/>
                <w:szCs w:val="24"/>
                <w:lang w:eastAsia="zh-CN"/>
                <w14:textFill>
                  <w14:solidFill>
                    <w14:schemeClr w14:val="tx1"/>
                  </w14:solidFill>
                </w14:textFill>
              </w:rPr>
              <w:t>尾气吸收塔</w:t>
            </w:r>
            <w:r>
              <w:rPr>
                <w:rFonts w:hint="eastAsia" w:ascii="Times New Roman" w:hAnsi="Times New Roman" w:eastAsia="宋体" w:cs="Times New Roman"/>
                <w:bCs/>
                <w:sz w:val="24"/>
                <w:szCs w:val="24"/>
                <w:lang w:eastAsia="zh-CN"/>
              </w:rPr>
              <w:t>均与超级吸氨器通过管道密闭连接。打开液氨球罐</w:t>
            </w:r>
            <w:r>
              <w:rPr>
                <w:rFonts w:hint="eastAsia" w:cs="Times New Roman"/>
                <w:bCs/>
                <w:sz w:val="24"/>
                <w:szCs w:val="24"/>
                <w:lang w:eastAsia="zh-CN"/>
              </w:rPr>
              <w:t>液相</w:t>
            </w:r>
            <w:r>
              <w:rPr>
                <w:rFonts w:hint="eastAsia" w:ascii="Times New Roman" w:hAnsi="Times New Roman" w:eastAsia="宋体" w:cs="Times New Roman"/>
                <w:bCs/>
                <w:sz w:val="24"/>
                <w:szCs w:val="24"/>
                <w:lang w:eastAsia="zh-CN"/>
              </w:rPr>
              <w:t>出口阀门，液氨通过管道流动进入超级吸氨器</w:t>
            </w:r>
            <w:r>
              <w:rPr>
                <w:rFonts w:hint="eastAsia" w:ascii="Times New Roman" w:hAnsi="Times New Roman" w:eastAsia="宋体" w:cs="Times New Roman"/>
                <w:bCs/>
                <w:color w:val="000000" w:themeColor="text1"/>
                <w:sz w:val="24"/>
                <w:szCs w:val="24"/>
                <w:lang w:eastAsia="zh-CN"/>
                <w14:textFill>
                  <w14:solidFill>
                    <w14:schemeClr w14:val="tx1"/>
                  </w14:solidFill>
                </w14:textFill>
              </w:rPr>
              <w:t>直接与水</w:t>
            </w:r>
            <w:r>
              <w:rPr>
                <w:rFonts w:hint="eastAsia" w:cs="Times New Roman"/>
                <w:bCs/>
                <w:color w:val="000000" w:themeColor="text1"/>
                <w:sz w:val="24"/>
                <w:szCs w:val="24"/>
                <w:lang w:eastAsia="zh-CN"/>
                <w14:textFill>
                  <w14:solidFill>
                    <w14:schemeClr w14:val="tx1"/>
                  </w14:solidFill>
                </w14:textFill>
              </w:rPr>
              <w:t>（纯水和低浓度氨水）</w:t>
            </w:r>
            <w:r>
              <w:rPr>
                <w:rFonts w:hint="eastAsia" w:ascii="Times New Roman" w:hAnsi="Times New Roman" w:eastAsia="宋体" w:cs="Times New Roman"/>
                <w:bCs/>
                <w:color w:val="000000" w:themeColor="text1"/>
                <w:sz w:val="24"/>
                <w:szCs w:val="24"/>
                <w:lang w:eastAsia="zh-CN"/>
                <w14:textFill>
                  <w14:solidFill>
                    <w14:schemeClr w14:val="tx1"/>
                  </w14:solidFill>
                </w14:textFill>
              </w:rPr>
              <w:t>混合</w:t>
            </w:r>
            <w:r>
              <w:rPr>
                <w:rFonts w:hint="eastAsia" w:ascii="Times New Roman" w:hAnsi="Times New Roman" w:eastAsia="宋体" w:cs="Times New Roman"/>
                <w:bCs/>
                <w:sz w:val="24"/>
                <w:szCs w:val="24"/>
                <w:lang w:eastAsia="zh-CN"/>
              </w:rPr>
              <w:t>，形成氨水。通过</w:t>
            </w:r>
            <w:r>
              <w:rPr>
                <w:rFonts w:hint="eastAsia" w:ascii="Times New Roman" w:hAnsi="Times New Roman" w:eastAsia="宋体" w:cs="Times New Roman"/>
                <w:bCs/>
                <w:color w:val="000000" w:themeColor="text1"/>
                <w:sz w:val="24"/>
                <w:szCs w:val="24"/>
                <w:lang w:eastAsia="zh-CN"/>
                <w14:textFill>
                  <w14:solidFill>
                    <w14:schemeClr w14:val="tx1"/>
                  </w14:solidFill>
                </w14:textFill>
              </w:rPr>
              <w:t>自动控制设备</w:t>
            </w:r>
            <w:r>
              <w:rPr>
                <w:rFonts w:hint="eastAsia" w:ascii="Times New Roman" w:hAnsi="Times New Roman" w:eastAsia="宋体" w:cs="Times New Roman"/>
                <w:bCs/>
                <w:sz w:val="24"/>
                <w:szCs w:val="24"/>
                <w:lang w:eastAsia="zh-CN"/>
              </w:rPr>
              <w:t>调节水流量和</w:t>
            </w:r>
            <w:r>
              <w:rPr>
                <w:rFonts w:hint="eastAsia" w:cs="Times New Roman"/>
                <w:bCs/>
                <w:sz w:val="24"/>
                <w:szCs w:val="24"/>
                <w:lang w:eastAsia="zh-CN"/>
              </w:rPr>
              <w:t>液氨</w:t>
            </w:r>
            <w:r>
              <w:rPr>
                <w:rFonts w:hint="eastAsia" w:ascii="Times New Roman" w:hAnsi="Times New Roman" w:eastAsia="宋体" w:cs="Times New Roman"/>
                <w:bCs/>
                <w:sz w:val="24"/>
                <w:szCs w:val="24"/>
                <w:lang w:eastAsia="zh-CN"/>
              </w:rPr>
              <w:t>流量，确保安全生产和氨水浓度符合要求。</w:t>
            </w:r>
          </w:p>
          <w:p w14:paraId="503315E8">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③氨水冷却</w:t>
            </w:r>
          </w:p>
          <w:p w14:paraId="3C315F62">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由于氨气与纯水接触混合的过程会产生大量热量，因此由冷却循环水池供应冷却水，通过水泵和管道输送至超级吸氨器，对其进行吸热冷却，吸热后成为热水，通过管道输送至凉水塔冷却，再返回冷却循环水池循环利用。</w:t>
            </w:r>
          </w:p>
          <w:p w14:paraId="7DCD1850">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④氨水储存</w:t>
            </w:r>
          </w:p>
          <w:p w14:paraId="48335E0D">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超级吸氨器制得氨水先经过</w:t>
            </w:r>
            <w:r>
              <w:rPr>
                <w:rFonts w:hint="eastAsia" w:ascii="Times New Roman" w:hAnsi="Times New Roman" w:eastAsia="宋体" w:cs="Times New Roman"/>
                <w:bCs/>
                <w:color w:val="000000" w:themeColor="text1"/>
                <w:sz w:val="24"/>
                <w:szCs w:val="24"/>
                <w:lang w:eastAsia="zh-CN"/>
                <w14:textFill>
                  <w14:solidFill>
                    <w14:schemeClr w14:val="tx1"/>
                  </w14:solidFill>
                </w14:textFill>
              </w:rPr>
              <w:t>氨</w:t>
            </w:r>
            <w:r>
              <w:rPr>
                <w:rFonts w:hint="eastAsia" w:cs="Times New Roman"/>
                <w:bCs/>
                <w:color w:val="000000" w:themeColor="text1"/>
                <w:sz w:val="24"/>
                <w:szCs w:val="24"/>
                <w:lang w:eastAsia="zh-CN"/>
                <w14:textFill>
                  <w14:solidFill>
                    <w14:schemeClr w14:val="tx1"/>
                  </w14:solidFill>
                </w14:textFill>
              </w:rPr>
              <w:t>水中间罐（又称氨水中间槽）</w:t>
            </w:r>
            <w:r>
              <w:rPr>
                <w:rFonts w:hint="eastAsia" w:ascii="Times New Roman" w:hAnsi="Times New Roman" w:eastAsia="宋体" w:cs="Times New Roman"/>
                <w:bCs/>
                <w:sz w:val="24"/>
                <w:szCs w:val="24"/>
                <w:lang w:eastAsia="zh-CN"/>
              </w:rPr>
              <w:t>暂存，后经氨水中转泵泵入氨水储罐内储存。超级吸氨器、</w:t>
            </w:r>
            <w:r>
              <w:rPr>
                <w:rFonts w:hint="eastAsia" w:ascii="Times New Roman" w:hAnsi="Times New Roman" w:eastAsia="宋体" w:cs="Times New Roman"/>
                <w:bCs/>
                <w:color w:val="000000" w:themeColor="text1"/>
                <w:sz w:val="24"/>
                <w:szCs w:val="24"/>
                <w:lang w:eastAsia="zh-CN"/>
                <w14:textFill>
                  <w14:solidFill>
                    <w14:schemeClr w14:val="tx1"/>
                  </w14:solidFill>
                </w14:textFill>
              </w:rPr>
              <w:t>氨水中间</w:t>
            </w:r>
            <w:r>
              <w:rPr>
                <w:rFonts w:hint="eastAsia" w:cs="Times New Roman"/>
                <w:bCs/>
                <w:color w:val="000000" w:themeColor="text1"/>
                <w:sz w:val="24"/>
                <w:szCs w:val="24"/>
                <w:lang w:eastAsia="zh-CN"/>
                <w14:textFill>
                  <w14:solidFill>
                    <w14:schemeClr w14:val="tx1"/>
                  </w14:solidFill>
                </w14:textFill>
              </w:rPr>
              <w:t>罐</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sz w:val="24"/>
                <w:szCs w:val="24"/>
                <w:lang w:eastAsia="zh-CN"/>
              </w:rPr>
              <w:t>氨水输送管道和氨水储罐是密闭连接的系统，过程中基本不外逸氨气。</w:t>
            </w:r>
          </w:p>
          <w:p w14:paraId="19887360">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液氨带来的少量不凝性气体夹带氨气在氨水储罐顶部排气阀排出，进入氨气回收装置处理。</w:t>
            </w:r>
          </w:p>
          <w:p w14:paraId="0731413E">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⑤氨水装车外运</w:t>
            </w:r>
          </w:p>
          <w:p w14:paraId="2E18C339">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确保储罐、泵、管道、软管和槽罐车接口无泄漏或损坏。操作人员需穿戴防护服、手套、护目镜和呼吸器。连接储罐和槽罐车的接地线，防止静电积聚。</w:t>
            </w:r>
          </w:p>
          <w:p w14:paraId="56844A8A">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将氨水储罐、装车泵、槽罐车连接起来（氨水装车通道）；另一路将槽罐车气相口与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尾气吸</w:t>
            </w:r>
            <w:r>
              <w:rPr>
                <w:rFonts w:hint="eastAsia" w:cs="Times New Roman"/>
                <w:bCs/>
                <w:color w:val="000000" w:themeColor="text1"/>
                <w:sz w:val="24"/>
                <w:szCs w:val="24"/>
                <w:lang w:eastAsia="zh-CN"/>
                <w14:textFill>
                  <w14:solidFill>
                    <w14:schemeClr w14:val="tx1"/>
                  </w14:solidFill>
                </w14:textFill>
              </w:rPr>
              <w:t>收</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器进气管相连，槽车尾气进入尾气吸收器处理</w:t>
            </w:r>
            <w:r>
              <w:rPr>
                <w:rFonts w:hint="eastAsia" w:ascii="Times New Roman" w:hAnsi="Times New Roman" w:eastAsia="宋体" w:cs="Times New Roman"/>
                <w:bCs/>
                <w:sz w:val="24"/>
                <w:szCs w:val="24"/>
                <w:lang w:eastAsia="zh-CN"/>
              </w:rPr>
              <w:t>。检查并确保所有连接牢固，密封无泄漏。</w:t>
            </w:r>
          </w:p>
          <w:p w14:paraId="3FD3489B">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打开氨水储罐出口阀，启动泵，将氨水从储罐输送至槽罐车。过程中使用流量计监控流量，确保符合要求。通过液位计或传感器监控槽罐车液位，防止溢出。</w:t>
            </w:r>
          </w:p>
          <w:p w14:paraId="6D333E5E">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氨水装车完成后，各阀门的关闭和管道的断开顺序如下：停止装车泵→关闭槽罐车液相入口阀门→关闭储罐液相出口阀门→关闭气相管阀门→关闭装车泵进出口阀门→排空管道残余氨水→断开槽罐车液相连接→断开气相管连接。</w:t>
            </w:r>
          </w:p>
          <w:p w14:paraId="1DB3DD78">
            <w:pPr>
              <w:adjustRightInd w:val="0"/>
              <w:snapToGrid w:val="0"/>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氨水装车采用顶装式，基本不存在氨水残余。</w:t>
            </w:r>
            <w:r>
              <w:rPr>
                <w:rFonts w:hint="eastAsia" w:ascii="Times New Roman" w:hAnsi="Times New Roman" w:eastAsia="宋体" w:cs="Times New Roman"/>
                <w:bCs/>
                <w:sz w:val="24"/>
                <w:szCs w:val="24"/>
                <w:lang w:eastAsia="zh-CN"/>
              </w:rPr>
              <w:t>槽罐车装车管随车携带，关闭其与装车泵的连接口即可，不需要吹扫。</w:t>
            </w:r>
          </w:p>
          <w:p w14:paraId="6361CCB7">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清理现场，检查设备。记录装载量、时间</w:t>
            </w:r>
            <w:r>
              <w:rPr>
                <w:rFonts w:ascii="宋体" w:hAnsi="宋体" w:eastAsia="宋体" w:cs="宋体"/>
                <w:sz w:val="24"/>
                <w:szCs w:val="24"/>
              </w:rPr>
              <w:t>和操作人员</w:t>
            </w:r>
            <w:r>
              <w:rPr>
                <w:rFonts w:hint="eastAsia" w:ascii="Times New Roman" w:hAnsi="Times New Roman" w:eastAsia="宋体" w:cs="Times New Roman"/>
                <w:bCs/>
                <w:sz w:val="24"/>
                <w:szCs w:val="24"/>
                <w:lang w:eastAsia="zh-CN"/>
              </w:rPr>
              <w:t>等信息。</w:t>
            </w:r>
          </w:p>
          <w:p w14:paraId="072C200B">
            <w:pPr>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）产污环节及污染防治措施：</w:t>
            </w:r>
          </w:p>
          <w:p w14:paraId="46043225">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氨水生产过程中由液氨带来的少量不凝性气体夹带氨气在氨水储罐顶部排气阀排出，进入氨水回收装置处理。</w:t>
            </w:r>
          </w:p>
          <w:p w14:paraId="52BEBE25">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氨水装车采用顶装式，基本不存在氨水残余；</w:t>
            </w:r>
            <w:r>
              <w:rPr>
                <w:rFonts w:hint="eastAsia" w:ascii="Times New Roman" w:hAnsi="Times New Roman" w:eastAsia="宋体" w:cs="Times New Roman"/>
                <w:bCs/>
                <w:sz w:val="24"/>
                <w:szCs w:val="24"/>
                <w:lang w:eastAsia="zh-CN"/>
              </w:rPr>
              <w:t>利用氮气吹扫管道内残留的氨气，该氨气通向氨气回收装置处理。</w:t>
            </w:r>
          </w:p>
          <w:p w14:paraId="553F29CC">
            <w:pPr>
              <w:adjustRightInd w:val="0"/>
              <w:snapToGrid w:val="0"/>
              <w:spacing w:line="240" w:lineRule="auto"/>
              <w:rPr>
                <w:rFonts w:hint="eastAsia" w:ascii="Times New Roman" w:hAnsi="Times New Roman" w:eastAsia="宋体" w:cs="Times New Roman"/>
                <w:b/>
                <w:bCs w:val="0"/>
                <w:sz w:val="24"/>
                <w:szCs w:val="24"/>
                <w:lang w:val="en-US" w:eastAsia="zh-CN"/>
              </w:rPr>
            </w:pPr>
          </w:p>
          <w:p w14:paraId="2D00D78A">
            <w:pPr>
              <w:adjustRightInd w:val="0"/>
              <w:snapToGrid w:val="0"/>
              <w:spacing w:line="360" w:lineRule="auto"/>
              <w:ind w:firstLine="482" w:firstLineChars="200"/>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4、液氨钢瓶充装</w:t>
            </w:r>
          </w:p>
          <w:p w14:paraId="02A33BDA">
            <w:pPr>
              <w:adjustRightInd w:val="0"/>
              <w:snapToGrid w:val="0"/>
              <w:spacing w:line="360" w:lineRule="auto"/>
              <w:jc w:val="center"/>
              <w:rPr>
                <w:rFonts w:ascii="Times New Roman" w:hAnsi="Times New Roman" w:eastAsia="宋体" w:cs="Times New Roman"/>
                <w:sz w:val="21"/>
              </w:rPr>
            </w:pPr>
            <w:r>
              <w:rPr>
                <w:rFonts w:ascii="Times New Roman" w:hAnsi="Times New Roman" w:eastAsia="宋体" w:cs="Times New Roman"/>
                <w:sz w:val="21"/>
              </w:rPr>
              <w:drawing>
                <wp:inline distT="0" distB="0" distL="114300" distR="114300">
                  <wp:extent cx="1365885" cy="2413000"/>
                  <wp:effectExtent l="0" t="0" r="5715" b="6350"/>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25"/>
                          <a:stretch>
                            <a:fillRect/>
                          </a:stretch>
                        </pic:blipFill>
                        <pic:spPr>
                          <a:xfrm>
                            <a:off x="0" y="0"/>
                            <a:ext cx="1365885" cy="2413000"/>
                          </a:xfrm>
                          <a:prstGeom prst="rect">
                            <a:avLst/>
                          </a:prstGeom>
                          <a:noFill/>
                          <a:ln>
                            <a:noFill/>
                          </a:ln>
                        </pic:spPr>
                      </pic:pic>
                    </a:graphicData>
                  </a:graphic>
                </wp:inline>
              </w:drawing>
            </w:r>
          </w:p>
          <w:p w14:paraId="3A9B1EC1">
            <w:pPr>
              <w:tabs>
                <w:tab w:val="left" w:pos="4830"/>
              </w:tabs>
              <w:adjustRightInd w:val="0"/>
              <w:snapToGrid w:val="0"/>
              <w:spacing w:line="360" w:lineRule="auto"/>
              <w:jc w:val="center"/>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2-8 液氨充装钢瓶工艺流程图</w:t>
            </w:r>
          </w:p>
          <w:p w14:paraId="70DA08B9">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）工艺流程说明：</w:t>
            </w:r>
          </w:p>
          <w:p w14:paraId="28AAC05A">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①准备工作</w:t>
            </w:r>
          </w:p>
          <w:p w14:paraId="6D0F7133">
            <w:pPr>
              <w:tabs>
                <w:tab w:val="left" w:pos="4830"/>
              </w:tabs>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操作人员穿戴防护服、手套、护目镜等。检查钢瓶，确认钢瓶在有效期内，外观无损伤，阀门完好。检查设备，确认充装设备、管道、阀门等无泄漏，压力表、安全阀正常。</w:t>
            </w:r>
          </w:p>
          <w:p w14:paraId="0A7E6E4A">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②连接充装设备</w:t>
            </w:r>
          </w:p>
          <w:p w14:paraId="30AAB39F">
            <w:pPr>
              <w:tabs>
                <w:tab w:val="left" w:pos="4830"/>
              </w:tabs>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经检验合格，在质检有效期内的钢瓶放入固定架上，将钢瓶与充装设备紧密连接，气相管路与钢瓶排气阀连接，确认连接处密封良好无泄漏。</w:t>
            </w:r>
          </w:p>
          <w:p w14:paraId="1B15B789">
            <w:pPr>
              <w:tabs>
                <w:tab w:val="left" w:pos="4830"/>
              </w:tabs>
              <w:adjustRightInd w:val="0"/>
              <w:snapToGrid w:val="0"/>
              <w:spacing w:line="360" w:lineRule="auto"/>
              <w:jc w:val="center"/>
              <w:rPr>
                <w:rFonts w:hint="eastAsia" w:ascii="Times New Roman" w:hAnsi="Times New Roman" w:eastAsia="宋体" w:cs="Times New Roman"/>
                <w:bCs/>
                <w:sz w:val="24"/>
                <w:szCs w:val="24"/>
                <w:lang w:eastAsia="zh-CN"/>
              </w:rPr>
            </w:pPr>
            <w:r>
              <w:rPr>
                <w:rFonts w:ascii="Times New Roman" w:hAnsi="Times New Roman" w:eastAsia="宋体" w:cs="Times New Roman"/>
                <w:sz w:val="21"/>
              </w:rPr>
              <w:drawing>
                <wp:inline distT="0" distB="0" distL="114300" distR="114300">
                  <wp:extent cx="3073400" cy="783590"/>
                  <wp:effectExtent l="0" t="0" r="12700" b="1651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6"/>
                          <a:stretch>
                            <a:fillRect/>
                          </a:stretch>
                        </pic:blipFill>
                        <pic:spPr>
                          <a:xfrm>
                            <a:off x="0" y="0"/>
                            <a:ext cx="3073400" cy="783590"/>
                          </a:xfrm>
                          <a:prstGeom prst="rect">
                            <a:avLst/>
                          </a:prstGeom>
                          <a:noFill/>
                          <a:ln>
                            <a:noFill/>
                          </a:ln>
                        </pic:spPr>
                      </pic:pic>
                    </a:graphicData>
                  </a:graphic>
                </wp:inline>
              </w:drawing>
            </w:r>
          </w:p>
          <w:p w14:paraId="240307DF">
            <w:pPr>
              <w:tabs>
                <w:tab w:val="left" w:pos="4830"/>
              </w:tabs>
              <w:adjustRightInd w:val="0"/>
              <w:snapToGrid w:val="0"/>
              <w:spacing w:line="360" w:lineRule="auto"/>
              <w:jc w:val="center"/>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图</w:t>
            </w:r>
            <w:r>
              <w:rPr>
                <w:rFonts w:hint="eastAsia" w:ascii="Times New Roman" w:hAnsi="Times New Roman" w:eastAsia="宋体" w:cs="Times New Roman"/>
                <w:b/>
                <w:bCs w:val="0"/>
                <w:sz w:val="24"/>
                <w:szCs w:val="24"/>
                <w:lang w:val="en-US" w:eastAsia="zh-CN"/>
              </w:rPr>
              <w:t>2-9 液氨充装设备连接图</w:t>
            </w:r>
          </w:p>
          <w:p w14:paraId="7A245D33">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③充装液氨</w:t>
            </w:r>
          </w:p>
          <w:p w14:paraId="2DDD7E01">
            <w:pPr>
              <w:tabs>
                <w:tab w:val="left" w:pos="4830"/>
              </w:tabs>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缓慢打开阀门，通过调节管路上的充装阀与排气阀来控制液氨充装速度，避免温度压力剧烈变化。实时监测压力、温度，确保在安全范围内。</w:t>
            </w:r>
          </w:p>
          <w:p w14:paraId="3BF977B1">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④充装完成</w:t>
            </w:r>
          </w:p>
          <w:p w14:paraId="6378BED9">
            <w:pPr>
              <w:tabs>
                <w:tab w:val="left" w:pos="4830"/>
              </w:tabs>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当钢瓶经电子称显示达到充装重量要求时，关闭钢瓶和充装设备阀门。拆卸充装管道。</w:t>
            </w:r>
          </w:p>
          <w:p w14:paraId="624CFFF0">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⑤后处理</w:t>
            </w:r>
          </w:p>
          <w:p w14:paraId="7F5B5B9A">
            <w:pPr>
              <w:tabs>
                <w:tab w:val="left" w:pos="4830"/>
              </w:tabs>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使用检测设备确认钢瓶无泄漏。标注充装日期、重量等信息，并记录充装数据。将钢瓶送入存放区储存。</w:t>
            </w:r>
          </w:p>
          <w:p w14:paraId="3C7798D9">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⑥装车外运</w:t>
            </w:r>
          </w:p>
          <w:p w14:paraId="363CD0E8">
            <w:pPr>
              <w:tabs>
                <w:tab w:val="left" w:pos="4830"/>
              </w:tabs>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利用专用装载工具将液氨钢瓶装上汽车，并采取相应措施固定钢瓶，防止碰撞。最后外运至使用单位。</w:t>
            </w:r>
          </w:p>
          <w:p w14:paraId="0F1A474E">
            <w:pPr>
              <w:tabs>
                <w:tab w:val="left" w:pos="4830"/>
              </w:tabs>
              <w:adjustRightInd w:val="0"/>
              <w:snapToGrid w:val="0"/>
              <w:spacing w:line="360" w:lineRule="auto"/>
              <w:ind w:firstLine="482"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）产污环节及污染防治措施：</w:t>
            </w:r>
          </w:p>
          <w:p w14:paraId="024F1A65">
            <w:pPr>
              <w:adjustRightInd w:val="0"/>
              <w:snapToGrid w:val="0"/>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本项目待充装的液氨钢瓶不需要清洗，经检验合格即可使用，因此不产生废水。</w:t>
            </w:r>
          </w:p>
          <w:p w14:paraId="6B197C1B">
            <w:pPr>
              <w:adjustRightInd w:val="0"/>
              <w:snapToGrid w:val="0"/>
            </w:pPr>
            <w:r>
              <w:rPr>
                <w:rFonts w:hint="eastAsia" w:ascii="Times New Roman" w:hAnsi="Times New Roman" w:eastAsia="宋体" w:cs="Times New Roman"/>
                <w:bCs/>
                <w:sz w:val="24"/>
                <w:szCs w:val="24"/>
                <w:lang w:eastAsia="zh-CN"/>
              </w:rPr>
              <w:t>液氨充装入钢瓶的过程充装设备、管道和钢瓶密闭连接，且连接气相平衡管，因此过程中基本不产生废气。</w:t>
            </w:r>
          </w:p>
        </w:tc>
      </w:tr>
      <w:tr w14:paraId="5EC4F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04" w:hRule="atLeast"/>
          <w:jc w:val="center"/>
        </w:trPr>
        <w:tc>
          <w:tcPr>
            <w:tcW w:w="426" w:type="dxa"/>
            <w:vAlign w:val="center"/>
          </w:tcPr>
          <w:p w14:paraId="017B031E">
            <w:pPr>
              <w:adjustRightInd w:val="0"/>
              <w:snapToGrid w:val="0"/>
              <w:spacing w:line="240" w:lineRule="auto"/>
              <w:jc w:val="center"/>
              <w:rPr>
                <w:rFonts w:hint="eastAsia" w:cs="宋体"/>
                <w:b/>
                <w:bCs/>
                <w:sz w:val="21"/>
                <w:szCs w:val="21"/>
              </w:rPr>
            </w:pPr>
            <w:r>
              <w:rPr>
                <w:rFonts w:hint="eastAsia" w:cs="宋体"/>
                <w:bCs/>
                <w:sz w:val="21"/>
                <w:szCs w:val="21"/>
              </w:rPr>
              <w:t>与项目有关的原有环境污染问题</w:t>
            </w:r>
          </w:p>
        </w:tc>
        <w:tc>
          <w:tcPr>
            <w:tcW w:w="9692" w:type="dxa"/>
            <w:vAlign w:val="center"/>
          </w:tcPr>
          <w:p w14:paraId="49442CF1">
            <w:pPr>
              <w:adjustRightInd w:val="0"/>
              <w:snapToGrid w:val="0"/>
              <w:ind w:firstLine="480" w:firstLineChars="200"/>
              <w:jc w:val="both"/>
              <w:rPr>
                <w:rFonts w:hint="eastAsia" w:ascii="Times New Roman" w:hAnsi="Times New Roman" w:eastAsia="宋体" w:cs="Times New Roman"/>
                <w:bCs/>
                <w:sz w:val="24"/>
                <w:szCs w:val="24"/>
                <w:lang w:eastAsia="zh-CN"/>
              </w:rPr>
            </w:pPr>
            <w:r>
              <w:rPr>
                <w:rFonts w:hint="eastAsia"/>
                <w:lang w:eastAsia="zh-CN"/>
              </w:rPr>
              <w:t>本项目为在新建项目，无与项目有关的原有环境污染问题。</w:t>
            </w:r>
          </w:p>
        </w:tc>
      </w:tr>
    </w:tbl>
    <w:p w14:paraId="3B6A38AC">
      <w:pPr>
        <w:jc w:val="center"/>
        <w:rPr>
          <w:rFonts w:ascii="黑体" w:hAnsi="黑体" w:eastAsia="黑体"/>
          <w:snapToGrid w:val="0"/>
          <w:sz w:val="36"/>
          <w:szCs w:val="36"/>
        </w:rPr>
        <w:sectPr>
          <w:pgSz w:w="11906" w:h="16838"/>
          <w:pgMar w:top="907" w:right="1531" w:bottom="1304" w:left="1531" w:header="851" w:footer="851" w:gutter="0"/>
          <w:pgBorders>
            <w:top w:val="none" w:sz="0" w:space="0"/>
            <w:left w:val="none" w:sz="0" w:space="0"/>
            <w:bottom w:val="none" w:sz="0" w:space="0"/>
            <w:right w:val="none" w:sz="0" w:space="0"/>
          </w:pgBorders>
          <w:cols w:space="720" w:num="1"/>
          <w:docGrid w:linePitch="312" w:charSpace="0"/>
        </w:sectPr>
      </w:pPr>
    </w:p>
    <w:p w14:paraId="18D08AC7">
      <w:pPr>
        <w:spacing w:line="240" w:lineRule="auto"/>
        <w:jc w:val="center"/>
        <w:outlineLvl w:val="0"/>
        <w:rPr>
          <w:rFonts w:ascii="黑体" w:hAnsi="黑体" w:eastAsia="黑体"/>
          <w:snapToGrid w:val="0"/>
          <w:sz w:val="30"/>
          <w:szCs w:val="30"/>
        </w:rPr>
      </w:pPr>
      <w:bookmarkStart w:id="3" w:name="_Toc8465"/>
      <w:r>
        <w:rPr>
          <w:rFonts w:hint="eastAsia" w:ascii="黑体" w:hAnsi="黑体" w:eastAsia="黑体"/>
          <w:snapToGrid w:val="0"/>
          <w:sz w:val="30"/>
          <w:szCs w:val="30"/>
        </w:rPr>
        <w:t>三、区域环境质量现状、环境保护目标及评价标准</w:t>
      </w:r>
      <w:bookmarkEnd w:id="3"/>
    </w:p>
    <w:tbl>
      <w:tblPr>
        <w:tblStyle w:val="11"/>
        <w:tblW w:w="101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9586"/>
      </w:tblGrid>
      <w:tr w14:paraId="324A6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Align w:val="center"/>
          </w:tcPr>
          <w:p w14:paraId="3FE56F1B">
            <w:pPr>
              <w:adjustRightInd w:val="0"/>
              <w:snapToGrid w:val="0"/>
              <w:jc w:val="center"/>
              <w:rPr>
                <w:rFonts w:ascii="宋体" w:hAnsi="宋体" w:cs="宋体"/>
                <w:kern w:val="0"/>
                <w:szCs w:val="21"/>
              </w:rPr>
            </w:pPr>
            <w:r>
              <w:rPr>
                <w:rFonts w:hint="eastAsia" w:ascii="宋体" w:hAnsi="宋体" w:cs="宋体"/>
                <w:kern w:val="0"/>
                <w:szCs w:val="21"/>
              </w:rPr>
              <w:t>区域</w:t>
            </w:r>
          </w:p>
          <w:p w14:paraId="19BD6233">
            <w:pPr>
              <w:adjustRightInd w:val="0"/>
              <w:snapToGrid w:val="0"/>
              <w:jc w:val="center"/>
              <w:rPr>
                <w:rFonts w:ascii="宋体" w:hAnsi="宋体" w:cs="宋体"/>
                <w:kern w:val="0"/>
                <w:szCs w:val="21"/>
              </w:rPr>
            </w:pPr>
            <w:r>
              <w:rPr>
                <w:rFonts w:hint="eastAsia" w:ascii="宋体" w:hAnsi="宋体" w:cs="宋体"/>
                <w:kern w:val="0"/>
                <w:szCs w:val="21"/>
              </w:rPr>
              <w:t>环境</w:t>
            </w:r>
          </w:p>
          <w:p w14:paraId="01247FB0">
            <w:pPr>
              <w:adjustRightInd w:val="0"/>
              <w:snapToGrid w:val="0"/>
              <w:jc w:val="center"/>
              <w:rPr>
                <w:rFonts w:ascii="宋体" w:hAnsi="宋体" w:cs="宋体"/>
                <w:kern w:val="0"/>
                <w:szCs w:val="21"/>
              </w:rPr>
            </w:pPr>
            <w:r>
              <w:rPr>
                <w:rFonts w:hint="eastAsia" w:ascii="宋体" w:hAnsi="宋体" w:cs="宋体"/>
                <w:kern w:val="0"/>
                <w:szCs w:val="21"/>
              </w:rPr>
              <w:t>质量</w:t>
            </w:r>
          </w:p>
          <w:p w14:paraId="5648A0FA">
            <w:pPr>
              <w:adjustRightInd w:val="0"/>
              <w:snapToGrid w:val="0"/>
              <w:jc w:val="center"/>
              <w:rPr>
                <w:rFonts w:ascii="宋体" w:hAnsi="宋体" w:cs="宋体"/>
                <w:kern w:val="0"/>
                <w:szCs w:val="21"/>
              </w:rPr>
            </w:pPr>
            <w:r>
              <w:rPr>
                <w:rFonts w:hint="eastAsia" w:ascii="宋体" w:hAnsi="宋体" w:cs="宋体"/>
                <w:kern w:val="0"/>
                <w:szCs w:val="21"/>
              </w:rPr>
              <w:t>现状</w:t>
            </w:r>
          </w:p>
        </w:tc>
        <w:tc>
          <w:tcPr>
            <w:tcW w:w="9586" w:type="dxa"/>
            <w:vAlign w:val="center"/>
          </w:tcPr>
          <w:p w14:paraId="04C1952B">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1、大气环境</w:t>
            </w:r>
          </w:p>
          <w:p w14:paraId="6A548C56">
            <w:pPr>
              <w:adjustRightInd w:val="0"/>
              <w:snapToGrid w:val="0"/>
              <w:spacing w:line="360" w:lineRule="auto"/>
              <w:ind w:firstLine="480" w:firstLineChars="200"/>
              <w:jc w:val="left"/>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根据《云浮市环境保护规划（2016-2030年）》（云府办［2017］60号），本项目所在地属于环境空气质量二类功能区（见附图</w:t>
            </w:r>
            <w:r>
              <w:rPr>
                <w:rFonts w:hint="eastAsia"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lang w:eastAsia="zh-CN"/>
              </w:rPr>
              <w:t>），环境空气六项基本污染物执行《环境空气质量标准》（GB3095-2012）及其2018年修改单二级标准。</w:t>
            </w:r>
          </w:p>
          <w:p w14:paraId="5DF85672">
            <w:pPr>
              <w:adjustRightInd w:val="0"/>
              <w:snapToGrid w:val="0"/>
              <w:ind w:firstLine="480" w:firstLineChars="200"/>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根据《环境影响评价技术导则大气环境》（HJ2.2-2018）的规定，本次环境空气质量现状调查引用云浮市生态环境局官网公开发布的《202</w:t>
            </w:r>
            <w:r>
              <w:rPr>
                <w:rFonts w:hint="eastAsia" w:cs="Times New Roman"/>
                <w:color w:val="000000" w:themeColor="text1"/>
                <w:kern w:val="0"/>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年度云浮市环境状况公报》（公报网址：https://www.yunan.gov.cn/yfyasthjj/gkmlpt/content/1/1932/post_1932944.html#3794，截图详见附件6），</w:t>
            </w:r>
            <w:r>
              <w:rPr>
                <w:rFonts w:hint="eastAsia" w:ascii="Times New Roman" w:hAnsi="Times New Roman" w:eastAsia="宋体" w:cs="Times New Roman"/>
                <w:color w:val="000000" w:themeColor="text1"/>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年全年有效监测天数为36</w:t>
            </w:r>
            <w:r>
              <w:rPr>
                <w:rFonts w:hint="eastAsia" w:ascii="Times New Roman" w:hAnsi="Times New Roman" w:eastAsia="宋体" w:cs="Times New Roman"/>
                <w:color w:val="000000" w:themeColor="text1"/>
                <w:lang w:val="en-US" w:eastAsia="zh-CN"/>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天，其中空气质量指数（AQI）平均达标天数为3</w:t>
            </w:r>
            <w:r>
              <w:rPr>
                <w:rFonts w:hint="eastAsia" w:ascii="Times New Roman" w:hAnsi="Times New Roman" w:eastAsia="宋体" w:cs="Times New Roman"/>
                <w:color w:val="000000" w:themeColor="text1"/>
                <w:lang w:val="en-US" w:eastAsia="zh-CN"/>
                <w14:textFill>
                  <w14:solidFill>
                    <w14:schemeClr w14:val="tx1"/>
                  </w14:solidFill>
                </w14:textFill>
              </w:rPr>
              <w:t>53</w:t>
            </w:r>
            <w:r>
              <w:rPr>
                <w:rFonts w:hint="eastAsia" w:ascii="Times New Roman" w:hAnsi="Times New Roman" w:eastAsia="宋体" w:cs="Times New Roman"/>
                <w:color w:val="000000" w:themeColor="text1"/>
                <w14:textFill>
                  <w14:solidFill>
                    <w14:schemeClr w14:val="tx1"/>
                  </w14:solidFill>
                </w14:textFill>
              </w:rPr>
              <w:t>天，优良率9</w:t>
            </w:r>
            <w:r>
              <w:rPr>
                <w:rFonts w:hint="eastAsia" w:ascii="Times New Roman" w:hAnsi="Times New Roman" w:eastAsia="宋体" w:cs="Times New Roman"/>
                <w:color w:val="000000" w:themeColor="text1"/>
                <w:lang w:val="en-US" w:eastAsia="zh-CN"/>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w:t>
            </w:r>
          </w:p>
          <w:p w14:paraId="6E1A8544">
            <w:pPr>
              <w:widowControl w:val="0"/>
              <w:autoSpaceDE w:val="0"/>
              <w:autoSpaceDN w:val="0"/>
              <w:bidi w:val="0"/>
              <w:spacing w:line="240" w:lineRule="auto"/>
              <w:jc w:val="center"/>
              <w:textAlignment w:val="baseline"/>
              <w:rPr>
                <w:rFonts w:ascii="Times New Roman" w:hAnsi="Times New Roman" w:eastAsia="宋体" w:cs="Times New Roman"/>
                <w:b/>
                <w:color w:val="000000" w:themeColor="text1"/>
                <w:kern w:val="24"/>
                <w:sz w:val="24"/>
                <w:szCs w:val="20"/>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表3-1 2023年环境空气质量主要标准 单位：μg/m</w:t>
            </w:r>
            <w:r>
              <w:rPr>
                <w:rFonts w:hint="eastAsia" w:ascii="Times New Roman" w:hAnsi="Times New Roman" w:eastAsia="宋体" w:cs="Times New Roman"/>
                <w:b/>
                <w:color w:val="000000" w:themeColor="text1"/>
                <w:kern w:val="24"/>
                <w:sz w:val="24"/>
                <w:szCs w:val="20"/>
                <w:vertAlign w:val="superscript"/>
                <w:lang w:val="en-US" w:eastAsia="zh-CN" w:bidi="ar-SA"/>
                <w14:textFill>
                  <w14:solidFill>
                    <w14:schemeClr w14:val="tx1"/>
                  </w14:solidFill>
                </w14:textFill>
              </w:rPr>
              <w:t>3</w:t>
            </w: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（CO为mg/m</w:t>
            </w:r>
            <w:r>
              <w:rPr>
                <w:rFonts w:hint="eastAsia" w:ascii="Times New Roman" w:hAnsi="Times New Roman" w:eastAsia="宋体" w:cs="Times New Roman"/>
                <w:b/>
                <w:color w:val="000000" w:themeColor="text1"/>
                <w:kern w:val="24"/>
                <w:sz w:val="24"/>
                <w:szCs w:val="20"/>
                <w:vertAlign w:val="superscript"/>
                <w:lang w:val="en-US" w:eastAsia="zh-CN" w:bidi="ar-SA"/>
                <w14:textFill>
                  <w14:solidFill>
                    <w14:schemeClr w14:val="tx1"/>
                  </w14:solidFill>
                </w14:textFill>
              </w:rPr>
              <w:t>3</w:t>
            </w: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w:t>
            </w:r>
          </w:p>
          <w:tbl>
            <w:tblPr>
              <w:tblStyle w:val="11"/>
              <w:tblW w:w="86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859"/>
              <w:gridCol w:w="1045"/>
              <w:gridCol w:w="1076"/>
              <w:gridCol w:w="1065"/>
              <w:gridCol w:w="1045"/>
              <w:gridCol w:w="1283"/>
              <w:gridCol w:w="1793"/>
            </w:tblGrid>
            <w:tr w14:paraId="3473E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restart"/>
                  <w:tcBorders>
                    <w:tl2br w:val="nil"/>
                    <w:tr2bl w:val="nil"/>
                  </w:tcBorders>
                  <w:noWrap w:val="0"/>
                  <w:vAlign w:val="center"/>
                </w:tcPr>
                <w:p w14:paraId="00B8D8E1">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项目</w:t>
                  </w:r>
                </w:p>
              </w:tc>
              <w:tc>
                <w:tcPr>
                  <w:tcW w:w="859" w:type="dxa"/>
                  <w:tcBorders>
                    <w:tl2br w:val="nil"/>
                    <w:tr2bl w:val="nil"/>
                  </w:tcBorders>
                  <w:noWrap w:val="0"/>
                  <w:vAlign w:val="center"/>
                </w:tcPr>
                <w:p w14:paraId="73859534">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污染物</w:t>
                  </w:r>
                </w:p>
              </w:tc>
              <w:tc>
                <w:tcPr>
                  <w:tcW w:w="1045" w:type="dxa"/>
                  <w:tcBorders>
                    <w:tl2br w:val="nil"/>
                    <w:tr2bl w:val="nil"/>
                  </w:tcBorders>
                  <w:noWrap w:val="0"/>
                  <w:vAlign w:val="center"/>
                </w:tcPr>
                <w:p w14:paraId="24D53F45">
                  <w:pPr>
                    <w:widowControl/>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NewRomanPSMT" w:hAnsi="TimesNewRomanPSMT" w:eastAsia="TimesNewRomanPSMT" w:cs="TimesNewRomanPSMT"/>
                      <w:b/>
                      <w:bCs/>
                      <w:color w:val="000000" w:themeColor="text1"/>
                      <w:kern w:val="0"/>
                      <w:sz w:val="20"/>
                      <w:szCs w:val="20"/>
                      <w:lang w:bidi="ar"/>
                      <w14:textFill>
                        <w14:solidFill>
                          <w14:schemeClr w14:val="tx1"/>
                        </w14:solidFill>
                      </w14:textFill>
                    </w:rPr>
                    <w:t>SO</w:t>
                  </w:r>
                  <w:r>
                    <w:rPr>
                      <w:rFonts w:ascii="TimesNewRomanPSMT" w:hAnsi="TimesNewRomanPSMT" w:eastAsia="TimesNewRomanPSMT" w:cs="TimesNewRomanPSMT"/>
                      <w:b/>
                      <w:bCs/>
                      <w:color w:val="000000" w:themeColor="text1"/>
                      <w:kern w:val="0"/>
                      <w:sz w:val="13"/>
                      <w:szCs w:val="13"/>
                      <w:lang w:bidi="ar"/>
                      <w14:textFill>
                        <w14:solidFill>
                          <w14:schemeClr w14:val="tx1"/>
                        </w14:solidFill>
                      </w14:textFill>
                    </w:rPr>
                    <w:t>2</w:t>
                  </w:r>
                </w:p>
              </w:tc>
              <w:tc>
                <w:tcPr>
                  <w:tcW w:w="1076" w:type="dxa"/>
                  <w:tcBorders>
                    <w:tl2br w:val="nil"/>
                    <w:tr2bl w:val="nil"/>
                  </w:tcBorders>
                  <w:noWrap w:val="0"/>
                  <w:vAlign w:val="center"/>
                </w:tcPr>
                <w:p w14:paraId="298586F5">
                  <w:pPr>
                    <w:widowControl/>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NewRomanPSMT" w:hAnsi="TimesNewRomanPSMT" w:eastAsia="TimesNewRomanPSMT" w:cs="TimesNewRomanPSMT"/>
                      <w:b/>
                      <w:bCs/>
                      <w:color w:val="000000" w:themeColor="text1"/>
                      <w:kern w:val="0"/>
                      <w:sz w:val="20"/>
                      <w:szCs w:val="20"/>
                      <w:lang w:bidi="ar"/>
                      <w14:textFill>
                        <w14:solidFill>
                          <w14:schemeClr w14:val="tx1"/>
                        </w14:solidFill>
                      </w14:textFill>
                    </w:rPr>
                    <w:t>NO</w:t>
                  </w:r>
                  <w:r>
                    <w:rPr>
                      <w:rFonts w:ascii="TimesNewRomanPSMT" w:hAnsi="TimesNewRomanPSMT" w:eastAsia="TimesNewRomanPSMT" w:cs="TimesNewRomanPSMT"/>
                      <w:b/>
                      <w:bCs/>
                      <w:color w:val="000000" w:themeColor="text1"/>
                      <w:kern w:val="0"/>
                      <w:sz w:val="13"/>
                      <w:szCs w:val="13"/>
                      <w:lang w:bidi="ar"/>
                      <w14:textFill>
                        <w14:solidFill>
                          <w14:schemeClr w14:val="tx1"/>
                        </w14:solidFill>
                      </w14:textFill>
                    </w:rPr>
                    <w:t>2</w:t>
                  </w:r>
                </w:p>
              </w:tc>
              <w:tc>
                <w:tcPr>
                  <w:tcW w:w="1065" w:type="dxa"/>
                  <w:tcBorders>
                    <w:tl2br w:val="nil"/>
                    <w:tr2bl w:val="nil"/>
                  </w:tcBorders>
                  <w:noWrap w:val="0"/>
                  <w:vAlign w:val="center"/>
                </w:tcPr>
                <w:p w14:paraId="151D3F44">
                  <w:pPr>
                    <w:widowControl/>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NewRomanPSMT" w:hAnsi="TimesNewRomanPSMT" w:eastAsia="TimesNewRomanPSMT" w:cs="TimesNewRomanPSMT"/>
                      <w:b/>
                      <w:bCs/>
                      <w:color w:val="000000" w:themeColor="text1"/>
                      <w:kern w:val="0"/>
                      <w:sz w:val="20"/>
                      <w:szCs w:val="20"/>
                      <w:lang w:bidi="ar"/>
                      <w14:textFill>
                        <w14:solidFill>
                          <w14:schemeClr w14:val="tx1"/>
                        </w14:solidFill>
                      </w14:textFill>
                    </w:rPr>
                    <w:t>PM</w:t>
                  </w:r>
                  <w:r>
                    <w:rPr>
                      <w:rFonts w:ascii="TimesNewRomanPSMT" w:hAnsi="TimesNewRomanPSMT" w:eastAsia="TimesNewRomanPSMT" w:cs="TimesNewRomanPSMT"/>
                      <w:b/>
                      <w:bCs/>
                      <w:color w:val="000000" w:themeColor="text1"/>
                      <w:kern w:val="0"/>
                      <w:sz w:val="13"/>
                      <w:szCs w:val="13"/>
                      <w:lang w:bidi="ar"/>
                      <w14:textFill>
                        <w14:solidFill>
                          <w14:schemeClr w14:val="tx1"/>
                        </w14:solidFill>
                      </w14:textFill>
                    </w:rPr>
                    <w:t>10</w:t>
                  </w:r>
                </w:p>
              </w:tc>
              <w:tc>
                <w:tcPr>
                  <w:tcW w:w="1045" w:type="dxa"/>
                  <w:tcBorders>
                    <w:tl2br w:val="nil"/>
                    <w:tr2bl w:val="nil"/>
                  </w:tcBorders>
                  <w:noWrap w:val="0"/>
                  <w:vAlign w:val="center"/>
                </w:tcPr>
                <w:p w14:paraId="113FFED9">
                  <w:pPr>
                    <w:widowControl/>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NewRomanPSMT" w:hAnsi="TimesNewRomanPSMT" w:eastAsia="TimesNewRomanPSMT" w:cs="TimesNewRomanPSMT"/>
                      <w:b/>
                      <w:bCs/>
                      <w:color w:val="000000" w:themeColor="text1"/>
                      <w:kern w:val="0"/>
                      <w:sz w:val="20"/>
                      <w:szCs w:val="20"/>
                      <w:lang w:bidi="ar"/>
                      <w14:textFill>
                        <w14:solidFill>
                          <w14:schemeClr w14:val="tx1"/>
                        </w14:solidFill>
                      </w14:textFill>
                    </w:rPr>
                    <w:t>PM</w:t>
                  </w:r>
                  <w:r>
                    <w:rPr>
                      <w:rFonts w:ascii="TimesNewRomanPSMT" w:hAnsi="TimesNewRomanPSMT" w:eastAsia="TimesNewRomanPSMT" w:cs="TimesNewRomanPSMT"/>
                      <w:b/>
                      <w:bCs/>
                      <w:color w:val="000000" w:themeColor="text1"/>
                      <w:kern w:val="0"/>
                      <w:sz w:val="13"/>
                      <w:szCs w:val="13"/>
                      <w:lang w:bidi="ar"/>
                      <w14:textFill>
                        <w14:solidFill>
                          <w14:schemeClr w14:val="tx1"/>
                        </w14:solidFill>
                      </w14:textFill>
                    </w:rPr>
                    <w:t>2.5</w:t>
                  </w:r>
                </w:p>
              </w:tc>
              <w:tc>
                <w:tcPr>
                  <w:tcW w:w="1283" w:type="dxa"/>
                  <w:tcBorders>
                    <w:tl2br w:val="nil"/>
                    <w:tr2bl w:val="nil"/>
                  </w:tcBorders>
                  <w:noWrap w:val="0"/>
                  <w:vAlign w:val="center"/>
                </w:tcPr>
                <w:p w14:paraId="4C0E5AD7">
                  <w:pPr>
                    <w:widowControl/>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NewRomanPSMT" w:hAnsi="TimesNewRomanPSMT" w:eastAsia="TimesNewRomanPSMT" w:cs="TimesNewRomanPSMT"/>
                      <w:b/>
                      <w:bCs/>
                      <w:color w:val="000000" w:themeColor="text1"/>
                      <w:kern w:val="0"/>
                      <w:sz w:val="20"/>
                      <w:szCs w:val="20"/>
                      <w:lang w:bidi="ar"/>
                      <w14:textFill>
                        <w14:solidFill>
                          <w14:schemeClr w14:val="tx1"/>
                        </w14:solidFill>
                      </w14:textFill>
                    </w:rPr>
                    <w:t>CO</w:t>
                  </w:r>
                </w:p>
              </w:tc>
              <w:tc>
                <w:tcPr>
                  <w:tcW w:w="1793" w:type="dxa"/>
                  <w:tcBorders>
                    <w:tl2br w:val="nil"/>
                    <w:tr2bl w:val="nil"/>
                  </w:tcBorders>
                  <w:noWrap w:val="0"/>
                  <w:vAlign w:val="center"/>
                </w:tcPr>
                <w:p w14:paraId="6D5A89E5">
                  <w:pPr>
                    <w:widowControl/>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NewRomanPSMT" w:hAnsi="TimesNewRomanPSMT" w:eastAsia="TimesNewRomanPSMT" w:cs="TimesNewRomanPSMT"/>
                      <w:b/>
                      <w:bCs/>
                      <w:color w:val="000000" w:themeColor="text1"/>
                      <w:kern w:val="0"/>
                      <w:sz w:val="20"/>
                      <w:szCs w:val="20"/>
                      <w:lang w:bidi="ar"/>
                      <w14:textFill>
                        <w14:solidFill>
                          <w14:schemeClr w14:val="tx1"/>
                        </w14:solidFill>
                      </w14:textFill>
                    </w:rPr>
                    <w:t>O</w:t>
                  </w:r>
                  <w:r>
                    <w:rPr>
                      <w:rFonts w:ascii="TimesNewRomanPSMT" w:hAnsi="TimesNewRomanPSMT" w:eastAsia="TimesNewRomanPSMT" w:cs="TimesNewRomanPSMT"/>
                      <w:b/>
                      <w:bCs/>
                      <w:color w:val="000000" w:themeColor="text1"/>
                      <w:kern w:val="0"/>
                      <w:sz w:val="13"/>
                      <w:szCs w:val="13"/>
                      <w:lang w:bidi="ar"/>
                      <w14:textFill>
                        <w14:solidFill>
                          <w14:schemeClr w14:val="tx1"/>
                        </w14:solidFill>
                      </w14:textFill>
                    </w:rPr>
                    <w:t>3</w:t>
                  </w:r>
                </w:p>
              </w:tc>
            </w:tr>
            <w:tr w14:paraId="08422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Merge w:val="continue"/>
                  <w:tcBorders>
                    <w:tl2br w:val="nil"/>
                    <w:tr2bl w:val="nil"/>
                  </w:tcBorders>
                  <w:noWrap w:val="0"/>
                  <w:vAlign w:val="center"/>
                </w:tcPr>
                <w:p w14:paraId="00DDBD24">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p>
              </w:tc>
              <w:tc>
                <w:tcPr>
                  <w:tcW w:w="859" w:type="dxa"/>
                  <w:tcBorders>
                    <w:tl2br w:val="nil"/>
                    <w:tr2bl w:val="nil"/>
                  </w:tcBorders>
                  <w:noWrap w:val="0"/>
                  <w:vAlign w:val="center"/>
                </w:tcPr>
                <w:p w14:paraId="12B2D22C">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指标</w:t>
                  </w:r>
                </w:p>
              </w:tc>
              <w:tc>
                <w:tcPr>
                  <w:tcW w:w="1045" w:type="dxa"/>
                  <w:tcBorders>
                    <w:tl2br w:val="nil"/>
                    <w:tr2bl w:val="nil"/>
                  </w:tcBorders>
                  <w:noWrap w:val="0"/>
                  <w:vAlign w:val="center"/>
                </w:tcPr>
                <w:p w14:paraId="745E29B0">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年平均质量浓度</w:t>
                  </w:r>
                </w:p>
              </w:tc>
              <w:tc>
                <w:tcPr>
                  <w:tcW w:w="1076" w:type="dxa"/>
                  <w:tcBorders>
                    <w:tl2br w:val="nil"/>
                    <w:tr2bl w:val="nil"/>
                  </w:tcBorders>
                  <w:noWrap w:val="0"/>
                  <w:vAlign w:val="center"/>
                </w:tcPr>
                <w:p w14:paraId="2F594219">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年平均质量浓度</w:t>
                  </w:r>
                </w:p>
              </w:tc>
              <w:tc>
                <w:tcPr>
                  <w:tcW w:w="1065" w:type="dxa"/>
                  <w:tcBorders>
                    <w:tl2br w:val="nil"/>
                    <w:tr2bl w:val="nil"/>
                  </w:tcBorders>
                  <w:noWrap w:val="0"/>
                  <w:vAlign w:val="center"/>
                </w:tcPr>
                <w:p w14:paraId="0C2CF09F">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年平均质量浓度</w:t>
                  </w:r>
                </w:p>
              </w:tc>
              <w:tc>
                <w:tcPr>
                  <w:tcW w:w="1045" w:type="dxa"/>
                  <w:tcBorders>
                    <w:tl2br w:val="nil"/>
                    <w:tr2bl w:val="nil"/>
                  </w:tcBorders>
                  <w:noWrap w:val="0"/>
                  <w:vAlign w:val="center"/>
                </w:tcPr>
                <w:p w14:paraId="2E6C9CFC">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年平均质量浓度</w:t>
                  </w:r>
                </w:p>
              </w:tc>
              <w:tc>
                <w:tcPr>
                  <w:tcW w:w="1283" w:type="dxa"/>
                  <w:tcBorders>
                    <w:tl2br w:val="nil"/>
                    <w:tr2bl w:val="nil"/>
                  </w:tcBorders>
                  <w:noWrap w:val="0"/>
                  <w:vAlign w:val="center"/>
                </w:tcPr>
                <w:p w14:paraId="2CAD0D96">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日均浓度第</w:t>
                  </w:r>
                  <w:r>
                    <w:rPr>
                      <w:rFonts w:ascii="TimesNewRomanPSMT" w:hAnsi="TimesNewRomanPSMT" w:eastAsia="TimesNewRomanPSMT" w:cs="TimesNewRomanPSMT"/>
                      <w:color w:val="000000" w:themeColor="text1"/>
                      <w:kern w:val="0"/>
                      <w:sz w:val="20"/>
                      <w:szCs w:val="20"/>
                      <w:lang w:bidi="ar"/>
                      <w14:textFill>
                        <w14:solidFill>
                          <w14:schemeClr w14:val="tx1"/>
                        </w14:solidFill>
                      </w14:textFill>
                    </w:rPr>
                    <w:t>95</w:t>
                  </w:r>
                  <w:r>
                    <w:rPr>
                      <w:rFonts w:hint="eastAsia" w:ascii="宋体" w:hAnsi="宋体" w:eastAsia="宋体" w:cs="宋体"/>
                      <w:color w:val="000000" w:themeColor="text1"/>
                      <w:kern w:val="0"/>
                      <w:sz w:val="20"/>
                      <w:szCs w:val="20"/>
                      <w:lang w:bidi="ar"/>
                      <w14:textFill>
                        <w14:solidFill>
                          <w14:schemeClr w14:val="tx1"/>
                        </w14:solidFill>
                      </w14:textFill>
                    </w:rPr>
                    <w:t>位百分数</w:t>
                  </w:r>
                </w:p>
              </w:tc>
              <w:tc>
                <w:tcPr>
                  <w:tcW w:w="1793" w:type="dxa"/>
                  <w:tcBorders>
                    <w:tl2br w:val="nil"/>
                    <w:tr2bl w:val="nil"/>
                  </w:tcBorders>
                  <w:noWrap w:val="0"/>
                  <w:vAlign w:val="center"/>
                </w:tcPr>
                <w:p w14:paraId="7861800D">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日最大</w:t>
                  </w:r>
                  <w:r>
                    <w:rPr>
                      <w:rFonts w:ascii="TimesNewRomanPSMT" w:hAnsi="TimesNewRomanPSMT" w:eastAsia="TimesNewRomanPSMT" w:cs="TimesNewRomanPSMT"/>
                      <w:color w:val="000000" w:themeColor="text1"/>
                      <w:kern w:val="0"/>
                      <w:sz w:val="20"/>
                      <w:szCs w:val="20"/>
                      <w:lang w:bidi="ar"/>
                      <w14:textFill>
                        <w14:solidFill>
                          <w14:schemeClr w14:val="tx1"/>
                        </w14:solidFill>
                      </w14:textFill>
                    </w:rPr>
                    <w:t>8</w:t>
                  </w:r>
                  <w:r>
                    <w:rPr>
                      <w:rFonts w:hint="eastAsia" w:ascii="宋体" w:hAnsi="宋体" w:eastAsia="宋体" w:cs="宋体"/>
                      <w:color w:val="000000" w:themeColor="text1"/>
                      <w:kern w:val="0"/>
                      <w:sz w:val="20"/>
                      <w:szCs w:val="20"/>
                      <w:lang w:bidi="ar"/>
                      <w14:textFill>
                        <w14:solidFill>
                          <w14:schemeClr w14:val="tx1"/>
                        </w14:solidFill>
                      </w14:textFill>
                    </w:rPr>
                    <w:t>小时均浓度第</w:t>
                  </w:r>
                  <w:r>
                    <w:rPr>
                      <w:rFonts w:ascii="TimesNewRomanPSMT" w:hAnsi="TimesNewRomanPSMT" w:eastAsia="TimesNewRomanPSMT" w:cs="TimesNewRomanPSMT"/>
                      <w:color w:val="000000" w:themeColor="text1"/>
                      <w:kern w:val="0"/>
                      <w:sz w:val="20"/>
                      <w:szCs w:val="20"/>
                      <w:lang w:bidi="ar"/>
                      <w14:textFill>
                        <w14:solidFill>
                          <w14:schemeClr w14:val="tx1"/>
                        </w14:solidFill>
                      </w14:textFill>
                    </w:rPr>
                    <w:t>90</w:t>
                  </w:r>
                  <w:r>
                    <w:rPr>
                      <w:rFonts w:hint="eastAsia" w:ascii="宋体" w:hAnsi="宋体" w:eastAsia="宋体" w:cs="宋体"/>
                      <w:color w:val="000000" w:themeColor="text1"/>
                      <w:kern w:val="0"/>
                      <w:sz w:val="20"/>
                      <w:szCs w:val="20"/>
                      <w:lang w:bidi="ar"/>
                      <w14:textFill>
                        <w14:solidFill>
                          <w14:schemeClr w14:val="tx1"/>
                        </w14:solidFill>
                      </w14:textFill>
                    </w:rPr>
                    <w:t>位百分数</w:t>
                  </w:r>
                </w:p>
              </w:tc>
            </w:tr>
            <w:tr w14:paraId="1B6F4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gridSpan w:val="2"/>
                  <w:tcBorders>
                    <w:tl2br w:val="nil"/>
                    <w:tr2bl w:val="nil"/>
                  </w:tcBorders>
                  <w:noWrap w:val="0"/>
                  <w:vAlign w:val="center"/>
                </w:tcPr>
                <w:p w14:paraId="4A8CDF32">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监测值</w:t>
                  </w:r>
                </w:p>
              </w:tc>
              <w:tc>
                <w:tcPr>
                  <w:tcW w:w="1045" w:type="dxa"/>
                  <w:tcBorders>
                    <w:tl2br w:val="nil"/>
                    <w:tr2bl w:val="nil"/>
                  </w:tcBorders>
                  <w:noWrap w:val="0"/>
                  <w:vAlign w:val="center"/>
                </w:tcPr>
                <w:p w14:paraId="661DC89B">
                  <w:pPr>
                    <w:widowControl/>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076" w:type="dxa"/>
                  <w:tcBorders>
                    <w:tl2br w:val="nil"/>
                    <w:tr2bl w:val="nil"/>
                  </w:tcBorders>
                  <w:noWrap w:val="0"/>
                  <w:vAlign w:val="center"/>
                </w:tcPr>
                <w:p w14:paraId="7F85C502">
                  <w:pPr>
                    <w:widowControl/>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065" w:type="dxa"/>
                  <w:tcBorders>
                    <w:tl2br w:val="nil"/>
                    <w:tr2bl w:val="nil"/>
                  </w:tcBorders>
                  <w:noWrap w:val="0"/>
                  <w:vAlign w:val="center"/>
                </w:tcPr>
                <w:p w14:paraId="2269AFD4">
                  <w:pPr>
                    <w:widowControl/>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w:t>
                  </w:r>
                </w:p>
              </w:tc>
              <w:tc>
                <w:tcPr>
                  <w:tcW w:w="1045" w:type="dxa"/>
                  <w:tcBorders>
                    <w:tl2br w:val="nil"/>
                    <w:tr2bl w:val="nil"/>
                  </w:tcBorders>
                  <w:noWrap w:val="0"/>
                  <w:vAlign w:val="center"/>
                </w:tcPr>
                <w:p w14:paraId="4C54F981">
                  <w:pPr>
                    <w:widowControl/>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283" w:type="dxa"/>
                  <w:tcBorders>
                    <w:tl2br w:val="nil"/>
                    <w:tr2bl w:val="nil"/>
                  </w:tcBorders>
                  <w:noWrap w:val="0"/>
                  <w:vAlign w:val="center"/>
                </w:tcPr>
                <w:p w14:paraId="3983B57F">
                  <w:pPr>
                    <w:widowControl/>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w:t>
                  </w:r>
                </w:p>
              </w:tc>
              <w:tc>
                <w:tcPr>
                  <w:tcW w:w="1793" w:type="dxa"/>
                  <w:tcBorders>
                    <w:tl2br w:val="nil"/>
                    <w:tr2bl w:val="nil"/>
                  </w:tcBorders>
                  <w:noWrap w:val="0"/>
                  <w:vAlign w:val="center"/>
                </w:tcPr>
                <w:p w14:paraId="68A0632A">
                  <w:pPr>
                    <w:widowControl/>
                    <w:adjustRightInd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83</w:t>
                  </w:r>
                </w:p>
              </w:tc>
            </w:tr>
            <w:tr w14:paraId="4A6D9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gridSpan w:val="2"/>
                  <w:tcBorders>
                    <w:tl2br w:val="nil"/>
                    <w:tr2bl w:val="nil"/>
                  </w:tcBorders>
                  <w:noWrap w:val="0"/>
                  <w:vAlign w:val="center"/>
                </w:tcPr>
                <w:p w14:paraId="4273DAC3">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标准</w:t>
                  </w:r>
                </w:p>
              </w:tc>
              <w:tc>
                <w:tcPr>
                  <w:tcW w:w="1045" w:type="dxa"/>
                  <w:tcBorders>
                    <w:tl2br w:val="nil"/>
                    <w:tr2bl w:val="nil"/>
                  </w:tcBorders>
                  <w:noWrap w:val="0"/>
                  <w:vAlign w:val="center"/>
                </w:tcPr>
                <w:p w14:paraId="0A084381">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NewRomanPSMT" w:hAnsi="TimesNewRomanPSMT" w:eastAsia="TimesNewRomanPSMT" w:cs="TimesNewRomanPSMT"/>
                      <w:color w:val="000000" w:themeColor="text1"/>
                      <w:kern w:val="0"/>
                      <w:sz w:val="20"/>
                      <w:szCs w:val="20"/>
                      <w:lang w:bidi="ar"/>
                      <w14:textFill>
                        <w14:solidFill>
                          <w14:schemeClr w14:val="tx1"/>
                        </w14:solidFill>
                      </w14:textFill>
                    </w:rPr>
                    <w:t>60</w:t>
                  </w:r>
                </w:p>
              </w:tc>
              <w:tc>
                <w:tcPr>
                  <w:tcW w:w="1076" w:type="dxa"/>
                  <w:tcBorders>
                    <w:tl2br w:val="nil"/>
                    <w:tr2bl w:val="nil"/>
                  </w:tcBorders>
                  <w:noWrap w:val="0"/>
                  <w:vAlign w:val="center"/>
                </w:tcPr>
                <w:p w14:paraId="4AC189A0">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NewRomanPSMT" w:hAnsi="TimesNewRomanPSMT" w:eastAsia="TimesNewRomanPSMT" w:cs="TimesNewRomanPSMT"/>
                      <w:color w:val="000000" w:themeColor="text1"/>
                      <w:kern w:val="0"/>
                      <w:sz w:val="20"/>
                      <w:szCs w:val="20"/>
                      <w:lang w:bidi="ar"/>
                      <w14:textFill>
                        <w14:solidFill>
                          <w14:schemeClr w14:val="tx1"/>
                        </w14:solidFill>
                      </w14:textFill>
                    </w:rPr>
                    <w:t>40</w:t>
                  </w:r>
                </w:p>
              </w:tc>
              <w:tc>
                <w:tcPr>
                  <w:tcW w:w="1065" w:type="dxa"/>
                  <w:tcBorders>
                    <w:tl2br w:val="nil"/>
                    <w:tr2bl w:val="nil"/>
                  </w:tcBorders>
                  <w:noWrap w:val="0"/>
                  <w:vAlign w:val="center"/>
                </w:tcPr>
                <w:p w14:paraId="0EA1C244">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NewRomanPSMT" w:hAnsi="TimesNewRomanPSMT" w:eastAsia="TimesNewRomanPSMT" w:cs="TimesNewRomanPSMT"/>
                      <w:color w:val="000000" w:themeColor="text1"/>
                      <w:kern w:val="0"/>
                      <w:sz w:val="20"/>
                      <w:szCs w:val="20"/>
                      <w:lang w:bidi="ar"/>
                      <w14:textFill>
                        <w14:solidFill>
                          <w14:schemeClr w14:val="tx1"/>
                        </w14:solidFill>
                      </w14:textFill>
                    </w:rPr>
                    <w:t>70</w:t>
                  </w:r>
                </w:p>
              </w:tc>
              <w:tc>
                <w:tcPr>
                  <w:tcW w:w="1045" w:type="dxa"/>
                  <w:tcBorders>
                    <w:tl2br w:val="nil"/>
                    <w:tr2bl w:val="nil"/>
                  </w:tcBorders>
                  <w:noWrap w:val="0"/>
                  <w:vAlign w:val="center"/>
                </w:tcPr>
                <w:p w14:paraId="54BD22CB">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NewRomanPSMT" w:hAnsi="TimesNewRomanPSMT" w:eastAsia="TimesNewRomanPSMT" w:cs="TimesNewRomanPSMT"/>
                      <w:color w:val="000000" w:themeColor="text1"/>
                      <w:kern w:val="0"/>
                      <w:sz w:val="20"/>
                      <w:szCs w:val="20"/>
                      <w:lang w:bidi="ar"/>
                      <w14:textFill>
                        <w14:solidFill>
                          <w14:schemeClr w14:val="tx1"/>
                        </w14:solidFill>
                      </w14:textFill>
                    </w:rPr>
                    <w:t>35</w:t>
                  </w:r>
                </w:p>
              </w:tc>
              <w:tc>
                <w:tcPr>
                  <w:tcW w:w="1283" w:type="dxa"/>
                  <w:tcBorders>
                    <w:tl2br w:val="nil"/>
                    <w:tr2bl w:val="nil"/>
                  </w:tcBorders>
                  <w:noWrap w:val="0"/>
                  <w:vAlign w:val="center"/>
                </w:tcPr>
                <w:p w14:paraId="10BA48F0">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NewRomanPSMT" w:hAnsi="TimesNewRomanPSMT" w:eastAsia="TimesNewRomanPSMT" w:cs="TimesNewRomanPSMT"/>
                      <w:color w:val="000000" w:themeColor="text1"/>
                      <w:kern w:val="0"/>
                      <w:sz w:val="20"/>
                      <w:szCs w:val="20"/>
                      <w:lang w:bidi="ar"/>
                      <w14:textFill>
                        <w14:solidFill>
                          <w14:schemeClr w14:val="tx1"/>
                        </w14:solidFill>
                      </w14:textFill>
                    </w:rPr>
                    <w:t>4</w:t>
                  </w:r>
                </w:p>
              </w:tc>
              <w:tc>
                <w:tcPr>
                  <w:tcW w:w="1793" w:type="dxa"/>
                  <w:tcBorders>
                    <w:tl2br w:val="nil"/>
                    <w:tr2bl w:val="nil"/>
                  </w:tcBorders>
                  <w:noWrap w:val="0"/>
                  <w:vAlign w:val="center"/>
                </w:tcPr>
                <w:p w14:paraId="4601FF90">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NewRomanPSMT" w:hAnsi="TimesNewRomanPSMT" w:eastAsia="TimesNewRomanPSMT" w:cs="TimesNewRomanPSMT"/>
                      <w:color w:val="000000" w:themeColor="text1"/>
                      <w:kern w:val="0"/>
                      <w:sz w:val="20"/>
                      <w:szCs w:val="20"/>
                      <w:lang w:bidi="ar"/>
                      <w14:textFill>
                        <w14:solidFill>
                          <w14:schemeClr w14:val="tx1"/>
                        </w14:solidFill>
                      </w14:textFill>
                    </w:rPr>
                    <w:t>160</w:t>
                  </w:r>
                </w:p>
              </w:tc>
            </w:tr>
            <w:tr w14:paraId="4E7A2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48" w:type="dxa"/>
                  <w:gridSpan w:val="2"/>
                  <w:tcBorders>
                    <w:tl2br w:val="nil"/>
                    <w:tr2bl w:val="nil"/>
                  </w:tcBorders>
                  <w:noWrap w:val="0"/>
                  <w:vAlign w:val="center"/>
                </w:tcPr>
                <w:p w14:paraId="47F446D5">
                  <w:pPr>
                    <w:adjustRightInd w:val="0"/>
                    <w:snapToGrid w:val="0"/>
                    <w:spacing w:line="24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达标情况</w:t>
                  </w:r>
                </w:p>
              </w:tc>
              <w:tc>
                <w:tcPr>
                  <w:tcW w:w="1045" w:type="dxa"/>
                  <w:tcBorders>
                    <w:tl2br w:val="nil"/>
                    <w:tr2bl w:val="nil"/>
                  </w:tcBorders>
                  <w:noWrap w:val="0"/>
                  <w:vAlign w:val="center"/>
                </w:tcPr>
                <w:p w14:paraId="2F08EA6B">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达标</w:t>
                  </w:r>
                </w:p>
              </w:tc>
              <w:tc>
                <w:tcPr>
                  <w:tcW w:w="1076" w:type="dxa"/>
                  <w:tcBorders>
                    <w:tl2br w:val="nil"/>
                    <w:tr2bl w:val="nil"/>
                  </w:tcBorders>
                  <w:noWrap w:val="0"/>
                  <w:vAlign w:val="center"/>
                </w:tcPr>
                <w:p w14:paraId="3E6E2B32">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达标</w:t>
                  </w:r>
                </w:p>
              </w:tc>
              <w:tc>
                <w:tcPr>
                  <w:tcW w:w="1065" w:type="dxa"/>
                  <w:tcBorders>
                    <w:tl2br w:val="nil"/>
                    <w:tr2bl w:val="nil"/>
                  </w:tcBorders>
                  <w:noWrap w:val="0"/>
                  <w:vAlign w:val="center"/>
                </w:tcPr>
                <w:p w14:paraId="352FA852">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达标</w:t>
                  </w:r>
                </w:p>
              </w:tc>
              <w:tc>
                <w:tcPr>
                  <w:tcW w:w="1045" w:type="dxa"/>
                  <w:tcBorders>
                    <w:tl2br w:val="nil"/>
                    <w:tr2bl w:val="nil"/>
                  </w:tcBorders>
                  <w:noWrap w:val="0"/>
                  <w:vAlign w:val="center"/>
                </w:tcPr>
                <w:p w14:paraId="46C99982">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达标</w:t>
                  </w:r>
                </w:p>
              </w:tc>
              <w:tc>
                <w:tcPr>
                  <w:tcW w:w="1283" w:type="dxa"/>
                  <w:tcBorders>
                    <w:tl2br w:val="nil"/>
                    <w:tr2bl w:val="nil"/>
                  </w:tcBorders>
                  <w:noWrap w:val="0"/>
                  <w:vAlign w:val="center"/>
                </w:tcPr>
                <w:p w14:paraId="6EA2999F">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达标</w:t>
                  </w:r>
                </w:p>
              </w:tc>
              <w:tc>
                <w:tcPr>
                  <w:tcW w:w="1793" w:type="dxa"/>
                  <w:tcBorders>
                    <w:tl2br w:val="nil"/>
                    <w:tr2bl w:val="nil"/>
                  </w:tcBorders>
                  <w:noWrap w:val="0"/>
                  <w:vAlign w:val="center"/>
                </w:tcPr>
                <w:p w14:paraId="2293E661">
                  <w:pPr>
                    <w:widowControl/>
                    <w:adjustRightInd w:val="0"/>
                    <w:snapToGrid w:val="0"/>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达标</w:t>
                  </w:r>
                </w:p>
              </w:tc>
            </w:tr>
          </w:tbl>
          <w:p w14:paraId="4D91EF23">
            <w:pPr>
              <w:adjustRightInd w:val="0"/>
              <w:snapToGrid w:val="0"/>
              <w:spacing w:line="240" w:lineRule="auto"/>
              <w:ind w:firstLine="420" w:firstLineChars="200"/>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备注：上述数据均来自云浮市生态环境局</w:t>
            </w:r>
            <w:r>
              <w:rPr>
                <w:rFonts w:hint="eastAsia" w:ascii="Times New Roman" w:hAnsi="Times New Roman" w:eastAsia="宋体" w:cs="Times New Roman"/>
                <w:color w:val="000000" w:themeColor="text1"/>
                <w:sz w:val="21"/>
                <w:szCs w:val="21"/>
                <w:lang w:eastAsia="zh-CN"/>
                <w14:textFill>
                  <w14:solidFill>
                    <w14:schemeClr w14:val="tx1"/>
                  </w14:solidFill>
                </w14:textFill>
              </w:rPr>
              <w:t>云安分局</w:t>
            </w:r>
            <w:r>
              <w:rPr>
                <w:rFonts w:hint="eastAsia" w:ascii="Times New Roman" w:hAnsi="Times New Roman" w:eastAsia="宋体" w:cs="Times New Roman"/>
                <w:color w:val="000000" w:themeColor="text1"/>
                <w:sz w:val="21"/>
                <w:szCs w:val="21"/>
                <w14:textFill>
                  <w14:solidFill>
                    <w14:schemeClr w14:val="tx1"/>
                  </w14:solidFill>
                </w14:textFill>
              </w:rPr>
              <w:t>公众网《202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年度云浮市云安区环境状况公报》。</w:t>
            </w:r>
          </w:p>
          <w:p w14:paraId="5C59B2BA">
            <w:pPr>
              <w:adjustRightInd w:val="0"/>
              <w:snapToGrid w:val="0"/>
              <w:spacing w:line="360" w:lineRule="auto"/>
              <w:ind w:firstLine="480" w:firstLineChars="200"/>
              <w:jc w:val="left"/>
              <w:rPr>
                <w:rFonts w:hint="eastAsia" w:ascii="Times New Roman" w:hAnsi="Times New Roman"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根据云浮市生态环境局</w:t>
            </w:r>
            <w:r>
              <w:rPr>
                <w:rFonts w:hint="eastAsia" w:ascii="Times New Roman" w:hAnsi="Times New Roman" w:eastAsia="宋体" w:cs="Times New Roman"/>
                <w:color w:val="000000" w:themeColor="text1"/>
                <w:lang w:eastAsia="zh-CN"/>
                <w14:textFill>
                  <w14:solidFill>
                    <w14:schemeClr w14:val="tx1"/>
                  </w14:solidFill>
                </w14:textFill>
              </w:rPr>
              <w:t>云安分局</w:t>
            </w:r>
            <w:r>
              <w:rPr>
                <w:rFonts w:hint="eastAsia" w:ascii="Times New Roman" w:hAnsi="Times New Roman" w:eastAsia="宋体" w:cs="Times New Roman"/>
                <w:color w:val="000000" w:themeColor="text1"/>
                <w14:textFill>
                  <w14:solidFill>
                    <w14:schemeClr w14:val="tx1"/>
                  </w14:solidFill>
                </w14:textFill>
              </w:rPr>
              <w:t>发布的空气环境质量信息显示，项目所在区域中的SO</w:t>
            </w:r>
            <w:r>
              <w:rPr>
                <w:rFonts w:hint="eastAsia" w:ascii="Times New Roman" w:hAnsi="Times New Roman" w:eastAsia="宋体" w:cs="Times New Roman"/>
                <w:color w:val="000000" w:themeColor="text1"/>
                <w:vertAlign w:val="subscript"/>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、NO</w:t>
            </w:r>
            <w:r>
              <w:rPr>
                <w:rFonts w:hint="eastAsia" w:ascii="Times New Roman" w:hAnsi="Times New Roman" w:eastAsia="宋体" w:cs="Times New Roman"/>
                <w:color w:val="000000" w:themeColor="text1"/>
                <w:vertAlign w:val="subscript"/>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、可吸入颗粒物PM</w:t>
            </w:r>
            <w:r>
              <w:rPr>
                <w:rFonts w:hint="eastAsia" w:ascii="Times New Roman" w:hAnsi="Times New Roman" w:eastAsia="宋体" w:cs="Times New Roman"/>
                <w:color w:val="000000" w:themeColor="text1"/>
                <w:vertAlign w:val="subscript"/>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、细颗粒物PM</w:t>
            </w:r>
            <w:r>
              <w:rPr>
                <w:rFonts w:hint="eastAsia" w:ascii="Times New Roman" w:hAnsi="Times New Roman" w:eastAsia="宋体" w:cs="Times New Roman"/>
                <w:color w:val="000000" w:themeColor="text1"/>
                <w:vertAlign w:val="subscript"/>
                <w14:textFill>
                  <w14:solidFill>
                    <w14:schemeClr w14:val="tx1"/>
                  </w14:solidFill>
                </w14:textFill>
              </w:rPr>
              <w:t>2.5</w:t>
            </w:r>
            <w:r>
              <w:rPr>
                <w:rFonts w:hint="eastAsia" w:ascii="Times New Roman" w:hAnsi="Times New Roman" w:eastAsia="宋体" w:cs="Times New Roman"/>
                <w:color w:val="000000" w:themeColor="text1"/>
                <w14:textFill>
                  <w14:solidFill>
                    <w14:schemeClr w14:val="tx1"/>
                  </w14:solidFill>
                </w14:textFill>
              </w:rPr>
              <w:t>、臭氧和一氧化碳均符合《环境空气质量标准》（GB3095-2012）及其修改单年均浓度限值二级标准。区域环境空气质量达标。</w:t>
            </w:r>
          </w:p>
          <w:p w14:paraId="0CCF2C54">
            <w:pPr>
              <w:adjustRightInd w:val="0"/>
              <w:snapToGrid w:val="0"/>
              <w:spacing w:line="360" w:lineRule="auto"/>
              <w:ind w:firstLine="480" w:firstLineChars="20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s="Times New Roman"/>
                <w:color w:val="000000" w:themeColor="text1"/>
                <w:kern w:val="0"/>
                <w:sz w:val="24"/>
                <w:szCs w:val="24"/>
                <w:lang w:eastAsia="zh-CN"/>
                <w14:textFill>
                  <w14:solidFill>
                    <w14:schemeClr w14:val="tx1"/>
                  </w14:solidFill>
                </w14:textFill>
              </w:rPr>
              <w:t>项目大气特征污染物是氨。</w:t>
            </w:r>
            <w:r>
              <w:rPr>
                <w:rFonts w:hint="eastAsia" w:ascii="Times New Roman" w:hAnsi="Times New Roman" w:eastAsia="宋体" w:cs="Times New Roman"/>
                <w:color w:val="000000" w:themeColor="text1"/>
                <w14:textFill>
                  <w14:solidFill>
                    <w14:schemeClr w14:val="tx1"/>
                  </w14:solidFill>
                </w14:textFill>
              </w:rPr>
              <w:t>根据《建设项目环境影响报告表编制技术指南（污染影响类）（试行）》，其中“排放国家、地方环境空气质量标准中有标准限值要求的特征污染物时，引用建设项目周边5千米范围内近3年的现有监测数据”，本项目引用深圳市鸿瑞检测技术有限公司于2025年</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月2</w:t>
            </w:r>
            <w:r>
              <w:rPr>
                <w:rFonts w:hint="eastAsia" w:ascii="Times New Roman" w:hAnsi="Times New Roman" w:eastAsia="宋体" w:cs="Times New Roman"/>
                <w:color w:val="000000" w:themeColor="text1"/>
                <w:lang w:val="en-US" w:eastAsia="zh-CN"/>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lang w:val="en-US" w:eastAsia="zh-CN"/>
                <w14:textFill>
                  <w14:solidFill>
                    <w14:schemeClr w14:val="tx1"/>
                  </w14:solidFill>
                </w14:textFill>
              </w:rPr>
              <w:t>4月3日</w:t>
            </w:r>
            <w:r>
              <w:rPr>
                <w:rFonts w:hint="eastAsia" w:ascii="Times New Roman" w:hAnsi="Times New Roman" w:eastAsia="宋体" w:cs="Times New Roman"/>
                <w:color w:val="000000" w:themeColor="text1"/>
                <w14:textFill>
                  <w14:solidFill>
                    <w14:schemeClr w14:val="tx1"/>
                  </w14:solidFill>
                </w14:textFill>
              </w:rPr>
              <w:t>对</w:t>
            </w:r>
            <w:r>
              <w:rPr>
                <w:rFonts w:hint="eastAsia" w:ascii="Times New Roman" w:hAnsi="Times New Roman" w:eastAsia="宋体" w:cs="Times New Roman"/>
                <w:color w:val="000000" w:themeColor="text1"/>
                <w:lang w:eastAsia="zh-CN"/>
                <w14:textFill>
                  <w14:solidFill>
                    <w14:schemeClr w14:val="tx1"/>
                  </w14:solidFill>
                </w14:textFill>
              </w:rPr>
              <w:t>冬城村、道城洞和茅坪村</w:t>
            </w:r>
            <w:r>
              <w:rPr>
                <w:rFonts w:hint="eastAsia" w:ascii="Times New Roman" w:hAnsi="Times New Roman" w:eastAsia="宋体" w:cs="Times New Roman"/>
                <w:color w:val="000000" w:themeColor="text1"/>
                <w14:textFill>
                  <w14:solidFill>
                    <w14:schemeClr w14:val="tx1"/>
                  </w14:solidFill>
                </w14:textFill>
              </w:rPr>
              <w:t>的环境空气质量监测报告（检测报告编号为：20250410E01-01号），该报告对冬城村、道城洞和茅坪村内</w:t>
            </w:r>
            <w:r>
              <w:rPr>
                <w:rFonts w:hint="eastAsia" w:ascii="Times New Roman" w:hAnsi="Times New Roman" w:eastAsia="宋体" w:cs="Times New Roman"/>
                <w:color w:val="000000" w:themeColor="text1"/>
                <w:lang w:eastAsia="zh-CN"/>
                <w14:textFill>
                  <w14:solidFill>
                    <w14:schemeClr w14:val="tx1"/>
                  </w14:solidFill>
                </w14:textFill>
              </w:rPr>
              <w:t>的</w:t>
            </w:r>
            <w:r>
              <w:rPr>
                <w:rFonts w:hint="eastAsia" w:eastAsia="宋体" w:cs="Times New Roman"/>
                <w:color w:val="000000" w:themeColor="text1"/>
                <w:lang w:eastAsia="zh-CN"/>
                <w14:textFill>
                  <w14:solidFill>
                    <w14:schemeClr w14:val="tx1"/>
                  </w14:solidFill>
                </w14:textFill>
              </w:rPr>
              <w:t>氨</w:t>
            </w:r>
            <w:r>
              <w:rPr>
                <w:rFonts w:hint="eastAsia" w:ascii="Times New Roman" w:hAnsi="Times New Roman" w:eastAsia="宋体" w:cs="Times New Roman"/>
                <w:color w:val="000000" w:themeColor="text1"/>
                <w14:textFill>
                  <w14:solidFill>
                    <w14:schemeClr w14:val="tx1"/>
                  </w14:solidFill>
                </w14:textFill>
              </w:rPr>
              <w:t>进行监测，监测点位</w:t>
            </w:r>
            <w:r>
              <w:rPr>
                <w:rFonts w:hint="eastAsia" w:ascii="Times New Roman" w:hAnsi="Times New Roman" w:eastAsia="宋体" w:cs="Times New Roman"/>
                <w:color w:val="000000" w:themeColor="text1"/>
                <w:lang w:eastAsia="zh-CN"/>
                <w14:textFill>
                  <w14:solidFill>
                    <w14:schemeClr w14:val="tx1"/>
                  </w14:solidFill>
                </w14:textFill>
              </w:rPr>
              <w:t>与本项目距离及方位情况详见下表</w:t>
            </w:r>
            <w:r>
              <w:rPr>
                <w:rFonts w:hint="eastAsia" w:ascii="Times New Roman" w:hAnsi="Times New Roman" w:eastAsia="宋体" w:cs="Times New Roman"/>
                <w:color w:val="000000" w:themeColor="text1"/>
                <w:lang w:val="en-US" w:eastAsia="zh-CN"/>
                <w14:textFill>
                  <w14:solidFill>
                    <w14:schemeClr w14:val="tx1"/>
                  </w14:solidFill>
                </w14:textFill>
              </w:rPr>
              <w:t>3-2及附图3</w:t>
            </w:r>
            <w:r>
              <w:rPr>
                <w:rFonts w:hint="eastAsia" w:ascii="Times New Roman" w:hAnsi="Times New Roman" w:eastAsia="宋体" w:cs="Times New Roman"/>
                <w:color w:val="000000" w:themeColor="text1"/>
                <w14:textFill>
                  <w14:solidFill>
                    <w14:schemeClr w14:val="tx1"/>
                  </w14:solidFill>
                </w14:textFill>
              </w:rPr>
              <w:t>，监测结果详见下表</w:t>
            </w:r>
            <w:r>
              <w:rPr>
                <w:rFonts w:hint="eastAsia" w:ascii="Times New Roman" w:hAnsi="Times New Roman" w:eastAsia="宋体" w:cs="Times New Roman"/>
                <w:color w:val="000000" w:themeColor="text1"/>
                <w:lang w:val="en-US" w:eastAsia="zh-CN"/>
                <w14:textFill>
                  <w14:solidFill>
                    <w14:schemeClr w14:val="tx1"/>
                  </w14:solidFill>
                </w14:textFill>
              </w:rPr>
              <w:t>3-3</w:t>
            </w:r>
            <w:r>
              <w:rPr>
                <w:rFonts w:hint="eastAsia" w:ascii="Times New Roman" w:hAnsi="Times New Roman" w:eastAsia="宋体" w:cs="Times New Roman"/>
                <w:color w:val="000000" w:themeColor="text1"/>
                <w14:textFill>
                  <w14:solidFill>
                    <w14:schemeClr w14:val="tx1"/>
                  </w14:solidFill>
                </w14:textFill>
              </w:rPr>
              <w:t>，监测报告见附件7。</w:t>
            </w:r>
          </w:p>
          <w:p w14:paraId="5241FA84">
            <w:pPr>
              <w:keepNext w:val="0"/>
              <w:keepLines w:val="0"/>
              <w:widowControl w:val="0"/>
              <w:suppressLineNumbers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kern w:val="24"/>
                <w:sz w:val="24"/>
                <w:szCs w:val="20"/>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4"/>
                <w:sz w:val="24"/>
                <w:szCs w:val="20"/>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 xml:space="preserve">3-2 </w:t>
            </w:r>
            <w:r>
              <w:rPr>
                <w:rFonts w:hint="default" w:ascii="Times New Roman" w:hAnsi="Times New Roman" w:eastAsia="宋体" w:cs="Times New Roman"/>
                <w:b/>
                <w:color w:val="000000" w:themeColor="text1"/>
                <w:kern w:val="24"/>
                <w:sz w:val="24"/>
                <w:szCs w:val="20"/>
                <w:lang w:val="en-US" w:eastAsia="zh-CN" w:bidi="ar-SA"/>
                <w14:textFill>
                  <w14:solidFill>
                    <w14:schemeClr w14:val="tx1"/>
                  </w14:solidFill>
                </w14:textFill>
              </w:rPr>
              <w:t>补充监测点位基本信息</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62"/>
              <w:gridCol w:w="2772"/>
              <w:gridCol w:w="1439"/>
              <w:gridCol w:w="1726"/>
            </w:tblGrid>
            <w:tr w14:paraId="102F4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62" w:type="dxa"/>
                  <w:tcBorders>
                    <w:tl2br w:val="nil"/>
                    <w:tr2bl w:val="nil"/>
                  </w:tcBorders>
                  <w:noWrap w:val="0"/>
                  <w:vAlign w:val="center"/>
                </w:tcPr>
                <w:p w14:paraId="6DAE43E6">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监测点名称</w:t>
                  </w:r>
                </w:p>
              </w:tc>
              <w:tc>
                <w:tcPr>
                  <w:tcW w:w="2772" w:type="dxa"/>
                  <w:tcBorders>
                    <w:tl2br w:val="nil"/>
                    <w:tr2bl w:val="nil"/>
                  </w:tcBorders>
                  <w:noWrap w:val="0"/>
                  <w:vAlign w:val="center"/>
                </w:tcPr>
                <w:p w14:paraId="4D77F6C4">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监测因子</w:t>
                  </w:r>
                </w:p>
              </w:tc>
              <w:tc>
                <w:tcPr>
                  <w:tcW w:w="1439" w:type="dxa"/>
                  <w:tcBorders>
                    <w:tl2br w:val="nil"/>
                    <w:tr2bl w:val="nil"/>
                  </w:tcBorders>
                  <w:noWrap w:val="0"/>
                  <w:vAlign w:val="center"/>
                </w:tcPr>
                <w:p w14:paraId="1B5A8BEF">
                  <w:pPr>
                    <w:keepNext w:val="0"/>
                    <w:keepLines w:val="0"/>
                    <w:widowControl w:val="0"/>
                    <w:suppressLineNumbers w:val="0"/>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相对厂址方位</w:t>
                  </w:r>
                </w:p>
              </w:tc>
              <w:tc>
                <w:tcPr>
                  <w:tcW w:w="1726" w:type="dxa"/>
                  <w:tcBorders>
                    <w:tl2br w:val="nil"/>
                    <w:tr2bl w:val="nil"/>
                  </w:tcBorders>
                  <w:noWrap w:val="0"/>
                  <w:vAlign w:val="center"/>
                </w:tcPr>
                <w:p w14:paraId="679AD83F">
                  <w:pPr>
                    <w:keepNext w:val="0"/>
                    <w:keepLines w:val="0"/>
                    <w:widowControl w:val="0"/>
                    <w:suppressLineNumbers w:val="0"/>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相对场界距离/m</w:t>
                  </w:r>
                </w:p>
              </w:tc>
            </w:tr>
            <w:tr w14:paraId="7CAA4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62" w:type="dxa"/>
                  <w:tcBorders>
                    <w:tl2br w:val="nil"/>
                    <w:tr2bl w:val="nil"/>
                  </w:tcBorders>
                  <w:noWrap w:val="0"/>
                  <w:vAlign w:val="center"/>
                </w:tcPr>
                <w:p w14:paraId="00D3D048">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G1</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冬城村</w:t>
                  </w:r>
                </w:p>
              </w:tc>
              <w:tc>
                <w:tcPr>
                  <w:tcW w:w="2772" w:type="dxa"/>
                  <w:vMerge w:val="restart"/>
                  <w:tcBorders>
                    <w:tl2br w:val="nil"/>
                    <w:tr2bl w:val="nil"/>
                  </w:tcBorders>
                  <w:noWrap w:val="0"/>
                  <w:vAlign w:val="center"/>
                </w:tcPr>
                <w:p w14:paraId="38D42E7F">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氨</w:t>
                  </w:r>
                </w:p>
              </w:tc>
              <w:tc>
                <w:tcPr>
                  <w:tcW w:w="1439" w:type="dxa"/>
                  <w:tcBorders>
                    <w:tl2br w:val="nil"/>
                    <w:tr2bl w:val="nil"/>
                  </w:tcBorders>
                  <w:noWrap w:val="0"/>
                  <w:vAlign w:val="center"/>
                </w:tcPr>
                <w:p w14:paraId="280D513D">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西</w:t>
                  </w:r>
                </w:p>
              </w:tc>
              <w:tc>
                <w:tcPr>
                  <w:tcW w:w="1726" w:type="dxa"/>
                  <w:tcBorders>
                    <w:tl2br w:val="nil"/>
                    <w:tr2bl w:val="nil"/>
                  </w:tcBorders>
                  <w:noWrap w:val="0"/>
                  <w:vAlign w:val="center"/>
                </w:tcPr>
                <w:p w14:paraId="6C9F3C33">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800</w:t>
                  </w:r>
                </w:p>
              </w:tc>
            </w:tr>
            <w:tr w14:paraId="698BD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62" w:type="dxa"/>
                  <w:tcBorders>
                    <w:tl2br w:val="nil"/>
                    <w:tr2bl w:val="nil"/>
                  </w:tcBorders>
                  <w:noWrap w:val="0"/>
                  <w:vAlign w:val="center"/>
                </w:tcPr>
                <w:p w14:paraId="3FAF52FC">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G2</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道城洞</w:t>
                  </w:r>
                </w:p>
              </w:tc>
              <w:tc>
                <w:tcPr>
                  <w:tcW w:w="2772" w:type="dxa"/>
                  <w:vMerge w:val="continue"/>
                  <w:tcBorders>
                    <w:tl2br w:val="nil"/>
                    <w:tr2bl w:val="nil"/>
                  </w:tcBorders>
                  <w:noWrap w:val="0"/>
                  <w:vAlign w:val="center"/>
                </w:tcPr>
                <w:p w14:paraId="603FEBC5">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1439" w:type="dxa"/>
                  <w:tcBorders>
                    <w:tl2br w:val="nil"/>
                    <w:tr2bl w:val="nil"/>
                  </w:tcBorders>
                  <w:noWrap w:val="0"/>
                  <w:vAlign w:val="center"/>
                </w:tcPr>
                <w:p w14:paraId="23F35390">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东北</w:t>
                  </w:r>
                </w:p>
              </w:tc>
              <w:tc>
                <w:tcPr>
                  <w:tcW w:w="1726" w:type="dxa"/>
                  <w:tcBorders>
                    <w:tl2br w:val="nil"/>
                    <w:tr2bl w:val="nil"/>
                  </w:tcBorders>
                  <w:noWrap w:val="0"/>
                  <w:vAlign w:val="center"/>
                </w:tcPr>
                <w:p w14:paraId="72080392">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43</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w:t>
                  </w:r>
                </w:p>
              </w:tc>
            </w:tr>
            <w:tr w14:paraId="28D24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1962" w:type="dxa"/>
                  <w:tcBorders>
                    <w:tl2br w:val="nil"/>
                    <w:tr2bl w:val="nil"/>
                  </w:tcBorders>
                  <w:noWrap w:val="0"/>
                  <w:vAlign w:val="center"/>
                </w:tcPr>
                <w:p w14:paraId="6E15ACAB">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G3茅坪村</w:t>
                  </w:r>
                </w:p>
              </w:tc>
              <w:tc>
                <w:tcPr>
                  <w:tcW w:w="2772" w:type="dxa"/>
                  <w:vMerge w:val="continue"/>
                  <w:tcBorders>
                    <w:tl2br w:val="nil"/>
                    <w:tr2bl w:val="nil"/>
                  </w:tcBorders>
                  <w:noWrap w:val="0"/>
                  <w:vAlign w:val="center"/>
                </w:tcPr>
                <w:p w14:paraId="3059DC5D">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1439" w:type="dxa"/>
                  <w:tcBorders>
                    <w:tl2br w:val="nil"/>
                    <w:tr2bl w:val="nil"/>
                  </w:tcBorders>
                  <w:noWrap w:val="0"/>
                  <w:vAlign w:val="center"/>
                </w:tcPr>
                <w:p w14:paraId="0F10C41D">
                  <w:pPr>
                    <w:keepNext w:val="0"/>
                    <w:keepLines w:val="0"/>
                    <w:widowControl w:val="0"/>
                    <w:suppressLineNumbers w:val="0"/>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西</w:t>
                  </w:r>
                </w:p>
              </w:tc>
              <w:tc>
                <w:tcPr>
                  <w:tcW w:w="1726" w:type="dxa"/>
                  <w:tcBorders>
                    <w:tl2br w:val="nil"/>
                    <w:tr2bl w:val="nil"/>
                  </w:tcBorders>
                  <w:noWrap w:val="0"/>
                  <w:vAlign w:val="center"/>
                </w:tcPr>
                <w:p w14:paraId="722B5A1E">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00</w:t>
                  </w:r>
                </w:p>
              </w:tc>
            </w:tr>
          </w:tbl>
          <w:p w14:paraId="672F31B4">
            <w:pPr>
              <w:widowControl w:val="0"/>
              <w:autoSpaceDE w:val="0"/>
              <w:autoSpaceDN w:val="0"/>
              <w:spacing w:line="240" w:lineRule="auto"/>
              <w:jc w:val="center"/>
              <w:textAlignment w:val="baseline"/>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pPr>
          </w:p>
          <w:p w14:paraId="118A2201">
            <w:pPr>
              <w:widowControl w:val="0"/>
              <w:autoSpaceDE w:val="0"/>
              <w:autoSpaceDN w:val="0"/>
              <w:spacing w:line="240" w:lineRule="auto"/>
              <w:jc w:val="center"/>
              <w:textAlignment w:val="baseline"/>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pPr>
          </w:p>
          <w:p w14:paraId="06F85F79">
            <w:pPr>
              <w:widowControl w:val="0"/>
              <w:autoSpaceDE w:val="0"/>
              <w:autoSpaceDN w:val="0"/>
              <w:spacing w:line="240" w:lineRule="auto"/>
              <w:jc w:val="center"/>
              <w:textAlignment w:val="baseline"/>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pPr>
          </w:p>
          <w:p w14:paraId="3D4B4A90">
            <w:pPr>
              <w:widowControl w:val="0"/>
              <w:autoSpaceDE w:val="0"/>
              <w:autoSpaceDN w:val="0"/>
              <w:spacing w:line="240" w:lineRule="auto"/>
              <w:jc w:val="center"/>
              <w:textAlignment w:val="baseline"/>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pPr>
          </w:p>
          <w:p w14:paraId="6014D469">
            <w:pPr>
              <w:keepNext w:val="0"/>
              <w:keepLines w:val="0"/>
              <w:widowControl w:val="0"/>
              <w:suppressLineNumbers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表3-</w:t>
            </w:r>
            <w:r>
              <w:rPr>
                <w:rFonts w:hint="eastAsia" w:cs="Times New Roman"/>
                <w:b/>
                <w:color w:val="000000" w:themeColor="text1"/>
                <w:kern w:val="24"/>
                <w:sz w:val="24"/>
                <w:szCs w:val="20"/>
                <w:lang w:val="en-US" w:eastAsia="zh-CN" w:bidi="ar-SA"/>
                <w14:textFill>
                  <w14:solidFill>
                    <w14:schemeClr w14:val="tx1"/>
                  </w14:solidFill>
                </w14:textFill>
              </w:rPr>
              <w:t>3</w:t>
            </w: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 xml:space="preserve"> 项目区域特征污染物监测结果（单位：</w:t>
            </w:r>
            <w:r>
              <w:rPr>
                <w:rFonts w:hint="default" w:ascii="Times New Roman" w:hAnsi="Times New Roman" w:eastAsia="宋体" w:cs="Times New Roman"/>
                <w:b/>
                <w:color w:val="000000" w:themeColor="text1"/>
                <w:kern w:val="24"/>
                <w:sz w:val="24"/>
                <w:szCs w:val="20"/>
                <w:lang w:val="en-US" w:eastAsia="zh-CN" w:bidi="ar-SA"/>
                <w14:textFill>
                  <w14:solidFill>
                    <w14:schemeClr w14:val="tx1"/>
                  </w14:solidFill>
                </w14:textFill>
              </w:rPr>
              <w:t>μ</w:t>
            </w: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g/m</w:t>
            </w:r>
            <w:r>
              <w:rPr>
                <w:rFonts w:hint="eastAsia" w:ascii="Times New Roman" w:hAnsi="Times New Roman" w:eastAsia="宋体" w:cs="Times New Roman"/>
                <w:b/>
                <w:color w:val="000000" w:themeColor="text1"/>
                <w:kern w:val="24"/>
                <w:sz w:val="24"/>
                <w:szCs w:val="20"/>
                <w:vertAlign w:val="superscript"/>
                <w:lang w:val="en-US" w:eastAsia="zh-CN" w:bidi="ar-SA"/>
                <w14:textFill>
                  <w14:solidFill>
                    <w14:schemeClr w14:val="tx1"/>
                  </w14:solidFill>
                </w14:textFill>
              </w:rPr>
              <w:t>3</w:t>
            </w:r>
            <w:r>
              <w:rPr>
                <w:rFonts w:hint="eastAsia" w:ascii="Times New Roman" w:hAnsi="Times New Roman" w:eastAsia="宋体" w:cs="Times New Roman"/>
                <w:b/>
                <w:color w:val="000000" w:themeColor="text1"/>
                <w:kern w:val="24"/>
                <w:sz w:val="24"/>
                <w:szCs w:val="20"/>
                <w:lang w:val="en-US" w:eastAsia="zh-CN" w:bidi="ar-SA"/>
                <w14:textFill>
                  <w14:solidFill>
                    <w14:schemeClr w14:val="tx1"/>
                  </w14:solidFill>
                </w14:textFill>
              </w:rPr>
              <w:t>，注明者除外）</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564"/>
              <w:gridCol w:w="1291"/>
              <w:gridCol w:w="862"/>
              <w:gridCol w:w="862"/>
              <w:gridCol w:w="862"/>
              <w:gridCol w:w="862"/>
              <w:gridCol w:w="757"/>
              <w:gridCol w:w="804"/>
              <w:gridCol w:w="757"/>
              <w:gridCol w:w="539"/>
              <w:gridCol w:w="714"/>
              <w:gridCol w:w="496"/>
            </w:tblGrid>
            <w:tr w14:paraId="2D016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12" w:hRule="atLeast"/>
                <w:jc w:val="center"/>
              </w:trPr>
              <w:tc>
                <w:tcPr>
                  <w:tcW w:w="570" w:type="dxa"/>
                  <w:vMerge w:val="restart"/>
                  <w:tcBorders>
                    <w:tl2br w:val="nil"/>
                    <w:tr2bl w:val="nil"/>
                  </w:tcBorders>
                  <w:shd w:val="clear" w:color="auto" w:fill="FFFFFF"/>
                  <w:noWrap w:val="0"/>
                  <w:vAlign w:val="center"/>
                </w:tcPr>
                <w:p w14:paraId="6D1B9715">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监测点位</w:t>
                  </w:r>
                </w:p>
              </w:tc>
              <w:tc>
                <w:tcPr>
                  <w:tcW w:w="1310" w:type="dxa"/>
                  <w:vMerge w:val="restart"/>
                  <w:tcBorders>
                    <w:tl2br w:val="nil"/>
                    <w:tr2bl w:val="nil"/>
                  </w:tcBorders>
                  <w:shd w:val="clear" w:color="auto" w:fill="FFFFFF"/>
                  <w:noWrap w:val="0"/>
                  <w:vAlign w:val="center"/>
                </w:tcPr>
                <w:p w14:paraId="55021026">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监测项目</w:t>
                  </w:r>
                </w:p>
              </w:tc>
              <w:tc>
                <w:tcPr>
                  <w:tcW w:w="5032" w:type="dxa"/>
                  <w:gridSpan w:val="7"/>
                  <w:tcBorders>
                    <w:tl2br w:val="nil"/>
                    <w:tr2bl w:val="nil"/>
                  </w:tcBorders>
                  <w:shd w:val="clear" w:color="auto" w:fill="FFFFFF"/>
                  <w:noWrap w:val="0"/>
                  <w:vAlign w:val="center"/>
                </w:tcPr>
                <w:p w14:paraId="61B7C13A">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采样日期</w:t>
                  </w:r>
                </w:p>
              </w:tc>
              <w:tc>
                <w:tcPr>
                  <w:tcW w:w="545" w:type="dxa"/>
                  <w:vMerge w:val="restart"/>
                  <w:tcBorders>
                    <w:tl2br w:val="nil"/>
                    <w:tr2bl w:val="nil"/>
                  </w:tcBorders>
                  <w:shd w:val="clear" w:color="auto" w:fill="FFFFFF"/>
                  <w:noWrap w:val="0"/>
                  <w:vAlign w:val="center"/>
                </w:tcPr>
                <w:p w14:paraId="141C1F96">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最大值</w:t>
                  </w:r>
                </w:p>
              </w:tc>
              <w:tc>
                <w:tcPr>
                  <w:tcW w:w="721" w:type="dxa"/>
                  <w:vMerge w:val="restart"/>
                  <w:tcBorders>
                    <w:tl2br w:val="nil"/>
                    <w:tr2bl w:val="nil"/>
                  </w:tcBorders>
                  <w:shd w:val="clear" w:color="auto" w:fill="FFFFFF"/>
                  <w:noWrap w:val="0"/>
                  <w:vAlign w:val="center"/>
                </w:tcPr>
                <w:p w14:paraId="31CB323D">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标准限值</w:t>
                  </w:r>
                </w:p>
              </w:tc>
              <w:tc>
                <w:tcPr>
                  <w:tcW w:w="501" w:type="dxa"/>
                  <w:vMerge w:val="restart"/>
                  <w:tcBorders>
                    <w:tl2br w:val="nil"/>
                    <w:tr2bl w:val="nil"/>
                  </w:tcBorders>
                  <w:shd w:val="clear" w:color="auto" w:fill="FFFFFF"/>
                  <w:noWrap w:val="0"/>
                  <w:vAlign w:val="center"/>
                </w:tcPr>
                <w:p w14:paraId="6CD32321">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结果评价</w:t>
                  </w:r>
                </w:p>
              </w:tc>
            </w:tr>
            <w:tr w14:paraId="1FB3A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191" w:hRule="atLeast"/>
                <w:jc w:val="center"/>
              </w:trPr>
              <w:tc>
                <w:tcPr>
                  <w:tcW w:w="570" w:type="dxa"/>
                  <w:vMerge w:val="continue"/>
                  <w:tcBorders>
                    <w:tl2br w:val="nil"/>
                    <w:tr2bl w:val="nil"/>
                  </w:tcBorders>
                  <w:shd w:val="clear" w:color="auto" w:fill="FFFFFF"/>
                  <w:noWrap w:val="0"/>
                  <w:vAlign w:val="center"/>
                </w:tcPr>
                <w:p w14:paraId="49F82172">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c>
                <w:tcPr>
                  <w:tcW w:w="1310" w:type="dxa"/>
                  <w:vMerge w:val="continue"/>
                  <w:tcBorders>
                    <w:tl2br w:val="nil"/>
                    <w:tr2bl w:val="nil"/>
                  </w:tcBorders>
                  <w:shd w:val="clear" w:color="auto" w:fill="FFFFFF"/>
                  <w:noWrap w:val="0"/>
                  <w:vAlign w:val="center"/>
                </w:tcPr>
                <w:p w14:paraId="079D36A4">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c>
                <w:tcPr>
                  <w:tcW w:w="709" w:type="dxa"/>
                  <w:tcBorders>
                    <w:tl2br w:val="nil"/>
                    <w:tr2bl w:val="nil"/>
                  </w:tcBorders>
                  <w:shd w:val="clear" w:color="auto" w:fill="FFFFFF"/>
                  <w:noWrap w:val="0"/>
                  <w:vAlign w:val="center"/>
                </w:tcPr>
                <w:p w14:paraId="41561A39">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2025/3/28</w:t>
                  </w:r>
                </w:p>
              </w:tc>
              <w:tc>
                <w:tcPr>
                  <w:tcW w:w="750" w:type="dxa"/>
                  <w:tcBorders>
                    <w:tl2br w:val="nil"/>
                    <w:tr2bl w:val="nil"/>
                  </w:tcBorders>
                  <w:shd w:val="clear" w:color="auto" w:fill="FFFFFF"/>
                  <w:noWrap w:val="0"/>
                  <w:vAlign w:val="center"/>
                </w:tcPr>
                <w:p w14:paraId="769A737D">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2025/3/</w:t>
                  </w: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29</w:t>
                  </w:r>
                </w:p>
              </w:tc>
              <w:tc>
                <w:tcPr>
                  <w:tcW w:w="723" w:type="dxa"/>
                  <w:tcBorders>
                    <w:tl2br w:val="nil"/>
                    <w:tr2bl w:val="nil"/>
                  </w:tcBorders>
                  <w:shd w:val="clear" w:color="auto" w:fill="FFFFFF"/>
                  <w:noWrap w:val="0"/>
                  <w:vAlign w:val="center"/>
                </w:tcPr>
                <w:p w14:paraId="263D32B8">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2025/3/</w:t>
                  </w: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30</w:t>
                  </w:r>
                </w:p>
              </w:tc>
              <w:tc>
                <w:tcPr>
                  <w:tcW w:w="722" w:type="dxa"/>
                  <w:tcBorders>
                    <w:tl2br w:val="nil"/>
                    <w:tr2bl w:val="nil"/>
                  </w:tcBorders>
                  <w:shd w:val="clear" w:color="auto" w:fill="FFFFFF"/>
                  <w:noWrap w:val="0"/>
                  <w:vAlign w:val="center"/>
                </w:tcPr>
                <w:p w14:paraId="76516076">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2025/3/</w:t>
                  </w: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31</w:t>
                  </w:r>
                </w:p>
              </w:tc>
              <w:tc>
                <w:tcPr>
                  <w:tcW w:w="709" w:type="dxa"/>
                  <w:tcBorders>
                    <w:tl2br w:val="nil"/>
                    <w:tr2bl w:val="nil"/>
                  </w:tcBorders>
                  <w:shd w:val="clear" w:color="auto" w:fill="FFFFFF"/>
                  <w:noWrap w:val="0"/>
                  <w:vAlign w:val="center"/>
                </w:tcPr>
                <w:p w14:paraId="49991A2F">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2025/4/1</w:t>
                  </w:r>
                </w:p>
              </w:tc>
              <w:tc>
                <w:tcPr>
                  <w:tcW w:w="710" w:type="dxa"/>
                  <w:tcBorders>
                    <w:tl2br w:val="nil"/>
                    <w:tr2bl w:val="nil"/>
                  </w:tcBorders>
                  <w:shd w:val="clear" w:color="auto" w:fill="FFFFFF"/>
                  <w:noWrap w:val="0"/>
                  <w:vAlign w:val="center"/>
                </w:tcPr>
                <w:p w14:paraId="6EC4540B">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2025/402</w:t>
                  </w:r>
                </w:p>
              </w:tc>
              <w:tc>
                <w:tcPr>
                  <w:tcW w:w="709" w:type="dxa"/>
                  <w:tcBorders>
                    <w:tl2br w:val="nil"/>
                    <w:tr2bl w:val="nil"/>
                  </w:tcBorders>
                  <w:shd w:val="clear" w:color="auto" w:fill="FFFFFF"/>
                  <w:noWrap w:val="0"/>
                  <w:vAlign w:val="center"/>
                </w:tcPr>
                <w:p w14:paraId="66520B26">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t>2025/4/3</w:t>
                  </w:r>
                </w:p>
              </w:tc>
              <w:tc>
                <w:tcPr>
                  <w:tcW w:w="545" w:type="dxa"/>
                  <w:vMerge w:val="continue"/>
                  <w:tcBorders>
                    <w:tl2br w:val="nil"/>
                    <w:tr2bl w:val="nil"/>
                  </w:tcBorders>
                  <w:shd w:val="clear" w:color="auto" w:fill="FFFFFF"/>
                  <w:noWrap w:val="0"/>
                  <w:vAlign w:val="center"/>
                </w:tcPr>
                <w:p w14:paraId="6E26487A">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c>
                <w:tcPr>
                  <w:tcW w:w="721" w:type="dxa"/>
                  <w:vMerge w:val="continue"/>
                  <w:tcBorders>
                    <w:tl2br w:val="nil"/>
                    <w:tr2bl w:val="nil"/>
                  </w:tcBorders>
                  <w:shd w:val="clear" w:color="auto" w:fill="FFFFFF"/>
                  <w:noWrap w:val="0"/>
                  <w:vAlign w:val="center"/>
                </w:tcPr>
                <w:p w14:paraId="680E1EBE">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c>
                <w:tcPr>
                  <w:tcW w:w="501" w:type="dxa"/>
                  <w:vMerge w:val="continue"/>
                  <w:tcBorders>
                    <w:tl2br w:val="nil"/>
                    <w:tr2bl w:val="nil"/>
                  </w:tcBorders>
                  <w:shd w:val="clear" w:color="auto" w:fill="FFFFFF"/>
                  <w:noWrap w:val="0"/>
                  <w:vAlign w:val="center"/>
                </w:tcPr>
                <w:p w14:paraId="5E15D12F">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r>
            <w:tr w14:paraId="50FF44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198" w:hRule="atLeast"/>
                <w:jc w:val="center"/>
              </w:trPr>
              <w:tc>
                <w:tcPr>
                  <w:tcW w:w="570" w:type="dxa"/>
                  <w:tcBorders>
                    <w:tl2br w:val="nil"/>
                    <w:tr2bl w:val="nil"/>
                  </w:tcBorders>
                  <w:shd w:val="clear" w:color="auto" w:fill="FFFFFF"/>
                  <w:noWrap w:val="0"/>
                  <w:vAlign w:val="center"/>
                </w:tcPr>
                <w:p w14:paraId="2F8F93B0">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G1</w:t>
                  </w:r>
                </w:p>
              </w:tc>
              <w:tc>
                <w:tcPr>
                  <w:tcW w:w="1310" w:type="dxa"/>
                  <w:vMerge w:val="restart"/>
                  <w:tcBorders>
                    <w:tl2br w:val="nil"/>
                    <w:tr2bl w:val="nil"/>
                  </w:tcBorders>
                  <w:shd w:val="clear" w:color="auto" w:fill="FFFFFF"/>
                  <w:noWrap w:val="0"/>
                  <w:vAlign w:val="center"/>
                </w:tcPr>
                <w:p w14:paraId="37B5F3F9">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氨</w:t>
                  </w:r>
                </w:p>
              </w:tc>
              <w:tc>
                <w:tcPr>
                  <w:tcW w:w="709" w:type="dxa"/>
                  <w:tcBorders>
                    <w:tl2br w:val="nil"/>
                    <w:tr2bl w:val="nil"/>
                  </w:tcBorders>
                  <w:shd w:val="clear" w:color="auto" w:fill="FFFFFF"/>
                  <w:noWrap w:val="0"/>
                  <w:vAlign w:val="center"/>
                </w:tcPr>
                <w:p w14:paraId="2B1FAB68">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50" w:type="dxa"/>
                  <w:tcBorders>
                    <w:tl2br w:val="nil"/>
                    <w:tr2bl w:val="nil"/>
                  </w:tcBorders>
                  <w:shd w:val="clear" w:color="auto" w:fill="FFFFFF"/>
                  <w:noWrap w:val="0"/>
                  <w:vAlign w:val="center"/>
                </w:tcPr>
                <w:p w14:paraId="50E93B4C">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23" w:type="dxa"/>
                  <w:tcBorders>
                    <w:tl2br w:val="nil"/>
                    <w:tr2bl w:val="nil"/>
                  </w:tcBorders>
                  <w:shd w:val="clear" w:color="auto" w:fill="FFFFFF"/>
                  <w:noWrap w:val="0"/>
                  <w:vAlign w:val="center"/>
                </w:tcPr>
                <w:p w14:paraId="7AE09D66">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22" w:type="dxa"/>
                  <w:tcBorders>
                    <w:tl2br w:val="nil"/>
                    <w:tr2bl w:val="nil"/>
                  </w:tcBorders>
                  <w:shd w:val="clear" w:color="auto" w:fill="FFFFFF"/>
                  <w:noWrap w:val="0"/>
                  <w:vAlign w:val="center"/>
                </w:tcPr>
                <w:p w14:paraId="5144A3B0">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09" w:type="dxa"/>
                  <w:tcBorders>
                    <w:tl2br w:val="nil"/>
                    <w:tr2bl w:val="nil"/>
                  </w:tcBorders>
                  <w:shd w:val="clear" w:color="auto" w:fill="FFFFFF"/>
                  <w:noWrap w:val="0"/>
                  <w:vAlign w:val="center"/>
                </w:tcPr>
                <w:p w14:paraId="44E09DE3">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10" w:type="dxa"/>
                  <w:tcBorders>
                    <w:tl2br w:val="nil"/>
                    <w:tr2bl w:val="nil"/>
                  </w:tcBorders>
                  <w:shd w:val="clear" w:color="auto" w:fill="FFFFFF"/>
                  <w:noWrap w:val="0"/>
                  <w:vAlign w:val="center"/>
                </w:tcPr>
                <w:p w14:paraId="4DCDB951">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09" w:type="dxa"/>
                  <w:tcBorders>
                    <w:tl2br w:val="nil"/>
                    <w:tr2bl w:val="nil"/>
                  </w:tcBorders>
                  <w:shd w:val="clear" w:color="auto" w:fill="FFFFFF"/>
                  <w:noWrap w:val="0"/>
                  <w:vAlign w:val="center"/>
                </w:tcPr>
                <w:p w14:paraId="10F78A99">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545" w:type="dxa"/>
                  <w:tcBorders>
                    <w:tl2br w:val="nil"/>
                    <w:tr2bl w:val="nil"/>
                  </w:tcBorders>
                  <w:shd w:val="clear" w:color="auto" w:fill="FFFFFF"/>
                  <w:noWrap w:val="0"/>
                  <w:vAlign w:val="center"/>
                </w:tcPr>
                <w:p w14:paraId="3D92EC42">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w:t>
                  </w:r>
                </w:p>
              </w:tc>
              <w:tc>
                <w:tcPr>
                  <w:tcW w:w="721" w:type="dxa"/>
                  <w:tcBorders>
                    <w:tl2br w:val="nil"/>
                    <w:tr2bl w:val="nil"/>
                  </w:tcBorders>
                  <w:shd w:val="clear" w:color="auto" w:fill="FFFFFF"/>
                  <w:noWrap w:val="0"/>
                  <w:vAlign w:val="center"/>
                </w:tcPr>
                <w:p w14:paraId="738B6D49">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200</w:t>
                  </w:r>
                </w:p>
              </w:tc>
              <w:tc>
                <w:tcPr>
                  <w:tcW w:w="501" w:type="dxa"/>
                  <w:tcBorders>
                    <w:tl2br w:val="nil"/>
                    <w:tr2bl w:val="nil"/>
                  </w:tcBorders>
                  <w:shd w:val="clear" w:color="auto" w:fill="FFFFFF"/>
                  <w:noWrap w:val="0"/>
                  <w:vAlign w:val="center"/>
                </w:tcPr>
                <w:p w14:paraId="61BDA6A7">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达标</w:t>
                  </w:r>
                </w:p>
              </w:tc>
            </w:tr>
            <w:tr w14:paraId="503A59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198" w:hRule="atLeast"/>
                <w:jc w:val="center"/>
              </w:trPr>
              <w:tc>
                <w:tcPr>
                  <w:tcW w:w="570" w:type="dxa"/>
                  <w:tcBorders>
                    <w:tl2br w:val="nil"/>
                    <w:tr2bl w:val="nil"/>
                  </w:tcBorders>
                  <w:shd w:val="clear" w:color="auto" w:fill="FFFFFF"/>
                  <w:noWrap w:val="0"/>
                  <w:vAlign w:val="center"/>
                </w:tcPr>
                <w:p w14:paraId="3BEDC701">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G2</w:t>
                  </w:r>
                </w:p>
              </w:tc>
              <w:tc>
                <w:tcPr>
                  <w:tcW w:w="1310" w:type="dxa"/>
                  <w:vMerge w:val="continue"/>
                  <w:tcBorders>
                    <w:tl2br w:val="nil"/>
                    <w:tr2bl w:val="nil"/>
                  </w:tcBorders>
                  <w:shd w:val="clear" w:color="auto" w:fill="FFFFFF"/>
                  <w:noWrap w:val="0"/>
                  <w:vAlign w:val="center"/>
                </w:tcPr>
                <w:p w14:paraId="70E762A1">
                  <w:pPr>
                    <w:keepNext w:val="0"/>
                    <w:keepLines w:val="0"/>
                    <w:widowControl w:val="0"/>
                    <w:suppressLineNumbers w:val="0"/>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709" w:type="dxa"/>
                  <w:tcBorders>
                    <w:tl2br w:val="nil"/>
                    <w:tr2bl w:val="nil"/>
                  </w:tcBorders>
                  <w:shd w:val="clear" w:color="auto" w:fill="FFFFFF"/>
                  <w:noWrap w:val="0"/>
                  <w:vAlign w:val="center"/>
                </w:tcPr>
                <w:p w14:paraId="5CEBA9A4">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50" w:type="dxa"/>
                  <w:tcBorders>
                    <w:tl2br w:val="nil"/>
                    <w:tr2bl w:val="nil"/>
                  </w:tcBorders>
                  <w:shd w:val="clear" w:color="auto" w:fill="FFFFFF"/>
                  <w:noWrap w:val="0"/>
                  <w:vAlign w:val="center"/>
                </w:tcPr>
                <w:p w14:paraId="6DE3FE44">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23" w:type="dxa"/>
                  <w:tcBorders>
                    <w:tl2br w:val="nil"/>
                    <w:tr2bl w:val="nil"/>
                  </w:tcBorders>
                  <w:shd w:val="clear" w:color="auto" w:fill="FFFFFF"/>
                  <w:noWrap w:val="0"/>
                  <w:vAlign w:val="center"/>
                </w:tcPr>
                <w:p w14:paraId="7EEE1338">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22" w:type="dxa"/>
                  <w:tcBorders>
                    <w:tl2br w:val="nil"/>
                    <w:tr2bl w:val="nil"/>
                  </w:tcBorders>
                  <w:shd w:val="clear" w:color="auto" w:fill="FFFFFF"/>
                  <w:noWrap w:val="0"/>
                  <w:vAlign w:val="center"/>
                </w:tcPr>
                <w:p w14:paraId="36C02E83">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09" w:type="dxa"/>
                  <w:tcBorders>
                    <w:tl2br w:val="nil"/>
                    <w:tr2bl w:val="nil"/>
                  </w:tcBorders>
                  <w:shd w:val="clear" w:color="auto" w:fill="FFFFFF"/>
                  <w:noWrap w:val="0"/>
                  <w:vAlign w:val="center"/>
                </w:tcPr>
                <w:p w14:paraId="1C3FE74B">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10" w:type="dxa"/>
                  <w:tcBorders>
                    <w:tl2br w:val="nil"/>
                    <w:tr2bl w:val="nil"/>
                  </w:tcBorders>
                  <w:shd w:val="clear" w:color="auto" w:fill="FFFFFF"/>
                  <w:noWrap w:val="0"/>
                  <w:vAlign w:val="center"/>
                </w:tcPr>
                <w:p w14:paraId="64FD3A8F">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09" w:type="dxa"/>
                  <w:tcBorders>
                    <w:tl2br w:val="nil"/>
                    <w:tr2bl w:val="nil"/>
                  </w:tcBorders>
                  <w:shd w:val="clear" w:color="auto" w:fill="FFFFFF"/>
                  <w:noWrap w:val="0"/>
                  <w:vAlign w:val="center"/>
                </w:tcPr>
                <w:p w14:paraId="6CCA536F">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545" w:type="dxa"/>
                  <w:tcBorders>
                    <w:tl2br w:val="nil"/>
                    <w:tr2bl w:val="nil"/>
                  </w:tcBorders>
                  <w:shd w:val="clear" w:color="auto" w:fill="FFFFFF"/>
                  <w:noWrap w:val="0"/>
                  <w:vAlign w:val="center"/>
                </w:tcPr>
                <w:p w14:paraId="4BE1C33B">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w:t>
                  </w:r>
                </w:p>
              </w:tc>
              <w:tc>
                <w:tcPr>
                  <w:tcW w:w="721" w:type="dxa"/>
                  <w:tcBorders>
                    <w:tl2br w:val="nil"/>
                    <w:tr2bl w:val="nil"/>
                  </w:tcBorders>
                  <w:shd w:val="clear" w:color="auto" w:fill="FFFFFF"/>
                  <w:noWrap w:val="0"/>
                  <w:vAlign w:val="center"/>
                </w:tcPr>
                <w:p w14:paraId="39697466">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200</w:t>
                  </w:r>
                </w:p>
              </w:tc>
              <w:tc>
                <w:tcPr>
                  <w:tcW w:w="501" w:type="dxa"/>
                  <w:tcBorders>
                    <w:tl2br w:val="nil"/>
                    <w:tr2bl w:val="nil"/>
                  </w:tcBorders>
                  <w:shd w:val="clear" w:color="auto" w:fill="FFFFFF"/>
                  <w:noWrap w:val="0"/>
                  <w:vAlign w:val="center"/>
                </w:tcPr>
                <w:p w14:paraId="11F3E741">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达标</w:t>
                  </w:r>
                </w:p>
              </w:tc>
            </w:tr>
            <w:tr w14:paraId="71E933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198" w:hRule="atLeast"/>
                <w:jc w:val="center"/>
              </w:trPr>
              <w:tc>
                <w:tcPr>
                  <w:tcW w:w="570" w:type="dxa"/>
                  <w:tcBorders>
                    <w:tl2br w:val="nil"/>
                    <w:tr2bl w:val="nil"/>
                  </w:tcBorders>
                  <w:shd w:val="clear" w:color="auto" w:fill="FFFFFF"/>
                  <w:noWrap w:val="0"/>
                  <w:vAlign w:val="center"/>
                </w:tcPr>
                <w:p w14:paraId="55998EB3">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G3</w:t>
                  </w:r>
                </w:p>
              </w:tc>
              <w:tc>
                <w:tcPr>
                  <w:tcW w:w="1310" w:type="dxa"/>
                  <w:vMerge w:val="continue"/>
                  <w:tcBorders>
                    <w:tl2br w:val="nil"/>
                    <w:tr2bl w:val="nil"/>
                  </w:tcBorders>
                  <w:shd w:val="clear" w:color="auto" w:fill="FFFFFF"/>
                  <w:noWrap w:val="0"/>
                  <w:vAlign w:val="center"/>
                </w:tcPr>
                <w:p w14:paraId="1D5B8251">
                  <w:pPr>
                    <w:keepNext w:val="0"/>
                    <w:keepLines w:val="0"/>
                    <w:widowControl w:val="0"/>
                    <w:suppressLineNumbers w:val="0"/>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709" w:type="dxa"/>
                  <w:tcBorders>
                    <w:tl2br w:val="nil"/>
                    <w:tr2bl w:val="nil"/>
                  </w:tcBorders>
                  <w:shd w:val="clear" w:color="auto" w:fill="FFFFFF"/>
                  <w:noWrap w:val="0"/>
                  <w:vAlign w:val="center"/>
                </w:tcPr>
                <w:p w14:paraId="2A82BE6E">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50" w:type="dxa"/>
                  <w:tcBorders>
                    <w:tl2br w:val="nil"/>
                    <w:tr2bl w:val="nil"/>
                  </w:tcBorders>
                  <w:shd w:val="clear" w:color="auto" w:fill="FFFFFF"/>
                  <w:noWrap w:val="0"/>
                  <w:vAlign w:val="center"/>
                </w:tcPr>
                <w:p w14:paraId="5C33586B">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23" w:type="dxa"/>
                  <w:tcBorders>
                    <w:tl2br w:val="nil"/>
                    <w:tr2bl w:val="nil"/>
                  </w:tcBorders>
                  <w:shd w:val="clear" w:color="auto" w:fill="FFFFFF"/>
                  <w:noWrap w:val="0"/>
                  <w:vAlign w:val="center"/>
                </w:tcPr>
                <w:p w14:paraId="49626B68">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22" w:type="dxa"/>
                  <w:tcBorders>
                    <w:tl2br w:val="nil"/>
                    <w:tr2bl w:val="nil"/>
                  </w:tcBorders>
                  <w:shd w:val="clear" w:color="auto" w:fill="FFFFFF"/>
                  <w:noWrap w:val="0"/>
                  <w:vAlign w:val="center"/>
                </w:tcPr>
                <w:p w14:paraId="5412BC09">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09" w:type="dxa"/>
                  <w:tcBorders>
                    <w:tl2br w:val="nil"/>
                    <w:tr2bl w:val="nil"/>
                  </w:tcBorders>
                  <w:shd w:val="clear" w:color="auto" w:fill="FFFFFF"/>
                  <w:noWrap w:val="0"/>
                  <w:vAlign w:val="center"/>
                </w:tcPr>
                <w:p w14:paraId="7F237B5E">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10" w:type="dxa"/>
                  <w:tcBorders>
                    <w:tl2br w:val="nil"/>
                    <w:tr2bl w:val="nil"/>
                  </w:tcBorders>
                  <w:shd w:val="clear" w:color="auto" w:fill="FFFFFF"/>
                  <w:noWrap w:val="0"/>
                  <w:vAlign w:val="center"/>
                </w:tcPr>
                <w:p w14:paraId="044C2229">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709" w:type="dxa"/>
                  <w:tcBorders>
                    <w:tl2br w:val="nil"/>
                    <w:tr2bl w:val="nil"/>
                  </w:tcBorders>
                  <w:shd w:val="clear" w:color="auto" w:fill="FFFFFF"/>
                  <w:noWrap w:val="0"/>
                  <w:vAlign w:val="center"/>
                </w:tcPr>
                <w:p w14:paraId="35AA6897">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ND</w:t>
                  </w:r>
                </w:p>
              </w:tc>
              <w:tc>
                <w:tcPr>
                  <w:tcW w:w="545" w:type="dxa"/>
                  <w:tcBorders>
                    <w:tl2br w:val="nil"/>
                    <w:tr2bl w:val="nil"/>
                  </w:tcBorders>
                  <w:shd w:val="clear" w:color="auto" w:fill="FFFFFF"/>
                  <w:noWrap w:val="0"/>
                  <w:vAlign w:val="center"/>
                </w:tcPr>
                <w:p w14:paraId="55A70638">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w:t>
                  </w:r>
                </w:p>
              </w:tc>
              <w:tc>
                <w:tcPr>
                  <w:tcW w:w="721" w:type="dxa"/>
                  <w:tcBorders>
                    <w:tl2br w:val="nil"/>
                    <w:tr2bl w:val="nil"/>
                  </w:tcBorders>
                  <w:shd w:val="clear" w:color="auto" w:fill="FFFFFF"/>
                  <w:noWrap w:val="0"/>
                  <w:vAlign w:val="center"/>
                </w:tcPr>
                <w:p w14:paraId="4036DF7B">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200</w:t>
                  </w:r>
                </w:p>
              </w:tc>
              <w:tc>
                <w:tcPr>
                  <w:tcW w:w="501" w:type="dxa"/>
                  <w:tcBorders>
                    <w:tl2br w:val="nil"/>
                    <w:tr2bl w:val="nil"/>
                  </w:tcBorders>
                  <w:shd w:val="clear" w:color="auto" w:fill="FFFFFF"/>
                  <w:noWrap w:val="0"/>
                  <w:vAlign w:val="center"/>
                </w:tcPr>
                <w:p w14:paraId="42939880">
                  <w:pPr>
                    <w:keepNext w:val="0"/>
                    <w:keepLines w:val="0"/>
                    <w:widowControl w:val="0"/>
                    <w:suppressLineNumbers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达标</w:t>
                  </w:r>
                </w:p>
              </w:tc>
            </w:tr>
          </w:tbl>
          <w:p w14:paraId="470644C7">
            <w:pPr>
              <w:widowControl w:val="0"/>
              <w:adjustRightInd w:val="0"/>
              <w:snapToGrid w:val="0"/>
              <w:spacing w:line="240" w:lineRule="auto"/>
              <w:jc w:val="both"/>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p>
          <w:p w14:paraId="7C966A0A">
            <w:pPr>
              <w:adjustRightInd w:val="0"/>
              <w:snapToGrid w:val="0"/>
              <w:spacing w:line="360" w:lineRule="auto"/>
              <w:ind w:firstLine="480" w:firstLineChars="200"/>
              <w:jc w:val="left"/>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由上表可知，</w:t>
            </w:r>
            <w:r>
              <w:rPr>
                <w:rFonts w:hint="eastAsia" w:ascii="Times New Roman" w:hAnsi="Times New Roman" w:eastAsia="宋体" w:cs="Times New Roman"/>
                <w:color w:val="000000" w:themeColor="text1"/>
                <w:lang w:eastAsia="zh-CN"/>
                <w14:textFill>
                  <w14:solidFill>
                    <w14:schemeClr w14:val="tx1"/>
                  </w14:solidFill>
                </w14:textFill>
              </w:rPr>
              <w:t>本项目所在区域</w:t>
            </w:r>
            <w:r>
              <w:rPr>
                <w:rFonts w:hint="eastAsia" w:cs="Times New Roman"/>
                <w:color w:val="000000" w:themeColor="text1"/>
                <w:lang w:eastAsia="zh-CN"/>
                <w14:textFill>
                  <w14:solidFill>
                    <w14:schemeClr w14:val="tx1"/>
                  </w14:solidFill>
                </w14:textFill>
              </w:rPr>
              <w:t>氨</w:t>
            </w:r>
            <w:r>
              <w:rPr>
                <w:rFonts w:hint="eastAsia" w:ascii="Times New Roman" w:hAnsi="Times New Roman" w:eastAsia="宋体" w:cs="Times New Roman"/>
                <w:color w:val="000000" w:themeColor="text1"/>
                <w14:textFill>
                  <w14:solidFill>
                    <w14:schemeClr w14:val="tx1"/>
                  </w14:solidFill>
                </w14:textFill>
              </w:rPr>
              <w:t>符合《环境空气质量标准》（GB3095-2012）及其修改单年均浓度限值二级标准，综上所述，项目所在区域空气环境质量现状良好。</w:t>
            </w:r>
          </w:p>
          <w:p w14:paraId="6B3FBDF7">
            <w:pPr>
              <w:adjustRightInd w:val="0"/>
              <w:snapToGrid w:val="0"/>
              <w:spacing w:line="360" w:lineRule="auto"/>
              <w:ind w:firstLine="482" w:firstLineChars="200"/>
              <w:jc w:val="left"/>
              <w:rPr>
                <w:rFonts w:hint="eastAsia" w:ascii="Times New Roman" w:hAnsi="Times New Roman" w:cs="Times New Roman"/>
                <w:b/>
                <w:bCs/>
                <w:kern w:val="0"/>
                <w:sz w:val="24"/>
                <w:szCs w:val="24"/>
                <w:lang w:eastAsia="zh-CN"/>
              </w:rPr>
            </w:pPr>
            <w:r>
              <w:rPr>
                <w:rFonts w:hint="eastAsia" w:ascii="Times New Roman" w:hAnsi="Times New Roman" w:cs="Times New Roman"/>
                <w:b/>
                <w:bCs/>
                <w:kern w:val="0"/>
                <w:sz w:val="24"/>
                <w:szCs w:val="24"/>
                <w:lang w:val="en-US" w:eastAsia="zh-CN"/>
              </w:rPr>
              <w:t>2、</w:t>
            </w:r>
            <w:r>
              <w:rPr>
                <w:rFonts w:hint="eastAsia" w:ascii="Times New Roman" w:hAnsi="Times New Roman" w:cs="Times New Roman"/>
                <w:b/>
                <w:bCs/>
                <w:kern w:val="0"/>
                <w:sz w:val="24"/>
                <w:szCs w:val="24"/>
                <w:lang w:eastAsia="zh-CN"/>
              </w:rPr>
              <w:t>地表水环境</w:t>
            </w:r>
          </w:p>
          <w:p w14:paraId="28569974">
            <w:pPr>
              <w:bidi w:val="0"/>
              <w:ind w:firstLine="480" w:firstLineChars="200"/>
              <w:rPr>
                <w:rFonts w:hint="eastAsia"/>
                <w:lang w:eastAsia="zh-CN"/>
              </w:rPr>
            </w:pPr>
            <w:r>
              <w:rPr>
                <w:rFonts w:hint="eastAsia"/>
                <w:lang w:eastAsia="zh-CN"/>
              </w:rPr>
              <w:t>本项目位于云浮市云安区六都镇茅坪坑，在</w:t>
            </w:r>
            <w:r>
              <w:rPr>
                <w:rFonts w:hint="eastAsia"/>
                <w:color w:val="000000" w:themeColor="text1"/>
                <w:lang w:eastAsia="zh-CN"/>
                <w14:textFill>
                  <w14:solidFill>
                    <w14:schemeClr w14:val="tx1"/>
                  </w14:solidFill>
                </w14:textFill>
              </w:rPr>
              <w:t>云浮循环经济工业园内</w:t>
            </w:r>
            <w:r>
              <w:rPr>
                <w:rFonts w:hint="eastAsia"/>
                <w:lang w:eastAsia="zh-CN"/>
              </w:rPr>
              <w:t>，项目所在地周边水体为逢源河。根据《广东省地表水环境功能区划》（粤环【2011】14号），逢源河（又名蓬远河，云浮大绀山至云浮逢远）为农业用水功能，水质保护目标为《地表水环境质量标准》（GB3838-2002）Ⅲ类标准。</w:t>
            </w:r>
          </w:p>
          <w:p w14:paraId="72D24FFF">
            <w:pPr>
              <w:bidi w:val="0"/>
              <w:ind w:firstLine="480" w:firstLineChars="200"/>
              <w:rPr>
                <w:rFonts w:hint="eastAsia"/>
                <w:lang w:val="en-US" w:eastAsia="zh-CN"/>
              </w:rPr>
            </w:pPr>
            <w:r>
              <w:rPr>
                <w:rFonts w:hint="eastAsia"/>
                <w:lang w:eastAsia="zh-CN"/>
              </w:rPr>
              <w:t>根据《2024年度云浮市云安区环境状况公报》（云浮市生态环境局云安分局，2025年7月14日），2024年蓬远河的庆丰桥断面水质达到Ⅲ类水质标准；企岭断面水质为Ⅴ类，未达到Ⅲ类水质标准；黄湾断面水质达到Ⅲ类水质标准。各断面地理位置见附图</w:t>
            </w:r>
            <w:r>
              <w:rPr>
                <w:rFonts w:hint="eastAsia"/>
                <w:lang w:val="en-US" w:eastAsia="zh-CN"/>
              </w:rPr>
              <w:t>3</w:t>
            </w:r>
            <w:r>
              <w:rPr>
                <w:rFonts w:hint="eastAsia"/>
                <w:lang w:eastAsia="zh-CN"/>
              </w:rPr>
              <w:t>。</w:t>
            </w:r>
          </w:p>
          <w:p w14:paraId="1A688508">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3、声环境</w:t>
            </w:r>
          </w:p>
          <w:p w14:paraId="78B8AE48">
            <w:pPr>
              <w:adjustRightInd w:val="0"/>
              <w:snapToGrid w:val="0"/>
              <w:spacing w:line="360" w:lineRule="auto"/>
              <w:ind w:firstLine="480" w:firstLineChars="200"/>
              <w:jc w:val="left"/>
              <w:rPr>
                <w:rFonts w:hint="eastAsia" w:ascii="Times New Roman" w:hAnsi="Times New Roman" w:cs="Times New Roman"/>
                <w:kern w:val="0"/>
                <w:sz w:val="24"/>
                <w:szCs w:val="24"/>
                <w:lang w:eastAsia="zh-CN"/>
              </w:rPr>
            </w:pPr>
            <w:r>
              <w:rPr>
                <w:rFonts w:hint="eastAsia" w:ascii="Times New Roman" w:hAnsi="Times New Roman" w:cs="Times New Roman"/>
                <w:kern w:val="0"/>
                <w:sz w:val="24"/>
                <w:szCs w:val="24"/>
                <w:lang w:eastAsia="zh-CN"/>
              </w:rPr>
              <w:t>根据《云浮市环境保护规划（2016-2030年）》（云府办［2017］60号），项目所在地属于</w:t>
            </w:r>
            <w:r>
              <w:rPr>
                <w:rFonts w:hint="eastAsia" w:ascii="Times New Roman" w:hAnsi="Times New Roman" w:cs="Times New Roman"/>
                <w:kern w:val="0"/>
                <w:sz w:val="24"/>
                <w:szCs w:val="24"/>
                <w:lang w:val="en-US" w:eastAsia="zh-CN"/>
              </w:rPr>
              <w:t>3</w:t>
            </w:r>
            <w:r>
              <w:rPr>
                <w:rFonts w:hint="eastAsia" w:ascii="Times New Roman" w:hAnsi="Times New Roman" w:cs="Times New Roman"/>
                <w:kern w:val="0"/>
                <w:sz w:val="24"/>
                <w:szCs w:val="24"/>
                <w:lang w:eastAsia="zh-CN"/>
              </w:rPr>
              <w:t>类声环境功能区（见附图），声环境质量执行《声环境质量标准》（GB3096-2008）</w:t>
            </w:r>
            <w:r>
              <w:rPr>
                <w:rFonts w:hint="eastAsia" w:ascii="Times New Roman" w:hAnsi="Times New Roman" w:cs="Times New Roman"/>
                <w:kern w:val="0"/>
                <w:sz w:val="24"/>
                <w:szCs w:val="24"/>
                <w:lang w:val="en-US" w:eastAsia="zh-CN"/>
              </w:rPr>
              <w:t>3</w:t>
            </w:r>
            <w:r>
              <w:rPr>
                <w:rFonts w:hint="eastAsia" w:ascii="Times New Roman" w:hAnsi="Times New Roman" w:cs="Times New Roman"/>
                <w:kern w:val="0"/>
                <w:sz w:val="24"/>
                <w:szCs w:val="24"/>
                <w:lang w:eastAsia="zh-CN"/>
              </w:rPr>
              <w:t>类标准。</w:t>
            </w:r>
          </w:p>
          <w:p w14:paraId="2FC9D4FD">
            <w:p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kern w:val="0"/>
                <w:sz w:val="24"/>
                <w:szCs w:val="24"/>
                <w:lang w:eastAsia="zh-CN"/>
              </w:rPr>
              <w:t>项目厂界外50米范围内无声环境保护目标，因此本评价不开展声环境保护目标的声环境质量现状调查。</w:t>
            </w:r>
          </w:p>
          <w:p w14:paraId="5560DE47">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4、生态环境</w:t>
            </w:r>
          </w:p>
          <w:p w14:paraId="07B5DCB2">
            <w:p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kern w:val="0"/>
                <w:sz w:val="24"/>
                <w:szCs w:val="24"/>
                <w:lang w:eastAsia="zh-CN"/>
              </w:rPr>
              <w:t>项目位于云浮循环经济工业园化工专区内，因此本评价不开展生态现状调查。</w:t>
            </w:r>
          </w:p>
          <w:p w14:paraId="4390A615">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5、电磁辐射</w:t>
            </w:r>
          </w:p>
          <w:p w14:paraId="4A61B0A2">
            <w:p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kern w:val="0"/>
                <w:sz w:val="24"/>
                <w:szCs w:val="24"/>
                <w:lang w:eastAsia="zh-CN"/>
              </w:rPr>
              <w:t>项目不属于电磁辐射类项目，因此本评价不开展电磁辐射现状监测与评价。</w:t>
            </w:r>
          </w:p>
          <w:p w14:paraId="3C182173">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6、地下水、土壤环境</w:t>
            </w:r>
          </w:p>
          <w:p w14:paraId="212AFA6D">
            <w:pPr>
              <w:adjustRightInd w:val="0"/>
              <w:snapToGrid w:val="0"/>
              <w:spacing w:line="360" w:lineRule="auto"/>
              <w:ind w:firstLine="480" w:firstLineChars="200"/>
              <w:jc w:val="left"/>
            </w:pPr>
            <w:r>
              <w:rPr>
                <w:rFonts w:hint="eastAsia" w:ascii="Times New Roman" w:hAnsi="Times New Roman" w:cs="Times New Roman"/>
                <w:kern w:val="0"/>
                <w:sz w:val="24"/>
                <w:szCs w:val="24"/>
                <w:lang w:eastAsia="zh-CN"/>
              </w:rPr>
              <w:t>本项目对液氨球罐区、氨水储罐区、生产车间、事故应急池等采取了相应的防渗措施，不存在土壤、地下水环境污染途径，因此本评价不开展地下水、土壤环境现状调查。</w:t>
            </w:r>
          </w:p>
        </w:tc>
      </w:tr>
      <w:tr w14:paraId="3BB22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8" w:hRule="atLeast"/>
          <w:jc w:val="center"/>
        </w:trPr>
        <w:tc>
          <w:tcPr>
            <w:tcW w:w="516" w:type="dxa"/>
            <w:vAlign w:val="center"/>
          </w:tcPr>
          <w:p w14:paraId="7DC8EA54">
            <w:pPr>
              <w:adjustRightInd w:val="0"/>
              <w:snapToGrid w:val="0"/>
              <w:jc w:val="center"/>
              <w:rPr>
                <w:rFonts w:ascii="宋体" w:hAnsi="宋体" w:cs="宋体"/>
                <w:kern w:val="0"/>
                <w:szCs w:val="21"/>
              </w:rPr>
            </w:pPr>
            <w:r>
              <w:rPr>
                <w:rFonts w:hint="eastAsia" w:ascii="宋体" w:hAnsi="宋体" w:cs="宋体"/>
                <w:kern w:val="0"/>
                <w:szCs w:val="21"/>
              </w:rPr>
              <w:t>环境</w:t>
            </w:r>
          </w:p>
          <w:p w14:paraId="7BDDEAF5">
            <w:pPr>
              <w:adjustRightInd w:val="0"/>
              <w:snapToGrid w:val="0"/>
              <w:jc w:val="center"/>
              <w:rPr>
                <w:rFonts w:ascii="宋体" w:hAnsi="宋体" w:cs="宋体"/>
                <w:kern w:val="0"/>
                <w:szCs w:val="21"/>
              </w:rPr>
            </w:pPr>
            <w:r>
              <w:rPr>
                <w:rFonts w:hint="eastAsia" w:ascii="宋体" w:hAnsi="宋体" w:cs="宋体"/>
                <w:kern w:val="0"/>
                <w:szCs w:val="21"/>
              </w:rPr>
              <w:t>保护</w:t>
            </w:r>
          </w:p>
          <w:p w14:paraId="03C9195B">
            <w:pPr>
              <w:adjustRightInd w:val="0"/>
              <w:snapToGrid w:val="0"/>
              <w:jc w:val="center"/>
              <w:rPr>
                <w:rFonts w:ascii="宋体" w:hAnsi="宋体" w:cs="宋体"/>
                <w:kern w:val="0"/>
                <w:szCs w:val="21"/>
              </w:rPr>
            </w:pPr>
            <w:r>
              <w:rPr>
                <w:rFonts w:hint="eastAsia" w:ascii="宋体" w:hAnsi="宋体" w:cs="宋体"/>
                <w:kern w:val="0"/>
                <w:szCs w:val="21"/>
              </w:rPr>
              <w:t>目标</w:t>
            </w:r>
          </w:p>
        </w:tc>
        <w:tc>
          <w:tcPr>
            <w:tcW w:w="9586" w:type="dxa"/>
            <w:vAlign w:val="center"/>
          </w:tcPr>
          <w:p w14:paraId="7F942312">
            <w:pPr>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1、大气环境</w:t>
            </w:r>
          </w:p>
          <w:p w14:paraId="6A546638">
            <w:p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kern w:val="0"/>
                <w:sz w:val="24"/>
                <w:szCs w:val="24"/>
                <w:lang w:val="en-US" w:eastAsia="zh-CN"/>
              </w:rPr>
              <w:t>项目所在厂区500米范围内的大气环境保护目标是位于项目厂界正北外约430</w:t>
            </w:r>
            <w:r>
              <w:rPr>
                <w:rFonts w:hint="eastAsia" w:ascii="Times New Roman" w:hAnsi="Times New Roman" w:cs="Times New Roman"/>
                <w:kern w:val="0"/>
                <w:sz w:val="24"/>
                <w:szCs w:val="24"/>
                <w:lang w:eastAsia="zh-CN"/>
              </w:rPr>
              <w:t>米</w:t>
            </w:r>
            <w:r>
              <w:rPr>
                <w:rFonts w:hint="eastAsia" w:ascii="Times New Roman" w:hAnsi="Times New Roman" w:cs="Times New Roman"/>
                <w:kern w:val="0"/>
                <w:sz w:val="24"/>
                <w:szCs w:val="24"/>
                <w:lang w:val="en-US" w:eastAsia="zh-CN"/>
              </w:rPr>
              <w:t>的道城洞（相对位置见附图），该保护目标属于农村地区中人群较集中的区域。</w:t>
            </w:r>
          </w:p>
          <w:p w14:paraId="720AC937">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2、声环境</w:t>
            </w:r>
          </w:p>
          <w:p w14:paraId="76D43AE9">
            <w:p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kern w:val="0"/>
                <w:sz w:val="24"/>
                <w:szCs w:val="24"/>
                <w:lang w:val="en-US" w:eastAsia="zh-CN"/>
              </w:rPr>
              <w:t>项目所在厂区厂界外50</w:t>
            </w:r>
            <w:r>
              <w:rPr>
                <w:rFonts w:hint="eastAsia" w:ascii="Times New Roman" w:hAnsi="Times New Roman" w:cs="Times New Roman"/>
                <w:kern w:val="0"/>
                <w:sz w:val="24"/>
                <w:szCs w:val="24"/>
                <w:lang w:eastAsia="zh-CN"/>
              </w:rPr>
              <w:t>米</w:t>
            </w:r>
            <w:r>
              <w:rPr>
                <w:rFonts w:hint="eastAsia" w:ascii="Times New Roman" w:hAnsi="Times New Roman" w:cs="Times New Roman"/>
                <w:kern w:val="0"/>
                <w:sz w:val="24"/>
                <w:szCs w:val="24"/>
                <w:lang w:val="en-US" w:eastAsia="zh-CN"/>
              </w:rPr>
              <w:t>范围内无医院、学校、机关、科研单位、住宅、自然保护区等对噪声敏感的建筑物或区域，因此没有声环境保护目标。</w:t>
            </w:r>
          </w:p>
          <w:p w14:paraId="38733E5A">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3、地下水环境</w:t>
            </w:r>
          </w:p>
          <w:p w14:paraId="020CABEC">
            <w:p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kern w:val="0"/>
                <w:sz w:val="24"/>
                <w:szCs w:val="24"/>
                <w:lang w:val="en-US" w:eastAsia="zh-CN"/>
              </w:rPr>
              <w:t>项目所在厂区厂界外500</w:t>
            </w:r>
            <w:r>
              <w:rPr>
                <w:rFonts w:hint="eastAsia" w:ascii="Times New Roman" w:hAnsi="Times New Roman" w:cs="Times New Roman"/>
                <w:kern w:val="0"/>
                <w:sz w:val="24"/>
                <w:szCs w:val="24"/>
                <w:lang w:eastAsia="zh-CN"/>
              </w:rPr>
              <w:t>米</w:t>
            </w:r>
            <w:r>
              <w:rPr>
                <w:rFonts w:hint="eastAsia" w:ascii="Times New Roman" w:hAnsi="Times New Roman" w:cs="Times New Roman"/>
                <w:kern w:val="0"/>
                <w:sz w:val="24"/>
                <w:szCs w:val="24"/>
                <w:lang w:val="en-US" w:eastAsia="zh-CN"/>
              </w:rPr>
              <w:t>范围内不涉及潜水含水层、具有饮用水开发利用价值的含水层、集中式饮用水水源地、分散式饮用水水源地，《建设项目环境影响评价分类管理目录（2021年版）》（生态环境部令第16号）也未对项目所属项目类别划分涉及地下水的环境敏感区，因此没有地下水环境保护目标。</w:t>
            </w:r>
          </w:p>
          <w:p w14:paraId="0991D7EA">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4、生态环境</w:t>
            </w:r>
          </w:p>
          <w:p w14:paraId="59E96BD3">
            <w:pPr>
              <w:adjustRightInd w:val="0"/>
              <w:snapToGrid w:val="0"/>
              <w:spacing w:line="360" w:lineRule="auto"/>
              <w:ind w:firstLine="480" w:firstLineChars="200"/>
              <w:jc w:val="left"/>
              <w:rPr>
                <w:sz w:val="21"/>
              </w:rPr>
            </w:pPr>
            <w:r>
              <w:rPr>
                <w:rFonts w:hint="eastAsia" w:ascii="Times New Roman" w:hAnsi="Times New Roman" w:cs="Times New Roman"/>
                <w:kern w:val="0"/>
                <w:sz w:val="24"/>
                <w:szCs w:val="24"/>
                <w:lang w:eastAsia="zh-CN"/>
              </w:rPr>
              <w:t>项目位于云浮循环经济工业园化工专区，因此</w:t>
            </w:r>
            <w:r>
              <w:rPr>
                <w:rFonts w:hint="eastAsia" w:ascii="Times New Roman" w:hAnsi="Times New Roman" w:cs="Times New Roman"/>
                <w:kern w:val="0"/>
                <w:sz w:val="24"/>
                <w:szCs w:val="24"/>
                <w:lang w:val="en-US" w:eastAsia="zh-CN"/>
              </w:rPr>
              <w:t>没有</w:t>
            </w:r>
            <w:r>
              <w:rPr>
                <w:rFonts w:hint="eastAsia" w:ascii="Times New Roman" w:hAnsi="Times New Roman" w:cs="Times New Roman"/>
                <w:kern w:val="0"/>
                <w:sz w:val="24"/>
                <w:szCs w:val="24"/>
                <w:lang w:eastAsia="zh-CN"/>
              </w:rPr>
              <w:t>生态环境保护目标</w:t>
            </w:r>
            <w:r>
              <w:rPr>
                <w:rFonts w:hint="eastAsia" w:ascii="Times New Roman" w:hAnsi="Times New Roman" w:cs="Times New Roman"/>
                <w:kern w:val="0"/>
                <w:sz w:val="24"/>
                <w:szCs w:val="24"/>
                <w:lang w:val="en-US" w:eastAsia="zh-CN"/>
              </w:rPr>
              <w:t>。</w:t>
            </w:r>
          </w:p>
        </w:tc>
      </w:tr>
      <w:tr w14:paraId="46B49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16" w:type="dxa"/>
            <w:vAlign w:val="center"/>
          </w:tcPr>
          <w:p w14:paraId="67D729EE">
            <w:pPr>
              <w:adjustRightInd w:val="0"/>
              <w:snapToGrid w:val="0"/>
              <w:jc w:val="center"/>
              <w:rPr>
                <w:rFonts w:ascii="宋体" w:hAnsi="宋体" w:cs="宋体"/>
                <w:kern w:val="0"/>
                <w:szCs w:val="21"/>
              </w:rPr>
            </w:pPr>
            <w:r>
              <w:rPr>
                <w:rFonts w:hint="eastAsia" w:ascii="宋体" w:hAnsi="宋体" w:cs="宋体"/>
                <w:kern w:val="0"/>
                <w:szCs w:val="21"/>
              </w:rPr>
              <w:t>污染</w:t>
            </w:r>
          </w:p>
          <w:p w14:paraId="3FB20C97">
            <w:pPr>
              <w:adjustRightInd w:val="0"/>
              <w:snapToGrid w:val="0"/>
              <w:jc w:val="center"/>
              <w:rPr>
                <w:rFonts w:ascii="宋体" w:hAnsi="宋体" w:cs="宋体"/>
                <w:kern w:val="0"/>
                <w:szCs w:val="21"/>
              </w:rPr>
            </w:pPr>
            <w:r>
              <w:rPr>
                <w:rFonts w:hint="eastAsia" w:ascii="宋体" w:hAnsi="宋体" w:cs="宋体"/>
                <w:kern w:val="0"/>
                <w:szCs w:val="21"/>
              </w:rPr>
              <w:t>物排</w:t>
            </w:r>
          </w:p>
          <w:p w14:paraId="4A83E5BD">
            <w:pPr>
              <w:adjustRightInd w:val="0"/>
              <w:snapToGrid w:val="0"/>
              <w:jc w:val="center"/>
              <w:rPr>
                <w:rFonts w:ascii="宋体" w:hAnsi="宋体" w:cs="宋体"/>
                <w:kern w:val="0"/>
                <w:szCs w:val="21"/>
              </w:rPr>
            </w:pPr>
            <w:r>
              <w:rPr>
                <w:rFonts w:hint="eastAsia" w:ascii="宋体" w:hAnsi="宋体" w:cs="宋体"/>
                <w:kern w:val="0"/>
                <w:szCs w:val="21"/>
              </w:rPr>
              <w:t>放控</w:t>
            </w:r>
          </w:p>
          <w:p w14:paraId="04587488">
            <w:pPr>
              <w:adjustRightInd w:val="0"/>
              <w:snapToGrid w:val="0"/>
              <w:jc w:val="center"/>
              <w:rPr>
                <w:rFonts w:ascii="宋体" w:hAnsi="宋体" w:cs="宋体"/>
                <w:kern w:val="0"/>
                <w:szCs w:val="21"/>
              </w:rPr>
            </w:pPr>
            <w:r>
              <w:rPr>
                <w:rFonts w:hint="eastAsia" w:ascii="宋体" w:hAnsi="宋体" w:cs="宋体"/>
                <w:kern w:val="0"/>
                <w:szCs w:val="21"/>
              </w:rPr>
              <w:t>制标</w:t>
            </w:r>
          </w:p>
          <w:p w14:paraId="35C2C781">
            <w:pPr>
              <w:adjustRightInd w:val="0"/>
              <w:snapToGrid w:val="0"/>
              <w:jc w:val="center"/>
              <w:rPr>
                <w:rFonts w:ascii="宋体" w:hAnsi="宋体" w:cs="宋体"/>
                <w:kern w:val="0"/>
                <w:szCs w:val="21"/>
              </w:rPr>
            </w:pPr>
            <w:r>
              <w:rPr>
                <w:rFonts w:hint="eastAsia" w:ascii="宋体" w:hAnsi="宋体" w:cs="宋体"/>
                <w:kern w:val="0"/>
                <w:szCs w:val="21"/>
              </w:rPr>
              <w:t>准</w:t>
            </w:r>
          </w:p>
        </w:tc>
        <w:tc>
          <w:tcPr>
            <w:tcW w:w="9586" w:type="dxa"/>
            <w:vAlign w:val="center"/>
          </w:tcPr>
          <w:p w14:paraId="425CB2B0">
            <w:pPr>
              <w:adjustRightInd w:val="0"/>
              <w:snapToGrid w:val="0"/>
              <w:spacing w:line="360" w:lineRule="auto"/>
              <w:ind w:firstLine="482" w:firstLineChars="200"/>
              <w:jc w:val="both"/>
              <w:rPr>
                <w:rFonts w:hint="eastAsia"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1、废气</w:t>
            </w:r>
          </w:p>
          <w:p w14:paraId="61C1844D">
            <w:pPr>
              <w:adjustRightInd w:val="0"/>
              <w:snapToGrid w:val="0"/>
              <w:spacing w:line="360" w:lineRule="auto"/>
              <w:ind w:firstLine="480" w:firstLineChars="200"/>
              <w:jc w:val="left"/>
              <w:rPr>
                <w:rFonts w:hint="eastAsia" w:cs="Times New Roman"/>
                <w:kern w:val="0"/>
                <w:sz w:val="24"/>
                <w:szCs w:val="24"/>
                <w:lang w:val="en-US" w:eastAsia="zh-CN"/>
              </w:rPr>
            </w:pPr>
            <w:r>
              <w:rPr>
                <w:rFonts w:hint="eastAsia" w:cs="Times New Roman"/>
                <w:kern w:val="0"/>
                <w:sz w:val="24"/>
                <w:szCs w:val="24"/>
                <w:lang w:eastAsia="zh-CN"/>
              </w:rPr>
              <w:t>项目大气污染源是氨气回收装置后排放的少量氨气（</w:t>
            </w:r>
            <w:r>
              <w:rPr>
                <w:rFonts w:hint="eastAsia" w:cs="Times New Roman"/>
                <w:kern w:val="0"/>
                <w:sz w:val="24"/>
                <w:szCs w:val="24"/>
                <w:lang w:val="en-US" w:eastAsia="zh-CN"/>
              </w:rPr>
              <w:t>NH</w:t>
            </w:r>
            <w:r>
              <w:rPr>
                <w:rFonts w:hint="eastAsia" w:cs="Times New Roman"/>
                <w:kern w:val="0"/>
                <w:sz w:val="24"/>
                <w:szCs w:val="24"/>
                <w:vertAlign w:val="subscript"/>
                <w:lang w:val="en-US" w:eastAsia="zh-CN"/>
              </w:rPr>
              <w:t>3</w:t>
            </w:r>
            <w:r>
              <w:rPr>
                <w:rFonts w:hint="eastAsia" w:cs="Times New Roman"/>
                <w:kern w:val="0"/>
                <w:sz w:val="24"/>
                <w:szCs w:val="24"/>
                <w:lang w:eastAsia="zh-CN"/>
              </w:rPr>
              <w:t>）</w:t>
            </w:r>
            <w:r>
              <w:rPr>
                <w:rFonts w:hint="eastAsia" w:cs="Times New Roman"/>
                <w:kern w:val="0"/>
                <w:sz w:val="24"/>
                <w:szCs w:val="24"/>
                <w:lang w:val="en-US" w:eastAsia="zh-CN"/>
              </w:rPr>
              <w:t>，经15米高排气筒排放，</w:t>
            </w:r>
            <w:r>
              <w:rPr>
                <w:rFonts w:hint="eastAsia" w:cs="Times New Roman"/>
                <w:kern w:val="0"/>
                <w:sz w:val="24"/>
                <w:szCs w:val="24"/>
                <w:lang w:eastAsia="zh-CN"/>
              </w:rPr>
              <w:t>执行</w:t>
            </w:r>
            <w:r>
              <w:rPr>
                <w:rFonts w:hint="default" w:ascii="Times New Roman" w:hAnsi="Times New Roman" w:cs="Times New Roman"/>
                <w:kern w:val="0"/>
                <w:sz w:val="24"/>
                <w:szCs w:val="24"/>
              </w:rPr>
              <w:t>《恶臭污染物排放标准》（GB14554-93）</w:t>
            </w:r>
            <w:r>
              <w:rPr>
                <w:rFonts w:hint="eastAsia" w:cs="Times New Roman"/>
                <w:kern w:val="0"/>
                <w:sz w:val="24"/>
                <w:szCs w:val="24"/>
                <w:lang w:eastAsia="zh-CN"/>
              </w:rPr>
              <w:t>表</w:t>
            </w:r>
            <w:r>
              <w:rPr>
                <w:rFonts w:hint="eastAsia" w:cs="Times New Roman"/>
                <w:kern w:val="0"/>
                <w:sz w:val="24"/>
                <w:szCs w:val="24"/>
                <w:lang w:val="en-US" w:eastAsia="zh-CN"/>
              </w:rPr>
              <w:t>2有关限值要求；厂界浓度执行</w:t>
            </w:r>
            <w:r>
              <w:rPr>
                <w:rFonts w:hint="default" w:ascii="Times New Roman" w:hAnsi="Times New Roman" w:cs="Times New Roman"/>
                <w:kern w:val="0"/>
                <w:sz w:val="24"/>
                <w:szCs w:val="24"/>
              </w:rPr>
              <w:t>《恶臭污染物排放标准》（GB14554-93）</w:t>
            </w:r>
            <w:r>
              <w:rPr>
                <w:rFonts w:hint="eastAsia" w:cs="Times New Roman"/>
                <w:kern w:val="0"/>
                <w:sz w:val="24"/>
                <w:szCs w:val="24"/>
                <w:lang w:eastAsia="zh-CN"/>
              </w:rPr>
              <w:t>表</w:t>
            </w:r>
            <w:r>
              <w:rPr>
                <w:rFonts w:hint="eastAsia" w:cs="Times New Roman"/>
                <w:kern w:val="0"/>
                <w:sz w:val="24"/>
                <w:szCs w:val="24"/>
                <w:lang w:val="en-US" w:eastAsia="zh-CN"/>
              </w:rPr>
              <w:t>1二级“新改扩建”相应限值要求。</w:t>
            </w:r>
          </w:p>
          <w:p w14:paraId="1949A3D8">
            <w:pPr>
              <w:pStyle w:val="15"/>
              <w:bidi w:val="0"/>
              <w:rPr>
                <w:rFonts w:hint="default"/>
                <w:lang w:val="en-US" w:eastAsia="zh-CN"/>
              </w:rPr>
            </w:pPr>
            <w:r>
              <w:rPr>
                <w:rFonts w:hint="eastAsia"/>
                <w:lang w:val="en-US" w:eastAsia="zh-CN"/>
              </w:rPr>
              <w:t>表3-4 项目氨排放执行标准</w:t>
            </w:r>
          </w:p>
          <w:tbl>
            <w:tblPr>
              <w:tblStyle w:val="12"/>
              <w:tblW w:w="92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755"/>
              <w:gridCol w:w="2090"/>
              <w:gridCol w:w="2090"/>
              <w:gridCol w:w="2239"/>
            </w:tblGrid>
            <w:tr w14:paraId="2587C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l2br w:val="nil"/>
                    <w:tr2bl w:val="nil"/>
                  </w:tcBorders>
                  <w:noWrap w:val="0"/>
                  <w:vAlign w:val="center"/>
                </w:tcPr>
                <w:p w14:paraId="1703791E">
                  <w:pPr>
                    <w:adjustRightInd w:val="0"/>
                    <w:snapToGrid w:val="0"/>
                    <w:spacing w:line="240" w:lineRule="auto"/>
                    <w:jc w:val="center"/>
                    <w:rPr>
                      <w:rFonts w:hint="eastAsia"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污染物</w:t>
                  </w:r>
                </w:p>
              </w:tc>
              <w:tc>
                <w:tcPr>
                  <w:tcW w:w="1755" w:type="dxa"/>
                  <w:tcBorders>
                    <w:tl2br w:val="nil"/>
                    <w:tr2bl w:val="nil"/>
                  </w:tcBorders>
                  <w:noWrap w:val="0"/>
                  <w:vAlign w:val="center"/>
                </w:tcPr>
                <w:p w14:paraId="6C28167F">
                  <w:pPr>
                    <w:adjustRightInd w:val="0"/>
                    <w:snapToGrid w:val="0"/>
                    <w:spacing w:line="240" w:lineRule="auto"/>
                    <w:jc w:val="center"/>
                    <w:rPr>
                      <w:rFonts w:hint="eastAsia"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排放形式</w:t>
                  </w:r>
                </w:p>
              </w:tc>
              <w:tc>
                <w:tcPr>
                  <w:tcW w:w="2090" w:type="dxa"/>
                  <w:tcBorders>
                    <w:tl2br w:val="nil"/>
                    <w:tr2bl w:val="nil"/>
                  </w:tcBorders>
                  <w:noWrap w:val="0"/>
                  <w:vAlign w:val="center"/>
                </w:tcPr>
                <w:p w14:paraId="2B320F68">
                  <w:pPr>
                    <w:adjustRightInd w:val="0"/>
                    <w:snapToGrid w:val="0"/>
                    <w:spacing w:line="240" w:lineRule="auto"/>
                    <w:jc w:val="center"/>
                    <w:rPr>
                      <w:rFonts w:hint="eastAsia"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排气筒高度（m）</w:t>
                  </w:r>
                </w:p>
              </w:tc>
              <w:tc>
                <w:tcPr>
                  <w:tcW w:w="2090" w:type="dxa"/>
                  <w:tcBorders>
                    <w:tl2br w:val="nil"/>
                    <w:tr2bl w:val="nil"/>
                  </w:tcBorders>
                  <w:noWrap w:val="0"/>
                  <w:vAlign w:val="center"/>
                </w:tcPr>
                <w:p w14:paraId="35E337AA">
                  <w:pPr>
                    <w:adjustRightInd w:val="0"/>
                    <w:snapToGrid w:val="0"/>
                    <w:spacing w:line="240" w:lineRule="auto"/>
                    <w:jc w:val="center"/>
                    <w:rPr>
                      <w:rFonts w:hint="eastAsia"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速率限值（kg/h）</w:t>
                  </w:r>
                </w:p>
              </w:tc>
              <w:tc>
                <w:tcPr>
                  <w:tcW w:w="2239" w:type="dxa"/>
                  <w:tcBorders>
                    <w:tl2br w:val="nil"/>
                    <w:tr2bl w:val="nil"/>
                  </w:tcBorders>
                  <w:noWrap w:val="0"/>
                  <w:vAlign w:val="center"/>
                </w:tcPr>
                <w:p w14:paraId="4A2946E6">
                  <w:pPr>
                    <w:adjustRightInd w:val="0"/>
                    <w:snapToGrid w:val="0"/>
                    <w:spacing w:line="240" w:lineRule="auto"/>
                    <w:jc w:val="center"/>
                    <w:rPr>
                      <w:rFonts w:hint="eastAsia"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浓度限值（mg/m</w:t>
                  </w:r>
                  <w:r>
                    <w:rPr>
                      <w:rFonts w:hint="eastAsia" w:cs="Times New Roman"/>
                      <w:b/>
                      <w:bCs/>
                      <w:kern w:val="0"/>
                      <w:sz w:val="21"/>
                      <w:szCs w:val="21"/>
                      <w:vertAlign w:val="superscript"/>
                      <w:lang w:val="en-US" w:eastAsia="zh-CN"/>
                    </w:rPr>
                    <w:t>3</w:t>
                  </w:r>
                  <w:r>
                    <w:rPr>
                      <w:rFonts w:hint="eastAsia" w:cs="Times New Roman"/>
                      <w:b/>
                      <w:bCs/>
                      <w:kern w:val="0"/>
                      <w:sz w:val="21"/>
                      <w:szCs w:val="21"/>
                      <w:vertAlign w:val="baseline"/>
                      <w:lang w:val="en-US" w:eastAsia="zh-CN"/>
                    </w:rPr>
                    <w:t>）</w:t>
                  </w:r>
                </w:p>
              </w:tc>
            </w:tr>
            <w:tr w14:paraId="08140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restart"/>
                  <w:tcBorders>
                    <w:tl2br w:val="nil"/>
                    <w:tr2bl w:val="nil"/>
                  </w:tcBorders>
                  <w:noWrap w:val="0"/>
                  <w:vAlign w:val="center"/>
                </w:tcPr>
                <w:p w14:paraId="4CDA128C">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NH</w:t>
                  </w:r>
                  <w:r>
                    <w:rPr>
                      <w:rFonts w:hint="eastAsia" w:cs="Times New Roman"/>
                      <w:kern w:val="0"/>
                      <w:sz w:val="21"/>
                      <w:szCs w:val="21"/>
                      <w:vertAlign w:val="subscript"/>
                      <w:lang w:val="en-US" w:eastAsia="zh-CN"/>
                    </w:rPr>
                    <w:t>3</w:t>
                  </w:r>
                </w:p>
              </w:tc>
              <w:tc>
                <w:tcPr>
                  <w:tcW w:w="1755" w:type="dxa"/>
                  <w:tcBorders>
                    <w:tl2br w:val="nil"/>
                    <w:tr2bl w:val="nil"/>
                  </w:tcBorders>
                  <w:noWrap w:val="0"/>
                  <w:vAlign w:val="center"/>
                </w:tcPr>
                <w:p w14:paraId="092D76C8">
                  <w:pPr>
                    <w:adjustRightInd w:val="0"/>
                    <w:snapToGrid w:val="0"/>
                    <w:spacing w:line="240" w:lineRule="auto"/>
                    <w:jc w:val="center"/>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有组织</w:t>
                  </w:r>
                </w:p>
              </w:tc>
              <w:tc>
                <w:tcPr>
                  <w:tcW w:w="2090" w:type="dxa"/>
                  <w:tcBorders>
                    <w:tl2br w:val="nil"/>
                    <w:tr2bl w:val="nil"/>
                  </w:tcBorders>
                  <w:noWrap w:val="0"/>
                  <w:vAlign w:val="center"/>
                </w:tcPr>
                <w:p w14:paraId="7AF9B0AF">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15</w:t>
                  </w:r>
                </w:p>
              </w:tc>
              <w:tc>
                <w:tcPr>
                  <w:tcW w:w="2090" w:type="dxa"/>
                  <w:tcBorders>
                    <w:tl2br w:val="nil"/>
                    <w:tr2bl w:val="nil"/>
                  </w:tcBorders>
                  <w:noWrap w:val="0"/>
                  <w:vAlign w:val="center"/>
                </w:tcPr>
                <w:p w14:paraId="29C83667">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4.9</w:t>
                  </w:r>
                </w:p>
              </w:tc>
              <w:tc>
                <w:tcPr>
                  <w:tcW w:w="2239" w:type="dxa"/>
                  <w:tcBorders>
                    <w:tl2br w:val="nil"/>
                    <w:tr2bl w:val="nil"/>
                  </w:tcBorders>
                  <w:noWrap w:val="0"/>
                  <w:vAlign w:val="center"/>
                </w:tcPr>
                <w:p w14:paraId="5F33A87B">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w:t>
                  </w:r>
                </w:p>
              </w:tc>
            </w:tr>
            <w:tr w14:paraId="77F62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continue"/>
                  <w:tcBorders>
                    <w:tl2br w:val="nil"/>
                    <w:tr2bl w:val="nil"/>
                  </w:tcBorders>
                  <w:noWrap w:val="0"/>
                  <w:vAlign w:val="center"/>
                </w:tcPr>
                <w:p w14:paraId="5CA5715B">
                  <w:pPr>
                    <w:adjustRightInd w:val="0"/>
                    <w:snapToGrid w:val="0"/>
                    <w:spacing w:line="240" w:lineRule="auto"/>
                    <w:jc w:val="center"/>
                    <w:rPr>
                      <w:rFonts w:hint="eastAsia" w:cs="Times New Roman"/>
                      <w:kern w:val="0"/>
                      <w:sz w:val="21"/>
                      <w:szCs w:val="21"/>
                      <w:vertAlign w:val="baseline"/>
                      <w:lang w:val="en-US" w:eastAsia="zh-CN"/>
                    </w:rPr>
                  </w:pPr>
                </w:p>
              </w:tc>
              <w:tc>
                <w:tcPr>
                  <w:tcW w:w="1755" w:type="dxa"/>
                  <w:tcBorders>
                    <w:tl2br w:val="nil"/>
                    <w:tr2bl w:val="nil"/>
                  </w:tcBorders>
                  <w:noWrap w:val="0"/>
                  <w:vAlign w:val="center"/>
                </w:tcPr>
                <w:p w14:paraId="22C02EB0">
                  <w:pPr>
                    <w:adjustRightInd w:val="0"/>
                    <w:snapToGrid w:val="0"/>
                    <w:spacing w:line="240" w:lineRule="auto"/>
                    <w:jc w:val="center"/>
                    <w:rPr>
                      <w:rFonts w:hint="eastAsia" w:cs="Times New Roman"/>
                      <w:kern w:val="0"/>
                      <w:sz w:val="21"/>
                      <w:szCs w:val="21"/>
                      <w:vertAlign w:val="baseline"/>
                      <w:lang w:val="en-US" w:eastAsia="zh-CN"/>
                    </w:rPr>
                  </w:pPr>
                  <w:r>
                    <w:rPr>
                      <w:rFonts w:hint="eastAsia" w:cs="Times New Roman"/>
                      <w:kern w:val="0"/>
                      <w:sz w:val="21"/>
                      <w:szCs w:val="21"/>
                      <w:vertAlign w:val="baseline"/>
                      <w:lang w:val="en-US" w:eastAsia="zh-CN"/>
                    </w:rPr>
                    <w:t>厂界无组织</w:t>
                  </w:r>
                </w:p>
              </w:tc>
              <w:tc>
                <w:tcPr>
                  <w:tcW w:w="2090" w:type="dxa"/>
                  <w:tcBorders>
                    <w:tl2br w:val="nil"/>
                    <w:tr2bl w:val="nil"/>
                  </w:tcBorders>
                  <w:noWrap w:val="0"/>
                  <w:vAlign w:val="center"/>
                </w:tcPr>
                <w:p w14:paraId="1B986BB0">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w:t>
                  </w:r>
                </w:p>
              </w:tc>
              <w:tc>
                <w:tcPr>
                  <w:tcW w:w="2090" w:type="dxa"/>
                  <w:tcBorders>
                    <w:tl2br w:val="nil"/>
                    <w:tr2bl w:val="nil"/>
                  </w:tcBorders>
                  <w:noWrap w:val="0"/>
                  <w:vAlign w:val="center"/>
                </w:tcPr>
                <w:p w14:paraId="21F5EC87">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w:t>
                  </w:r>
                </w:p>
              </w:tc>
              <w:tc>
                <w:tcPr>
                  <w:tcW w:w="2239" w:type="dxa"/>
                  <w:tcBorders>
                    <w:tl2br w:val="nil"/>
                    <w:tr2bl w:val="nil"/>
                  </w:tcBorders>
                  <w:noWrap w:val="0"/>
                  <w:vAlign w:val="center"/>
                </w:tcPr>
                <w:p w14:paraId="0C253280">
                  <w:pPr>
                    <w:adjustRightInd w:val="0"/>
                    <w:snapToGrid w:val="0"/>
                    <w:spacing w:line="240" w:lineRule="auto"/>
                    <w:jc w:val="center"/>
                    <w:rPr>
                      <w:rFonts w:hint="default" w:cs="Times New Roman"/>
                      <w:kern w:val="0"/>
                      <w:sz w:val="21"/>
                      <w:szCs w:val="21"/>
                      <w:vertAlign w:val="baseline"/>
                      <w:lang w:val="en-US" w:eastAsia="zh-CN"/>
                    </w:rPr>
                  </w:pPr>
                  <w:r>
                    <w:rPr>
                      <w:rFonts w:hint="eastAsia" w:cs="Times New Roman"/>
                      <w:kern w:val="0"/>
                      <w:sz w:val="21"/>
                      <w:szCs w:val="21"/>
                      <w:vertAlign w:val="baseline"/>
                      <w:lang w:val="en-US" w:eastAsia="zh-CN"/>
                    </w:rPr>
                    <w:t>1.5</w:t>
                  </w:r>
                </w:p>
              </w:tc>
            </w:tr>
            <w:tr w14:paraId="720BA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77" w:type="dxa"/>
                  <w:gridSpan w:val="5"/>
                  <w:tcBorders>
                    <w:tl2br w:val="nil"/>
                    <w:tr2bl w:val="nil"/>
                  </w:tcBorders>
                  <w:noWrap w:val="0"/>
                  <w:vAlign w:val="center"/>
                </w:tcPr>
                <w:p w14:paraId="615CD374">
                  <w:pPr>
                    <w:adjustRightInd w:val="0"/>
                    <w:snapToGrid w:val="0"/>
                    <w:spacing w:line="240" w:lineRule="auto"/>
                    <w:jc w:val="left"/>
                    <w:rPr>
                      <w:rFonts w:hint="eastAsia"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注：执行</w:t>
                  </w:r>
                  <w:r>
                    <w:rPr>
                      <w:rFonts w:hint="default" w:ascii="Times New Roman" w:hAnsi="Times New Roman" w:cs="Times New Roman"/>
                      <w:kern w:val="0"/>
                      <w:sz w:val="21"/>
                      <w:szCs w:val="21"/>
                    </w:rPr>
                    <w:t>《恶臭污染物排放标准》（GB14554-93）</w:t>
                  </w:r>
                  <w:r>
                    <w:rPr>
                      <w:rFonts w:hint="eastAsia" w:ascii="Times New Roman" w:hAnsi="Times New Roman" w:cs="Times New Roman"/>
                      <w:kern w:val="0"/>
                      <w:sz w:val="21"/>
                      <w:szCs w:val="21"/>
                      <w:lang w:eastAsia="zh-CN"/>
                    </w:rPr>
                    <w:t>。</w:t>
                  </w:r>
                </w:p>
              </w:tc>
            </w:tr>
          </w:tbl>
          <w:p w14:paraId="55E808E3">
            <w:pPr>
              <w:adjustRightInd w:val="0"/>
              <w:snapToGrid w:val="0"/>
              <w:spacing w:line="240" w:lineRule="auto"/>
              <w:jc w:val="left"/>
              <w:rPr>
                <w:rFonts w:hint="eastAsia" w:cs="Times New Roman"/>
                <w:kern w:val="0"/>
                <w:sz w:val="24"/>
                <w:szCs w:val="24"/>
                <w:lang w:val="en-US" w:eastAsia="zh-CN"/>
              </w:rPr>
            </w:pPr>
          </w:p>
          <w:p w14:paraId="10BB0419">
            <w:pPr>
              <w:adjustRightInd w:val="0"/>
              <w:snapToGrid w:val="0"/>
              <w:spacing w:line="360" w:lineRule="auto"/>
              <w:ind w:firstLine="480" w:firstLineChars="200"/>
              <w:jc w:val="left"/>
              <w:rPr>
                <w:rFonts w:hint="eastAsia" w:cs="Times New Roman"/>
                <w:kern w:val="0"/>
                <w:sz w:val="24"/>
                <w:szCs w:val="24"/>
                <w:lang w:val="en-US" w:eastAsia="zh-CN"/>
              </w:rPr>
            </w:pPr>
            <w:r>
              <w:rPr>
                <w:rFonts w:hint="eastAsia" w:cs="Times New Roman"/>
                <w:kern w:val="0"/>
                <w:sz w:val="24"/>
                <w:szCs w:val="24"/>
                <w:lang w:val="en-US" w:eastAsia="zh-CN"/>
              </w:rPr>
              <w:t>项目发电机废气经5</w:t>
            </w:r>
            <w:r>
              <w:rPr>
                <w:rFonts w:hint="eastAsia" w:ascii="Times New Roman" w:hAnsi="Times New Roman" w:cs="Times New Roman"/>
                <w:kern w:val="0"/>
                <w:sz w:val="24"/>
                <w:szCs w:val="24"/>
                <w:lang w:eastAsia="zh-CN"/>
              </w:rPr>
              <w:t>米</w:t>
            </w:r>
            <w:r>
              <w:rPr>
                <w:rFonts w:hint="eastAsia" w:cs="Times New Roman"/>
                <w:kern w:val="0"/>
                <w:sz w:val="24"/>
                <w:szCs w:val="24"/>
                <w:lang w:val="en-US" w:eastAsia="zh-CN"/>
              </w:rPr>
              <w:t>高烟管排放。根据2017年1月17日中华人民共和国生态环境部部长信箱《关于GB16297-1996的适用范围的回复》：“目前，我国还没有专门的固定式柴油发电机污染物排放标准，柴油发电机污染物排放控制应参照《大气污染物综合排放标准》(GB16297-1996)执行。该标准除对污染物排放浓度有明确要求外，对排气筒高度和排放速率也有具体规定。考虑到加高固定式柴油发电机排气筒高度会导致燃料燃烧不充分、增大污染物排放等现象，以及大功率柴油机存在无法满足排放速率限值的情况，建议目前固定式柴油发电机污染物排放浓度按照《大气污染物综合排放标准》(GB16297-1996)中的最高允许排放浓度指标进行控制，对排气筒高度和排放速率暂不作要求。待《固定式压燃式发动机及设施排放标准》出台后，固定式柴油发电机污染物排放按此标准执行。”</w:t>
            </w:r>
          </w:p>
          <w:p w14:paraId="6D7C1907">
            <w:pPr>
              <w:adjustRightInd w:val="0"/>
              <w:snapToGrid w:val="0"/>
              <w:spacing w:line="360" w:lineRule="auto"/>
              <w:jc w:val="left"/>
              <w:rPr>
                <w:rFonts w:hint="eastAsia" w:cs="Times New Roman"/>
                <w:kern w:val="0"/>
                <w:sz w:val="24"/>
                <w:szCs w:val="24"/>
                <w:lang w:val="en-US" w:eastAsia="zh-CN"/>
              </w:rPr>
            </w:pPr>
            <w:r>
              <w:rPr>
                <w:rFonts w:hint="default" w:ascii="Times New Roman" w:hAnsi="Times New Roman" w:eastAsia="宋体" w:cs="Times New Roman"/>
                <w:color w:val="000000"/>
                <w:lang w:val="en-US" w:eastAsia="zh-CN"/>
              </w:rPr>
              <w:drawing>
                <wp:inline distT="0" distB="0" distL="114300" distR="114300">
                  <wp:extent cx="5906135" cy="5731510"/>
                  <wp:effectExtent l="0" t="0" r="18415" b="2540"/>
                  <wp:docPr id="53"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descr="1"/>
                          <pic:cNvPicPr>
                            <a:picLocks noChangeAspect="1"/>
                          </pic:cNvPicPr>
                        </pic:nvPicPr>
                        <pic:blipFill>
                          <a:blip r:embed="rId27"/>
                          <a:stretch>
                            <a:fillRect/>
                          </a:stretch>
                        </pic:blipFill>
                        <pic:spPr>
                          <a:xfrm>
                            <a:off x="0" y="0"/>
                            <a:ext cx="5906135" cy="5731510"/>
                          </a:xfrm>
                          <a:prstGeom prst="rect">
                            <a:avLst/>
                          </a:prstGeom>
                          <a:noFill/>
                          <a:ln>
                            <a:noFill/>
                          </a:ln>
                        </pic:spPr>
                      </pic:pic>
                    </a:graphicData>
                  </a:graphic>
                </wp:inline>
              </w:drawing>
            </w:r>
          </w:p>
          <w:p w14:paraId="1BCB1339">
            <w:pPr>
              <w:adjustRightInd w:val="0"/>
              <w:snapToGrid w:val="0"/>
              <w:spacing w:line="360" w:lineRule="auto"/>
              <w:jc w:val="center"/>
              <w:rPr>
                <w:rFonts w:hint="eastAsia" w:cs="Times New Roman"/>
                <w:b/>
                <w:bCs/>
                <w:kern w:val="0"/>
                <w:sz w:val="24"/>
                <w:szCs w:val="24"/>
                <w:lang w:val="en-US" w:eastAsia="zh-CN"/>
              </w:rPr>
            </w:pPr>
            <w:r>
              <w:rPr>
                <w:rFonts w:hint="eastAsia" w:cs="Times New Roman"/>
                <w:b/>
                <w:bCs/>
                <w:kern w:val="0"/>
                <w:sz w:val="24"/>
                <w:szCs w:val="24"/>
                <w:lang w:val="en-US" w:eastAsia="zh-CN"/>
              </w:rPr>
              <w:t>图3-1 《关于GB16297-1996的适用范围的回复》</w:t>
            </w:r>
          </w:p>
          <w:p w14:paraId="585641FB">
            <w:pPr>
              <w:adjustRightInd w:val="0"/>
              <w:snapToGrid w:val="0"/>
              <w:spacing w:line="360" w:lineRule="auto"/>
              <w:ind w:firstLine="480" w:firstLineChars="200"/>
              <w:jc w:val="left"/>
              <w:rPr>
                <w:rFonts w:hint="eastAsia" w:cs="Times New Roman"/>
                <w:kern w:val="0"/>
                <w:sz w:val="24"/>
                <w:szCs w:val="24"/>
                <w:lang w:val="en-US" w:eastAsia="zh-CN"/>
              </w:rPr>
            </w:pPr>
            <w:r>
              <w:rPr>
                <w:rFonts w:hint="eastAsia" w:cs="Times New Roman"/>
                <w:kern w:val="0"/>
                <w:sz w:val="24"/>
                <w:szCs w:val="24"/>
                <w:lang w:val="en-US" w:eastAsia="zh-CN"/>
              </w:rPr>
              <w:t>综上，项目发电机废气污染物排放执行《大气污染物综合排放标准》(GB16297-1996)新污染源最高允许排放浓度限值，且对排气筒高度和排放速率不作要求。</w:t>
            </w:r>
          </w:p>
          <w:p w14:paraId="7446F2B8">
            <w:pPr>
              <w:pStyle w:val="15"/>
              <w:bidi w:val="0"/>
              <w:rPr>
                <w:rFonts w:hint="default"/>
                <w:lang w:val="en-US" w:eastAsia="zh-CN"/>
              </w:rPr>
            </w:pPr>
            <w:r>
              <w:rPr>
                <w:rFonts w:hint="eastAsia"/>
                <w:lang w:val="en-US" w:eastAsia="zh-CN"/>
              </w:rPr>
              <w:t>表3-5 项目发电机废气污染物排放执行标准</w:t>
            </w:r>
          </w:p>
          <w:tbl>
            <w:tblPr>
              <w:tblStyle w:val="12"/>
              <w:tblW w:w="83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71"/>
              <w:gridCol w:w="3648"/>
              <w:gridCol w:w="3700"/>
            </w:tblGrid>
            <w:tr w14:paraId="2E6C0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3" w:hRule="atLeast"/>
                <w:jc w:val="center"/>
              </w:trPr>
              <w:tc>
                <w:tcPr>
                  <w:tcW w:w="0" w:type="auto"/>
                  <w:tcBorders>
                    <w:tl2br w:val="nil"/>
                    <w:tr2bl w:val="nil"/>
                  </w:tcBorders>
                  <w:noWrap w:val="0"/>
                  <w:vAlign w:val="center"/>
                </w:tcPr>
                <w:p w14:paraId="3DA282E7">
                  <w:pPr>
                    <w:bidi w:val="0"/>
                    <w:spacing w:line="240" w:lineRule="auto"/>
                    <w:jc w:val="center"/>
                    <w:rPr>
                      <w:rFonts w:hint="default" w:cs="Times New Roman"/>
                      <w:b/>
                      <w:bCs/>
                      <w:color w:val="000000"/>
                      <w:sz w:val="21"/>
                      <w:szCs w:val="21"/>
                      <w:vertAlign w:val="baseline"/>
                      <w:lang w:val="en-US" w:eastAsia="zh-CN"/>
                    </w:rPr>
                  </w:pPr>
                  <w:r>
                    <w:rPr>
                      <w:rFonts w:hint="default" w:cs="Times New Roman"/>
                      <w:b/>
                      <w:bCs/>
                      <w:color w:val="000000"/>
                      <w:sz w:val="21"/>
                      <w:szCs w:val="21"/>
                      <w:vertAlign w:val="baseline"/>
                      <w:lang w:val="en-US" w:eastAsia="zh-CN"/>
                    </w:rPr>
                    <w:t>污染物</w:t>
                  </w:r>
                </w:p>
              </w:tc>
              <w:tc>
                <w:tcPr>
                  <w:tcW w:w="0" w:type="auto"/>
                  <w:tcBorders>
                    <w:tl2br w:val="nil"/>
                    <w:tr2bl w:val="nil"/>
                  </w:tcBorders>
                  <w:noWrap w:val="0"/>
                  <w:vAlign w:val="center"/>
                </w:tcPr>
                <w:p w14:paraId="07451CCE">
                  <w:pPr>
                    <w:bidi w:val="0"/>
                    <w:spacing w:line="240" w:lineRule="auto"/>
                    <w:jc w:val="center"/>
                    <w:rPr>
                      <w:rFonts w:hint="default" w:cs="Times New Roman"/>
                      <w:b/>
                      <w:bCs/>
                      <w:color w:val="000000"/>
                      <w:sz w:val="21"/>
                      <w:szCs w:val="21"/>
                      <w:vertAlign w:val="baseline"/>
                      <w:lang w:val="en-US" w:eastAsia="zh-CN"/>
                    </w:rPr>
                  </w:pPr>
                  <w:r>
                    <w:rPr>
                      <w:rFonts w:hint="eastAsia" w:cs="Times New Roman"/>
                      <w:b/>
                      <w:bCs/>
                      <w:color w:val="000000"/>
                      <w:sz w:val="21"/>
                      <w:szCs w:val="21"/>
                      <w:vertAlign w:val="baseline"/>
                      <w:lang w:val="en-US" w:eastAsia="zh-CN"/>
                    </w:rPr>
                    <w:t>最高允许排放浓度（</w:t>
                  </w:r>
                  <w:r>
                    <w:rPr>
                      <w:rFonts w:hint="default" w:cs="Times New Roman"/>
                      <w:b/>
                      <w:bCs/>
                      <w:color w:val="000000"/>
                      <w:sz w:val="21"/>
                      <w:szCs w:val="21"/>
                      <w:vertAlign w:val="baseline"/>
                      <w:lang w:val="en-US" w:eastAsia="zh-CN"/>
                    </w:rPr>
                    <w:t>mg/m</w:t>
                  </w:r>
                  <w:r>
                    <w:rPr>
                      <w:rFonts w:hint="default" w:cs="Times New Roman"/>
                      <w:b/>
                      <w:bCs/>
                      <w:color w:val="000000"/>
                      <w:sz w:val="21"/>
                      <w:szCs w:val="21"/>
                      <w:vertAlign w:val="superscript"/>
                      <w:lang w:val="en-US" w:eastAsia="zh-CN"/>
                    </w:rPr>
                    <w:t>3</w:t>
                  </w:r>
                  <w:r>
                    <w:rPr>
                      <w:rFonts w:hint="eastAsia" w:cs="Times New Roman"/>
                      <w:b/>
                      <w:bCs/>
                      <w:color w:val="000000"/>
                      <w:sz w:val="21"/>
                      <w:szCs w:val="21"/>
                      <w:vertAlign w:val="baseline"/>
                      <w:lang w:val="en-US" w:eastAsia="zh-CN"/>
                    </w:rPr>
                    <w:t>）</w:t>
                  </w:r>
                </w:p>
              </w:tc>
              <w:tc>
                <w:tcPr>
                  <w:tcW w:w="0" w:type="auto"/>
                  <w:tcBorders>
                    <w:tl2br w:val="nil"/>
                    <w:tr2bl w:val="nil"/>
                  </w:tcBorders>
                  <w:noWrap w:val="0"/>
                  <w:vAlign w:val="center"/>
                </w:tcPr>
                <w:p w14:paraId="6EDAE0A6">
                  <w:pPr>
                    <w:bidi w:val="0"/>
                    <w:spacing w:line="240" w:lineRule="auto"/>
                    <w:jc w:val="center"/>
                    <w:rPr>
                      <w:rFonts w:hint="default" w:cs="Times New Roman"/>
                      <w:b/>
                      <w:bCs/>
                      <w:color w:val="000000"/>
                      <w:sz w:val="21"/>
                      <w:szCs w:val="21"/>
                      <w:vertAlign w:val="baseline"/>
                      <w:lang w:val="en-US" w:eastAsia="zh-CN"/>
                    </w:rPr>
                  </w:pPr>
                  <w:r>
                    <w:rPr>
                      <w:rFonts w:hint="default" w:cs="Times New Roman"/>
                      <w:b/>
                      <w:bCs/>
                      <w:color w:val="000000"/>
                      <w:sz w:val="21"/>
                      <w:szCs w:val="21"/>
                      <w:vertAlign w:val="baseline"/>
                      <w:lang w:val="en-US" w:eastAsia="zh-CN"/>
                    </w:rPr>
                    <w:t>执行标准</w:t>
                  </w:r>
                </w:p>
              </w:tc>
            </w:tr>
            <w:tr w14:paraId="5D5DC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4" w:hRule="atLeast"/>
                <w:jc w:val="center"/>
              </w:trPr>
              <w:tc>
                <w:tcPr>
                  <w:tcW w:w="0" w:type="auto"/>
                  <w:tcBorders>
                    <w:tl2br w:val="nil"/>
                    <w:tr2bl w:val="nil"/>
                  </w:tcBorders>
                  <w:noWrap w:val="0"/>
                  <w:vAlign w:val="center"/>
                </w:tcPr>
                <w:p w14:paraId="06B03DC3">
                  <w:pPr>
                    <w:bidi w:val="0"/>
                    <w:spacing w:line="240" w:lineRule="auto"/>
                    <w:jc w:val="center"/>
                    <w:rPr>
                      <w:rFonts w:hint="default" w:cs="Times New Roman"/>
                      <w:b w:val="0"/>
                      <w:bCs w:val="0"/>
                      <w:color w:val="000000"/>
                      <w:sz w:val="21"/>
                      <w:szCs w:val="21"/>
                      <w:vertAlign w:val="baseline"/>
                      <w:lang w:val="en-US" w:eastAsia="zh-CN"/>
                    </w:rPr>
                  </w:pPr>
                  <w:r>
                    <w:rPr>
                      <w:rFonts w:hint="default" w:cs="Times New Roman"/>
                      <w:b w:val="0"/>
                      <w:bCs w:val="0"/>
                      <w:color w:val="000000"/>
                      <w:sz w:val="21"/>
                      <w:szCs w:val="21"/>
                      <w:vertAlign w:val="baseline"/>
                      <w:lang w:val="en-US" w:eastAsia="zh-CN"/>
                    </w:rPr>
                    <w:t>SO</w:t>
                  </w:r>
                  <w:r>
                    <w:rPr>
                      <w:rFonts w:hint="default" w:cs="Times New Roman"/>
                      <w:b w:val="0"/>
                      <w:bCs w:val="0"/>
                      <w:color w:val="000000"/>
                      <w:sz w:val="21"/>
                      <w:szCs w:val="21"/>
                      <w:vertAlign w:val="subscript"/>
                      <w:lang w:val="en-US" w:eastAsia="zh-CN"/>
                    </w:rPr>
                    <w:t>2</w:t>
                  </w:r>
                </w:p>
              </w:tc>
              <w:tc>
                <w:tcPr>
                  <w:tcW w:w="0" w:type="auto"/>
                  <w:tcBorders>
                    <w:tl2br w:val="nil"/>
                    <w:tr2bl w:val="nil"/>
                  </w:tcBorders>
                  <w:noWrap w:val="0"/>
                  <w:vAlign w:val="center"/>
                </w:tcPr>
                <w:p w14:paraId="1ABA7EF5">
                  <w:pPr>
                    <w:bidi w:val="0"/>
                    <w:spacing w:line="240" w:lineRule="auto"/>
                    <w:jc w:val="center"/>
                    <w:rPr>
                      <w:rFonts w:hint="default"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550</w:t>
                  </w:r>
                </w:p>
              </w:tc>
              <w:tc>
                <w:tcPr>
                  <w:tcW w:w="0" w:type="auto"/>
                  <w:vMerge w:val="restart"/>
                  <w:tcBorders>
                    <w:tl2br w:val="nil"/>
                    <w:tr2bl w:val="nil"/>
                  </w:tcBorders>
                  <w:noWrap w:val="0"/>
                  <w:vAlign w:val="center"/>
                </w:tcPr>
                <w:p w14:paraId="020B2B84">
                  <w:pPr>
                    <w:bidi w:val="0"/>
                    <w:spacing w:line="240" w:lineRule="auto"/>
                    <w:jc w:val="center"/>
                    <w:rPr>
                      <w:rFonts w:hint="default" w:cs="Times New Roman"/>
                      <w:b w:val="0"/>
                      <w:bCs w:val="0"/>
                      <w:color w:val="000000"/>
                      <w:sz w:val="21"/>
                      <w:szCs w:val="21"/>
                      <w:vertAlign w:val="baseline"/>
                      <w:lang w:val="en-US" w:eastAsia="zh-CN"/>
                    </w:rPr>
                  </w:pPr>
                  <w:r>
                    <w:rPr>
                      <w:rFonts w:hint="default" w:cs="Times New Roman"/>
                      <w:b w:val="0"/>
                      <w:bCs w:val="0"/>
                      <w:color w:val="000000"/>
                      <w:sz w:val="21"/>
                      <w:szCs w:val="21"/>
                      <w:vertAlign w:val="baseline"/>
                      <w:lang w:val="en-US" w:eastAsia="zh-CN"/>
                    </w:rPr>
                    <w:t>《大气污染物综合排放标准》</w:t>
                  </w:r>
                </w:p>
                <w:p w14:paraId="4EDC1843">
                  <w:pPr>
                    <w:bidi w:val="0"/>
                    <w:spacing w:line="240" w:lineRule="auto"/>
                    <w:jc w:val="center"/>
                    <w:rPr>
                      <w:rFonts w:hint="default" w:cs="Times New Roman"/>
                      <w:b w:val="0"/>
                      <w:bCs w:val="0"/>
                      <w:color w:val="000000"/>
                      <w:sz w:val="21"/>
                      <w:szCs w:val="21"/>
                      <w:vertAlign w:val="baseline"/>
                      <w:lang w:val="en-US" w:eastAsia="zh-CN"/>
                    </w:rPr>
                  </w:pPr>
                  <w:r>
                    <w:rPr>
                      <w:rFonts w:hint="default" w:cs="Times New Roman"/>
                      <w:b w:val="0"/>
                      <w:bCs w:val="0"/>
                      <w:color w:val="000000"/>
                      <w:sz w:val="21"/>
                      <w:szCs w:val="21"/>
                      <w:vertAlign w:val="baseline"/>
                      <w:lang w:val="en-US" w:eastAsia="zh-CN"/>
                    </w:rPr>
                    <w:t>(GB16297-1996)</w:t>
                  </w:r>
                  <w:r>
                    <w:rPr>
                      <w:rFonts w:hint="eastAsia" w:cs="Times New Roman"/>
                      <w:b w:val="0"/>
                      <w:bCs w:val="0"/>
                      <w:color w:val="000000"/>
                      <w:sz w:val="21"/>
                      <w:szCs w:val="21"/>
                      <w:vertAlign w:val="baseline"/>
                      <w:lang w:val="en-US" w:eastAsia="zh-CN"/>
                    </w:rPr>
                    <w:t>表2</w:t>
                  </w:r>
                </w:p>
              </w:tc>
            </w:tr>
            <w:tr w14:paraId="6E6E1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4" w:hRule="atLeast"/>
                <w:jc w:val="center"/>
              </w:trPr>
              <w:tc>
                <w:tcPr>
                  <w:tcW w:w="0" w:type="auto"/>
                  <w:tcBorders>
                    <w:tl2br w:val="nil"/>
                    <w:tr2bl w:val="nil"/>
                  </w:tcBorders>
                  <w:noWrap w:val="0"/>
                  <w:vAlign w:val="center"/>
                </w:tcPr>
                <w:p w14:paraId="7A8F7E3E">
                  <w:pPr>
                    <w:bidi w:val="0"/>
                    <w:spacing w:line="240" w:lineRule="auto"/>
                    <w:jc w:val="center"/>
                    <w:rPr>
                      <w:rFonts w:hint="default" w:cs="Times New Roman"/>
                      <w:b w:val="0"/>
                      <w:bCs w:val="0"/>
                      <w:color w:val="000000"/>
                      <w:sz w:val="21"/>
                      <w:szCs w:val="21"/>
                      <w:vertAlign w:val="baseline"/>
                      <w:lang w:val="en-US" w:eastAsia="zh-CN"/>
                    </w:rPr>
                  </w:pPr>
                  <w:r>
                    <w:rPr>
                      <w:rFonts w:hint="default" w:cs="Times New Roman"/>
                      <w:b w:val="0"/>
                      <w:bCs w:val="0"/>
                      <w:color w:val="000000"/>
                      <w:sz w:val="21"/>
                      <w:szCs w:val="21"/>
                      <w:vertAlign w:val="baseline"/>
                      <w:lang w:val="en-US" w:eastAsia="zh-CN"/>
                    </w:rPr>
                    <w:t>NO</w:t>
                  </w:r>
                  <w:r>
                    <w:rPr>
                      <w:rFonts w:hint="default" w:cs="Times New Roman"/>
                      <w:b w:val="0"/>
                      <w:bCs w:val="0"/>
                      <w:color w:val="000000"/>
                      <w:sz w:val="21"/>
                      <w:szCs w:val="21"/>
                      <w:vertAlign w:val="subscript"/>
                      <w:lang w:val="en-US" w:eastAsia="zh-CN"/>
                    </w:rPr>
                    <w:t>X</w:t>
                  </w:r>
                </w:p>
              </w:tc>
              <w:tc>
                <w:tcPr>
                  <w:tcW w:w="0" w:type="auto"/>
                  <w:tcBorders>
                    <w:tl2br w:val="nil"/>
                    <w:tr2bl w:val="nil"/>
                  </w:tcBorders>
                  <w:noWrap w:val="0"/>
                  <w:vAlign w:val="center"/>
                </w:tcPr>
                <w:p w14:paraId="1387024A">
                  <w:pPr>
                    <w:bidi w:val="0"/>
                    <w:spacing w:line="240" w:lineRule="auto"/>
                    <w:jc w:val="center"/>
                    <w:rPr>
                      <w:rFonts w:hint="default"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240</w:t>
                  </w:r>
                </w:p>
              </w:tc>
              <w:tc>
                <w:tcPr>
                  <w:tcW w:w="0" w:type="auto"/>
                  <w:vMerge w:val="continue"/>
                  <w:tcBorders>
                    <w:tl2br w:val="nil"/>
                    <w:tr2bl w:val="nil"/>
                  </w:tcBorders>
                  <w:noWrap w:val="0"/>
                  <w:vAlign w:val="center"/>
                </w:tcPr>
                <w:p w14:paraId="0A695CE7">
                  <w:pPr>
                    <w:bidi w:val="0"/>
                    <w:spacing w:line="240" w:lineRule="auto"/>
                    <w:jc w:val="center"/>
                    <w:rPr>
                      <w:rFonts w:hint="default" w:cs="Times New Roman"/>
                      <w:b w:val="0"/>
                      <w:bCs w:val="0"/>
                      <w:color w:val="000000"/>
                      <w:sz w:val="21"/>
                      <w:szCs w:val="21"/>
                      <w:vertAlign w:val="baseline"/>
                      <w:lang w:val="en-US" w:eastAsia="zh-CN"/>
                    </w:rPr>
                  </w:pPr>
                </w:p>
              </w:tc>
            </w:tr>
            <w:tr w14:paraId="0FB2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0" w:type="auto"/>
                  <w:tcBorders>
                    <w:tl2br w:val="nil"/>
                    <w:tr2bl w:val="nil"/>
                  </w:tcBorders>
                  <w:noWrap w:val="0"/>
                  <w:vAlign w:val="center"/>
                </w:tcPr>
                <w:p w14:paraId="3DC23BD8">
                  <w:pPr>
                    <w:bidi w:val="0"/>
                    <w:spacing w:line="240" w:lineRule="auto"/>
                    <w:jc w:val="center"/>
                    <w:rPr>
                      <w:rFonts w:hint="default" w:cs="Times New Roman"/>
                      <w:b w:val="0"/>
                      <w:bCs w:val="0"/>
                      <w:color w:val="000000"/>
                      <w:sz w:val="21"/>
                      <w:szCs w:val="21"/>
                      <w:vertAlign w:val="baseline"/>
                      <w:lang w:val="en-US" w:eastAsia="zh-CN"/>
                    </w:rPr>
                  </w:pPr>
                  <w:r>
                    <w:rPr>
                      <w:rFonts w:hint="default" w:cs="Times New Roman"/>
                      <w:b w:val="0"/>
                      <w:bCs w:val="0"/>
                      <w:color w:val="000000"/>
                      <w:sz w:val="21"/>
                      <w:szCs w:val="21"/>
                      <w:vertAlign w:val="baseline"/>
                      <w:lang w:val="en-US" w:eastAsia="zh-CN"/>
                    </w:rPr>
                    <w:t>颗粒物</w:t>
                  </w:r>
                </w:p>
              </w:tc>
              <w:tc>
                <w:tcPr>
                  <w:tcW w:w="0" w:type="auto"/>
                  <w:tcBorders>
                    <w:tl2br w:val="nil"/>
                    <w:tr2bl w:val="nil"/>
                  </w:tcBorders>
                  <w:noWrap w:val="0"/>
                  <w:vAlign w:val="center"/>
                </w:tcPr>
                <w:p w14:paraId="28B91F13">
                  <w:pPr>
                    <w:bidi w:val="0"/>
                    <w:spacing w:line="240" w:lineRule="auto"/>
                    <w:jc w:val="center"/>
                    <w:rPr>
                      <w:rFonts w:hint="default"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120</w:t>
                  </w:r>
                </w:p>
              </w:tc>
              <w:tc>
                <w:tcPr>
                  <w:tcW w:w="0" w:type="auto"/>
                  <w:vMerge w:val="continue"/>
                  <w:tcBorders>
                    <w:tl2br w:val="nil"/>
                    <w:tr2bl w:val="nil"/>
                  </w:tcBorders>
                  <w:noWrap w:val="0"/>
                  <w:vAlign w:val="center"/>
                </w:tcPr>
                <w:p w14:paraId="49A3F66A">
                  <w:pPr>
                    <w:bidi w:val="0"/>
                    <w:spacing w:line="240" w:lineRule="auto"/>
                    <w:jc w:val="center"/>
                    <w:rPr>
                      <w:rFonts w:hint="default" w:cs="Times New Roman"/>
                      <w:b w:val="0"/>
                      <w:bCs w:val="0"/>
                      <w:color w:val="000000"/>
                      <w:sz w:val="21"/>
                      <w:szCs w:val="21"/>
                      <w:vertAlign w:val="baseline"/>
                      <w:lang w:val="en-US" w:eastAsia="zh-CN"/>
                    </w:rPr>
                  </w:pPr>
                </w:p>
              </w:tc>
            </w:tr>
          </w:tbl>
          <w:p w14:paraId="4669AEAA">
            <w:pPr>
              <w:adjustRightInd w:val="0"/>
              <w:snapToGrid w:val="0"/>
              <w:spacing w:line="240" w:lineRule="auto"/>
              <w:jc w:val="left"/>
              <w:rPr>
                <w:rFonts w:hint="eastAsia" w:cs="Times New Roman"/>
                <w:kern w:val="0"/>
                <w:sz w:val="24"/>
                <w:szCs w:val="24"/>
                <w:lang w:val="en-US" w:eastAsia="zh-CN"/>
              </w:rPr>
            </w:pPr>
          </w:p>
          <w:p w14:paraId="34A4819D">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2、废水</w:t>
            </w:r>
          </w:p>
          <w:p w14:paraId="1FD727DC">
            <w:pPr>
              <w:adjustRightInd w:val="0"/>
              <w:snapToGrid w:val="0"/>
              <w:spacing w:line="360" w:lineRule="auto"/>
              <w:ind w:firstLine="480" w:firstLineChars="200"/>
              <w:jc w:val="left"/>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项目实施雨污分流，</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初期雨水汇集进入初期雨水池内进行暂存，交由有资质的污水处理单位安排槽罐车清运处置；</w:t>
            </w:r>
            <w:r>
              <w:rPr>
                <w:rFonts w:hint="eastAsia" w:ascii="Times New Roman" w:hAnsi="Times New Roman" w:cs="Times New Roman"/>
                <w:kern w:val="0"/>
                <w:sz w:val="24"/>
                <w:szCs w:val="24"/>
                <w:lang w:val="en-US" w:eastAsia="zh-CN"/>
              </w:rPr>
              <w:t>制备纯水时产生的浓水属于清净下水，直接排入园区雨水管网；办公生活污水经三级化粪池处理，出水排入园区污水管网，进入综合园区污水处理厂进一步处理；事故废水汇集进入事故应急池暂存，后委托外运处置。</w:t>
            </w:r>
          </w:p>
          <w:p w14:paraId="45B7D40B">
            <w:pPr>
              <w:adjustRightInd w:val="0"/>
              <w:snapToGrid w:val="0"/>
              <w:spacing w:line="360" w:lineRule="auto"/>
              <w:ind w:firstLine="480" w:firstLineChars="200"/>
              <w:jc w:val="left"/>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综合园区污水处理厂进水水质（不区分生产废水和生活污水）执行广东省《水污染物排放限值》（DB44/26-2001）第二时段三级标准，因此项目办公生活污水污染物排放执行《水污染物排放限值》(DB44/26-2001)第二时段三级标准。</w:t>
            </w:r>
          </w:p>
          <w:p w14:paraId="1A54A582">
            <w:pPr>
              <w:pStyle w:val="15"/>
              <w:bidi w:val="0"/>
              <w:rPr>
                <w:rFonts w:hint="default"/>
                <w:lang w:val="en-US" w:eastAsia="zh-CN"/>
              </w:rPr>
            </w:pPr>
            <w:r>
              <w:rPr>
                <w:rFonts w:hint="eastAsia"/>
                <w:lang w:val="en-US" w:eastAsia="zh-CN"/>
              </w:rPr>
              <w:t>表3-6 项目办公生活污水排放执行标准</w:t>
            </w:r>
          </w:p>
          <w:tbl>
            <w:tblPr>
              <w:tblStyle w:val="12"/>
              <w:tblW w:w="87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3067"/>
              <w:gridCol w:w="4066"/>
            </w:tblGrid>
            <w:tr w14:paraId="529F0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0" w:type="auto"/>
                  <w:tcBorders>
                    <w:tl2br w:val="nil"/>
                    <w:tr2bl w:val="nil"/>
                  </w:tcBorders>
                  <w:noWrap w:val="0"/>
                  <w:vAlign w:val="center"/>
                </w:tcPr>
                <w:p w14:paraId="585C2979">
                  <w:pPr>
                    <w:adjustRightInd w:val="0"/>
                    <w:snapToGrid w:val="0"/>
                    <w:spacing w:line="240" w:lineRule="auto"/>
                    <w:jc w:val="center"/>
                    <w:rPr>
                      <w:rFonts w:hint="eastAsia"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污染物</w:t>
                  </w:r>
                </w:p>
              </w:tc>
              <w:tc>
                <w:tcPr>
                  <w:tcW w:w="0" w:type="auto"/>
                  <w:tcBorders>
                    <w:tl2br w:val="nil"/>
                    <w:tr2bl w:val="nil"/>
                  </w:tcBorders>
                  <w:noWrap w:val="0"/>
                  <w:vAlign w:val="center"/>
                </w:tcPr>
                <w:p w14:paraId="0AC19706">
                  <w:p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最高允许排放浓度（mg/L）</w:t>
                  </w:r>
                </w:p>
              </w:tc>
              <w:tc>
                <w:tcPr>
                  <w:tcW w:w="0" w:type="auto"/>
                  <w:tcBorders>
                    <w:tl2br w:val="nil"/>
                    <w:tr2bl w:val="nil"/>
                  </w:tcBorders>
                  <w:noWrap w:val="0"/>
                  <w:vAlign w:val="center"/>
                </w:tcPr>
                <w:p w14:paraId="6F545709">
                  <w:pPr>
                    <w:adjustRightInd w:val="0"/>
                    <w:snapToGrid w:val="0"/>
                    <w:spacing w:line="240" w:lineRule="auto"/>
                    <w:jc w:val="center"/>
                    <w:rPr>
                      <w:rFonts w:hint="eastAsia"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执行标准</w:t>
                  </w:r>
                </w:p>
              </w:tc>
            </w:tr>
            <w:tr w14:paraId="1956E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tcBorders>
                    <w:tl2br w:val="nil"/>
                    <w:tr2bl w:val="nil"/>
                  </w:tcBorders>
                  <w:noWrap w:val="0"/>
                  <w:vAlign w:val="center"/>
                </w:tcPr>
                <w:p w14:paraId="4D1F2134">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pH（无量纲）</w:t>
                  </w:r>
                </w:p>
              </w:tc>
              <w:tc>
                <w:tcPr>
                  <w:tcW w:w="0" w:type="auto"/>
                  <w:tcBorders>
                    <w:tl2br w:val="nil"/>
                    <w:tr2bl w:val="nil"/>
                  </w:tcBorders>
                  <w:noWrap w:val="0"/>
                  <w:vAlign w:val="center"/>
                </w:tcPr>
                <w:p w14:paraId="27ECAE6E">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6~9</w:t>
                  </w:r>
                </w:p>
              </w:tc>
              <w:tc>
                <w:tcPr>
                  <w:tcW w:w="0" w:type="auto"/>
                  <w:vMerge w:val="restart"/>
                  <w:tcBorders>
                    <w:tl2br w:val="nil"/>
                    <w:tr2bl w:val="nil"/>
                  </w:tcBorders>
                  <w:noWrap w:val="0"/>
                  <w:vAlign w:val="center"/>
                </w:tcPr>
                <w:p w14:paraId="4641AEF9">
                  <w:pPr>
                    <w:adjustRightInd w:val="0"/>
                    <w:snapToGrid w:val="0"/>
                    <w:spacing w:line="240" w:lineRule="auto"/>
                    <w:jc w:val="center"/>
                    <w:rPr>
                      <w:rFonts w:hint="eastAsia"/>
                      <w:b w:val="0"/>
                      <w:bCs w:val="0"/>
                      <w:sz w:val="21"/>
                      <w:szCs w:val="21"/>
                    </w:rPr>
                  </w:pPr>
                  <w:r>
                    <w:rPr>
                      <w:rFonts w:hint="eastAsia"/>
                      <w:b w:val="0"/>
                      <w:bCs w:val="0"/>
                      <w:sz w:val="21"/>
                      <w:szCs w:val="21"/>
                    </w:rPr>
                    <w:t>《水污染物排放限值》(DB44/26-2001)</w:t>
                  </w:r>
                </w:p>
                <w:p w14:paraId="73224C3A">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eastAsia"/>
                      <w:b w:val="0"/>
                      <w:bCs w:val="0"/>
                      <w:sz w:val="21"/>
                      <w:szCs w:val="21"/>
                    </w:rPr>
                    <w:t>第二时段三级标准</w:t>
                  </w:r>
                </w:p>
              </w:tc>
            </w:tr>
            <w:tr w14:paraId="3B299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tcBorders>
                    <w:tl2br w:val="nil"/>
                    <w:tr2bl w:val="nil"/>
                  </w:tcBorders>
                  <w:noWrap w:val="0"/>
                  <w:vAlign w:val="center"/>
                </w:tcPr>
                <w:p w14:paraId="531594EB">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悬浮物</w:t>
                  </w:r>
                </w:p>
              </w:tc>
              <w:tc>
                <w:tcPr>
                  <w:tcW w:w="0" w:type="auto"/>
                  <w:tcBorders>
                    <w:tl2br w:val="nil"/>
                    <w:tr2bl w:val="nil"/>
                  </w:tcBorders>
                  <w:noWrap w:val="0"/>
                  <w:vAlign w:val="center"/>
                </w:tcPr>
                <w:p w14:paraId="0BA8D136">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400</w:t>
                  </w:r>
                </w:p>
              </w:tc>
              <w:tc>
                <w:tcPr>
                  <w:tcW w:w="0" w:type="auto"/>
                  <w:vMerge w:val="continue"/>
                  <w:tcBorders>
                    <w:tl2br w:val="nil"/>
                    <w:tr2bl w:val="nil"/>
                  </w:tcBorders>
                  <w:noWrap w:val="0"/>
                  <w:vAlign w:val="center"/>
                </w:tcPr>
                <w:p w14:paraId="20F12104">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p>
              </w:tc>
            </w:tr>
            <w:tr w14:paraId="517BA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0" w:type="auto"/>
                  <w:tcBorders>
                    <w:tl2br w:val="nil"/>
                    <w:tr2bl w:val="nil"/>
                  </w:tcBorders>
                  <w:noWrap w:val="0"/>
                  <w:vAlign w:val="center"/>
                </w:tcPr>
                <w:p w14:paraId="37228126">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BOD</w:t>
                  </w:r>
                  <w:r>
                    <w:rPr>
                      <w:rFonts w:hint="eastAsia" w:ascii="Times New Roman" w:hAnsi="Times New Roman" w:cs="Times New Roman"/>
                      <w:kern w:val="0"/>
                      <w:sz w:val="21"/>
                      <w:szCs w:val="21"/>
                      <w:vertAlign w:val="subscript"/>
                      <w:lang w:val="en-US" w:eastAsia="zh-CN"/>
                    </w:rPr>
                    <w:t>5</w:t>
                  </w:r>
                </w:p>
              </w:tc>
              <w:tc>
                <w:tcPr>
                  <w:tcW w:w="0" w:type="auto"/>
                  <w:tcBorders>
                    <w:tl2br w:val="nil"/>
                    <w:tr2bl w:val="nil"/>
                  </w:tcBorders>
                  <w:noWrap w:val="0"/>
                  <w:vAlign w:val="center"/>
                </w:tcPr>
                <w:p w14:paraId="38CCB2AC">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300</w:t>
                  </w:r>
                </w:p>
              </w:tc>
              <w:tc>
                <w:tcPr>
                  <w:tcW w:w="0" w:type="auto"/>
                  <w:vMerge w:val="continue"/>
                  <w:tcBorders>
                    <w:tl2br w:val="nil"/>
                    <w:tr2bl w:val="nil"/>
                  </w:tcBorders>
                  <w:noWrap w:val="0"/>
                  <w:vAlign w:val="center"/>
                </w:tcPr>
                <w:p w14:paraId="6E7FFEF6">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p>
              </w:tc>
            </w:tr>
            <w:tr w14:paraId="233F6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0" w:type="auto"/>
                  <w:tcBorders>
                    <w:tl2br w:val="nil"/>
                    <w:tr2bl w:val="nil"/>
                  </w:tcBorders>
                  <w:noWrap w:val="0"/>
                  <w:vAlign w:val="center"/>
                </w:tcPr>
                <w:p w14:paraId="536C5984">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COD</w:t>
                  </w:r>
                  <w:r>
                    <w:rPr>
                      <w:rFonts w:hint="eastAsia" w:ascii="Times New Roman" w:hAnsi="Times New Roman" w:cs="Times New Roman"/>
                      <w:kern w:val="0"/>
                      <w:sz w:val="21"/>
                      <w:szCs w:val="21"/>
                      <w:vertAlign w:val="subscript"/>
                      <w:lang w:val="en-US" w:eastAsia="zh-CN"/>
                    </w:rPr>
                    <w:t>Cr</w:t>
                  </w:r>
                </w:p>
              </w:tc>
              <w:tc>
                <w:tcPr>
                  <w:tcW w:w="0" w:type="auto"/>
                  <w:tcBorders>
                    <w:tl2br w:val="nil"/>
                    <w:tr2bl w:val="nil"/>
                  </w:tcBorders>
                  <w:noWrap w:val="0"/>
                  <w:vAlign w:val="center"/>
                </w:tcPr>
                <w:p w14:paraId="3EFADE92">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500</w:t>
                  </w:r>
                </w:p>
              </w:tc>
              <w:tc>
                <w:tcPr>
                  <w:tcW w:w="0" w:type="auto"/>
                  <w:vMerge w:val="continue"/>
                  <w:tcBorders>
                    <w:tl2br w:val="nil"/>
                    <w:tr2bl w:val="nil"/>
                  </w:tcBorders>
                  <w:noWrap w:val="0"/>
                  <w:vAlign w:val="center"/>
                </w:tcPr>
                <w:p w14:paraId="7488D7E1">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p>
              </w:tc>
            </w:tr>
            <w:tr w14:paraId="48DBA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tcBorders>
                    <w:tl2br w:val="nil"/>
                    <w:tr2bl w:val="nil"/>
                  </w:tcBorders>
                  <w:noWrap w:val="0"/>
                  <w:vAlign w:val="center"/>
                </w:tcPr>
                <w:p w14:paraId="74DF2B51">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氨氮</w:t>
                  </w:r>
                </w:p>
              </w:tc>
              <w:tc>
                <w:tcPr>
                  <w:tcW w:w="0" w:type="auto"/>
                  <w:tcBorders>
                    <w:tl2br w:val="nil"/>
                    <w:tr2bl w:val="nil"/>
                  </w:tcBorders>
                  <w:noWrap w:val="0"/>
                  <w:vAlign w:val="center"/>
                </w:tcPr>
                <w:p w14:paraId="1AABE16F">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w:t>
                  </w:r>
                </w:p>
              </w:tc>
              <w:tc>
                <w:tcPr>
                  <w:tcW w:w="0" w:type="auto"/>
                  <w:vMerge w:val="continue"/>
                  <w:tcBorders>
                    <w:tl2br w:val="nil"/>
                    <w:tr2bl w:val="nil"/>
                  </w:tcBorders>
                  <w:noWrap w:val="0"/>
                  <w:vAlign w:val="center"/>
                </w:tcPr>
                <w:p w14:paraId="6D4CAF08">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p>
              </w:tc>
            </w:tr>
            <w:tr w14:paraId="1B0B4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tcBorders>
                    <w:tl2br w:val="nil"/>
                    <w:tr2bl w:val="nil"/>
                  </w:tcBorders>
                  <w:noWrap w:val="0"/>
                  <w:vAlign w:val="center"/>
                </w:tcPr>
                <w:p w14:paraId="0E585FA5">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总磷</w:t>
                  </w:r>
                </w:p>
              </w:tc>
              <w:tc>
                <w:tcPr>
                  <w:tcW w:w="0" w:type="auto"/>
                  <w:tcBorders>
                    <w:tl2br w:val="nil"/>
                    <w:tr2bl w:val="nil"/>
                  </w:tcBorders>
                  <w:noWrap w:val="0"/>
                  <w:vAlign w:val="center"/>
                </w:tcPr>
                <w:p w14:paraId="301AF746">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w:t>
                  </w:r>
                </w:p>
              </w:tc>
              <w:tc>
                <w:tcPr>
                  <w:tcW w:w="0" w:type="auto"/>
                  <w:vMerge w:val="continue"/>
                  <w:tcBorders>
                    <w:tl2br w:val="nil"/>
                    <w:tr2bl w:val="nil"/>
                  </w:tcBorders>
                  <w:noWrap w:val="0"/>
                  <w:vAlign w:val="center"/>
                </w:tcPr>
                <w:p w14:paraId="74F30209">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p>
              </w:tc>
            </w:tr>
            <w:tr w14:paraId="7B2B3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tcBorders>
                    <w:tl2br w:val="nil"/>
                    <w:tr2bl w:val="nil"/>
                  </w:tcBorders>
                  <w:noWrap w:val="0"/>
                  <w:vAlign w:val="center"/>
                </w:tcPr>
                <w:p w14:paraId="6CB9CE56">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动植物油</w:t>
                  </w:r>
                </w:p>
              </w:tc>
              <w:tc>
                <w:tcPr>
                  <w:tcW w:w="0" w:type="auto"/>
                  <w:tcBorders>
                    <w:tl2br w:val="nil"/>
                    <w:tr2bl w:val="nil"/>
                  </w:tcBorders>
                  <w:noWrap w:val="0"/>
                  <w:vAlign w:val="center"/>
                </w:tcPr>
                <w:p w14:paraId="444BF500">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cs="Times New Roman"/>
                      <w:kern w:val="0"/>
                      <w:sz w:val="21"/>
                      <w:szCs w:val="21"/>
                      <w:vertAlign w:val="baseline"/>
                      <w:lang w:val="en-US" w:eastAsia="zh-CN"/>
                    </w:rPr>
                    <w:t>100</w:t>
                  </w:r>
                </w:p>
              </w:tc>
              <w:tc>
                <w:tcPr>
                  <w:tcW w:w="0" w:type="auto"/>
                  <w:vMerge w:val="continue"/>
                  <w:tcBorders>
                    <w:tl2br w:val="nil"/>
                    <w:tr2bl w:val="nil"/>
                  </w:tcBorders>
                  <w:noWrap w:val="0"/>
                  <w:vAlign w:val="center"/>
                </w:tcPr>
                <w:p w14:paraId="27DC076F">
                  <w:pPr>
                    <w:adjustRightInd w:val="0"/>
                    <w:snapToGrid w:val="0"/>
                    <w:spacing w:line="240" w:lineRule="auto"/>
                    <w:jc w:val="center"/>
                    <w:rPr>
                      <w:rFonts w:hint="eastAsia" w:ascii="Times New Roman" w:hAnsi="Times New Roman" w:cs="Times New Roman"/>
                      <w:kern w:val="0"/>
                      <w:sz w:val="21"/>
                      <w:szCs w:val="21"/>
                      <w:vertAlign w:val="baseline"/>
                      <w:lang w:val="en-US" w:eastAsia="zh-CN"/>
                    </w:rPr>
                  </w:pPr>
                </w:p>
              </w:tc>
            </w:tr>
          </w:tbl>
          <w:p w14:paraId="5A819B6D">
            <w:pPr>
              <w:adjustRightInd w:val="0"/>
              <w:snapToGrid w:val="0"/>
              <w:spacing w:line="240" w:lineRule="auto"/>
              <w:jc w:val="left"/>
              <w:rPr>
                <w:rFonts w:hint="eastAsia" w:ascii="Times New Roman" w:hAnsi="Times New Roman" w:cs="Times New Roman"/>
                <w:kern w:val="0"/>
                <w:sz w:val="24"/>
                <w:szCs w:val="24"/>
                <w:lang w:val="en-US" w:eastAsia="zh-CN"/>
              </w:rPr>
            </w:pPr>
          </w:p>
          <w:p w14:paraId="15DFD4CC">
            <w:p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3、噪声</w:t>
            </w:r>
          </w:p>
          <w:p w14:paraId="643F9952">
            <w:pPr>
              <w:adjustRightInd w:val="0"/>
              <w:snapToGrid w:val="0"/>
              <w:spacing w:line="360" w:lineRule="auto"/>
              <w:ind w:firstLine="480" w:firstLineChars="200"/>
              <w:jc w:val="left"/>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项目所在地属于3类声环境功能区，厂界噪声排放执行《工业企业厂界环境噪声排放标准》（GB12348-2008）3类标准。</w:t>
            </w:r>
          </w:p>
          <w:p w14:paraId="23E706EE">
            <w:pPr>
              <w:pStyle w:val="15"/>
              <w:bidi w:val="0"/>
              <w:rPr>
                <w:rFonts w:hint="default"/>
                <w:lang w:val="en-US" w:eastAsia="zh-CN"/>
              </w:rPr>
            </w:pPr>
            <w:r>
              <w:rPr>
                <w:rFonts w:hint="eastAsia"/>
                <w:lang w:val="en-US" w:eastAsia="zh-CN"/>
              </w:rPr>
              <w:t>表3-7 项目厂界噪声排放执行标准</w:t>
            </w:r>
          </w:p>
          <w:tbl>
            <w:tblPr>
              <w:tblStyle w:val="12"/>
              <w:tblW w:w="86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2277"/>
              <w:gridCol w:w="2277"/>
            </w:tblGrid>
            <w:tr w14:paraId="19DD3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0" w:type="auto"/>
                  <w:vMerge w:val="restart"/>
                  <w:tcBorders>
                    <w:tl2br w:val="nil"/>
                    <w:tr2bl w:val="nil"/>
                  </w:tcBorders>
                  <w:noWrap w:val="0"/>
                  <w:vAlign w:val="center"/>
                </w:tcPr>
                <w:p w14:paraId="0D2B456F">
                  <w:pPr>
                    <w:adjustRightInd w:val="0"/>
                    <w:snapToGrid w:val="0"/>
                    <w:spacing w:line="240" w:lineRule="auto"/>
                    <w:jc w:val="center"/>
                    <w:rPr>
                      <w:rFonts w:hint="eastAsia"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厂界外声环境功能区类别</w:t>
                  </w:r>
                </w:p>
              </w:tc>
              <w:tc>
                <w:tcPr>
                  <w:tcW w:w="0" w:type="auto"/>
                  <w:gridSpan w:val="2"/>
                  <w:tcBorders>
                    <w:tl2br w:val="nil"/>
                    <w:tr2bl w:val="nil"/>
                  </w:tcBorders>
                  <w:noWrap w:val="0"/>
                  <w:vAlign w:val="center"/>
                </w:tcPr>
                <w:p w14:paraId="46770356">
                  <w:p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厂界噪声排放限值dB（A）</w:t>
                  </w:r>
                </w:p>
              </w:tc>
            </w:tr>
            <w:tr w14:paraId="6C228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0" w:type="auto"/>
                  <w:vMerge w:val="continue"/>
                  <w:tcBorders>
                    <w:tl2br w:val="nil"/>
                    <w:tr2bl w:val="nil"/>
                  </w:tcBorders>
                  <w:noWrap w:val="0"/>
                  <w:vAlign w:val="center"/>
                </w:tcPr>
                <w:p w14:paraId="4754BBF3">
                  <w:pPr>
                    <w:adjustRightInd w:val="0"/>
                    <w:snapToGrid w:val="0"/>
                    <w:spacing w:line="240" w:lineRule="auto"/>
                    <w:jc w:val="center"/>
                    <w:rPr>
                      <w:rFonts w:hint="eastAsia" w:ascii="Times New Roman" w:hAnsi="Times New Roman" w:cs="Times New Roman"/>
                      <w:b/>
                      <w:bCs/>
                      <w:kern w:val="0"/>
                      <w:sz w:val="21"/>
                      <w:szCs w:val="21"/>
                      <w:vertAlign w:val="baseline"/>
                      <w:lang w:val="en-US" w:eastAsia="zh-CN"/>
                    </w:rPr>
                  </w:pPr>
                </w:p>
              </w:tc>
              <w:tc>
                <w:tcPr>
                  <w:tcW w:w="0" w:type="auto"/>
                  <w:tcBorders>
                    <w:tl2br w:val="nil"/>
                    <w:tr2bl w:val="nil"/>
                  </w:tcBorders>
                  <w:noWrap w:val="0"/>
                  <w:vAlign w:val="center"/>
                </w:tcPr>
                <w:p w14:paraId="145EC9C6">
                  <w:pPr>
                    <w:adjustRightInd w:val="0"/>
                    <w:snapToGrid w:val="0"/>
                    <w:spacing w:line="240" w:lineRule="auto"/>
                    <w:jc w:val="center"/>
                    <w:rPr>
                      <w:rFonts w:hint="eastAsia"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昼间</w:t>
                  </w:r>
                </w:p>
              </w:tc>
              <w:tc>
                <w:tcPr>
                  <w:tcW w:w="0" w:type="auto"/>
                  <w:tcBorders>
                    <w:tl2br w:val="nil"/>
                    <w:tr2bl w:val="nil"/>
                  </w:tcBorders>
                  <w:noWrap w:val="0"/>
                  <w:vAlign w:val="center"/>
                </w:tcPr>
                <w:p w14:paraId="1011310C">
                  <w:pPr>
                    <w:adjustRightInd w:val="0"/>
                    <w:snapToGrid w:val="0"/>
                    <w:spacing w:line="240" w:lineRule="auto"/>
                    <w:jc w:val="center"/>
                    <w:rPr>
                      <w:rFonts w:hint="eastAsia"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夜间</w:t>
                  </w:r>
                </w:p>
              </w:tc>
            </w:tr>
            <w:tr w14:paraId="164A5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0" w:type="auto"/>
                  <w:tcBorders>
                    <w:tl2br w:val="nil"/>
                    <w:tr2bl w:val="nil"/>
                  </w:tcBorders>
                  <w:noWrap w:val="0"/>
                  <w:vAlign w:val="center"/>
                </w:tcPr>
                <w:p w14:paraId="7E6C7DFE">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3</w:t>
                  </w:r>
                </w:p>
              </w:tc>
              <w:tc>
                <w:tcPr>
                  <w:tcW w:w="0" w:type="auto"/>
                  <w:tcBorders>
                    <w:tl2br w:val="nil"/>
                    <w:tr2bl w:val="nil"/>
                  </w:tcBorders>
                  <w:noWrap w:val="0"/>
                  <w:vAlign w:val="center"/>
                </w:tcPr>
                <w:p w14:paraId="48D34C95">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65</w:t>
                  </w:r>
                </w:p>
              </w:tc>
              <w:tc>
                <w:tcPr>
                  <w:tcW w:w="0" w:type="auto"/>
                  <w:tcBorders>
                    <w:tl2br w:val="nil"/>
                    <w:tr2bl w:val="nil"/>
                  </w:tcBorders>
                  <w:noWrap w:val="0"/>
                  <w:vAlign w:val="center"/>
                </w:tcPr>
                <w:p w14:paraId="1EE5F467">
                  <w:p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55</w:t>
                  </w:r>
                </w:p>
              </w:tc>
            </w:tr>
          </w:tbl>
          <w:p w14:paraId="1F2E7DBA">
            <w:pPr>
              <w:tabs>
                <w:tab w:val="left" w:pos="2879"/>
                <w:tab w:val="left" w:pos="6003"/>
              </w:tabs>
              <w:adjustRightInd w:val="0"/>
              <w:snapToGrid w:val="0"/>
              <w:spacing w:line="240" w:lineRule="auto"/>
              <w:jc w:val="center"/>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ab/>
            </w:r>
            <w:r>
              <w:rPr>
                <w:rFonts w:hint="eastAsia" w:ascii="Times New Roman" w:hAnsi="Times New Roman" w:cs="Times New Roman"/>
                <w:kern w:val="0"/>
                <w:sz w:val="21"/>
                <w:szCs w:val="21"/>
                <w:vertAlign w:val="baseline"/>
                <w:lang w:val="en-US" w:eastAsia="zh-CN"/>
              </w:rPr>
              <w:tab/>
            </w:r>
          </w:p>
          <w:p w14:paraId="189FF985">
            <w:pPr>
              <w:bidi w:val="0"/>
              <w:spacing w:line="360" w:lineRule="auto"/>
            </w:pPr>
          </w:p>
        </w:tc>
      </w:tr>
      <w:tr w14:paraId="293D2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516" w:type="dxa"/>
            <w:vAlign w:val="center"/>
          </w:tcPr>
          <w:p w14:paraId="4B381120">
            <w:pPr>
              <w:adjustRightInd w:val="0"/>
              <w:snapToGrid w:val="0"/>
              <w:jc w:val="center"/>
              <w:rPr>
                <w:rFonts w:ascii="宋体" w:hAnsi="宋体" w:cs="宋体"/>
                <w:kern w:val="0"/>
                <w:szCs w:val="21"/>
              </w:rPr>
            </w:pPr>
            <w:r>
              <w:rPr>
                <w:rFonts w:hint="eastAsia" w:ascii="宋体" w:hAnsi="宋体" w:cs="宋体"/>
                <w:kern w:val="0"/>
                <w:szCs w:val="21"/>
              </w:rPr>
              <w:t>总量</w:t>
            </w:r>
          </w:p>
          <w:p w14:paraId="27311F19">
            <w:pPr>
              <w:adjustRightInd w:val="0"/>
              <w:snapToGrid w:val="0"/>
              <w:jc w:val="center"/>
              <w:rPr>
                <w:rFonts w:ascii="宋体" w:hAnsi="宋体" w:cs="宋体"/>
                <w:kern w:val="0"/>
                <w:szCs w:val="21"/>
              </w:rPr>
            </w:pPr>
            <w:r>
              <w:rPr>
                <w:rFonts w:hint="eastAsia" w:ascii="宋体" w:hAnsi="宋体" w:cs="宋体"/>
                <w:kern w:val="0"/>
                <w:szCs w:val="21"/>
              </w:rPr>
              <w:t>控制</w:t>
            </w:r>
          </w:p>
          <w:p w14:paraId="326B9392">
            <w:pPr>
              <w:adjustRightInd w:val="0"/>
              <w:snapToGrid w:val="0"/>
              <w:jc w:val="center"/>
              <w:rPr>
                <w:rFonts w:ascii="宋体" w:hAnsi="宋体" w:cs="宋体"/>
                <w:kern w:val="0"/>
                <w:szCs w:val="21"/>
              </w:rPr>
            </w:pPr>
            <w:r>
              <w:rPr>
                <w:rFonts w:hint="eastAsia" w:ascii="宋体" w:hAnsi="宋体" w:cs="宋体"/>
                <w:kern w:val="0"/>
                <w:szCs w:val="21"/>
              </w:rPr>
              <w:t>指标</w:t>
            </w:r>
          </w:p>
        </w:tc>
        <w:tc>
          <w:tcPr>
            <w:tcW w:w="9586" w:type="dxa"/>
            <w:vAlign w:val="center"/>
          </w:tcPr>
          <w:p w14:paraId="7CF5ACAF">
            <w:pPr>
              <w:adjustRightInd w:val="0"/>
              <w:snapToGrid w:val="0"/>
              <w:spacing w:line="360" w:lineRule="auto"/>
              <w:ind w:firstLine="480" w:firstLineChars="200"/>
              <w:jc w:val="left"/>
              <w:rPr>
                <w:rFonts w:hint="eastAsia" w:cs="Times New Roman"/>
                <w:kern w:val="0"/>
                <w:sz w:val="24"/>
                <w:szCs w:val="24"/>
                <w:lang w:eastAsia="zh-CN"/>
              </w:rPr>
            </w:pPr>
            <w:r>
              <w:rPr>
                <w:rFonts w:hint="eastAsia" w:cs="Times New Roman"/>
                <w:kern w:val="0"/>
                <w:sz w:val="24"/>
                <w:szCs w:val="24"/>
                <w:lang w:eastAsia="zh-CN"/>
              </w:rPr>
              <w:t>根据《广东省生态环境保护“十四五”规划》（粤环〔2021〕10号）和《云浮市生态环境保护“十四五”规划》（云府办〔2021〕12号），实施总量控制的污染物是化学需氧量、氨氮、氮氧化物和挥发性有机物。</w:t>
            </w:r>
          </w:p>
          <w:p w14:paraId="275D58F9">
            <w:pPr>
              <w:adjustRightInd w:val="0"/>
              <w:snapToGrid w:val="0"/>
              <w:spacing w:line="360" w:lineRule="auto"/>
              <w:ind w:firstLine="480" w:firstLineChars="200"/>
              <w:jc w:val="left"/>
              <w:rPr>
                <w:rFonts w:hint="eastAsia" w:cs="Times New Roman"/>
                <w:kern w:val="0"/>
                <w:sz w:val="24"/>
                <w:szCs w:val="24"/>
                <w:lang w:eastAsia="zh-CN"/>
              </w:rPr>
            </w:pPr>
            <w:r>
              <w:rPr>
                <w:rFonts w:hint="eastAsia" w:cs="Times New Roman"/>
                <w:kern w:val="0"/>
                <w:sz w:val="24"/>
                <w:szCs w:val="24"/>
                <w:lang w:eastAsia="zh-CN"/>
              </w:rPr>
              <w:t>本项目排放的生活污水进入园区污水处理厂进一步处理，相应的水污染物总量纳入该污水处理厂，因此建议本项目不设置水污染物排放总量控制指标。</w:t>
            </w:r>
          </w:p>
          <w:p w14:paraId="2CFCCCEA">
            <w:pPr>
              <w:adjustRightInd w:val="0"/>
              <w:snapToGrid w:val="0"/>
              <w:spacing w:line="360" w:lineRule="auto"/>
              <w:ind w:firstLine="480" w:firstLineChars="200"/>
              <w:jc w:val="left"/>
            </w:pPr>
            <w:r>
              <w:rPr>
                <w:rFonts w:hint="eastAsia" w:cs="Times New Roman"/>
                <w:kern w:val="0"/>
                <w:sz w:val="24"/>
                <w:szCs w:val="24"/>
                <w:lang w:eastAsia="zh-CN"/>
              </w:rPr>
              <w:t>本项目排放的大气污染物主要是氨（</w:t>
            </w:r>
            <w:r>
              <w:rPr>
                <w:rFonts w:hint="eastAsia" w:cs="Times New Roman"/>
                <w:kern w:val="0"/>
                <w:sz w:val="24"/>
                <w:szCs w:val="24"/>
                <w:lang w:val="en-US" w:eastAsia="zh-CN"/>
              </w:rPr>
              <w:t>NH</w:t>
            </w:r>
            <w:r>
              <w:rPr>
                <w:rFonts w:hint="eastAsia" w:cs="Times New Roman"/>
                <w:kern w:val="0"/>
                <w:sz w:val="24"/>
                <w:szCs w:val="24"/>
                <w:vertAlign w:val="subscript"/>
                <w:lang w:val="en-US" w:eastAsia="zh-CN"/>
              </w:rPr>
              <w:t>3</w:t>
            </w:r>
            <w:r>
              <w:rPr>
                <w:rFonts w:hint="eastAsia" w:cs="Times New Roman"/>
                <w:kern w:val="0"/>
                <w:sz w:val="24"/>
                <w:szCs w:val="24"/>
                <w:lang w:eastAsia="zh-CN"/>
              </w:rPr>
              <w:t>），不属于实施总量控制的大气污染物；本项目备用发电机是应急备用设备，年使用时间很短，发电机尾气氮氧化物产生量很少。综上，建议本项目不设置大气污染物排放总量控制指标。</w:t>
            </w:r>
          </w:p>
        </w:tc>
      </w:tr>
    </w:tbl>
    <w:p w14:paraId="33DBF181">
      <w:pPr>
        <w:tabs>
          <w:tab w:val="left" w:pos="516"/>
        </w:tabs>
        <w:adjustRightInd w:val="0"/>
        <w:snapToGrid w:val="0"/>
        <w:ind w:firstLine="480" w:firstLineChars="200"/>
        <w:rPr>
          <w:rFonts w:ascii="宋体" w:hAnsi="宋体" w:cs="宋体"/>
          <w:kern w:val="0"/>
          <w:szCs w:val="21"/>
        </w:rPr>
        <w:sectPr>
          <w:pgSz w:w="11907" w:h="16840"/>
          <w:pgMar w:top="1247" w:right="1531" w:bottom="1247" w:left="1531" w:header="851" w:footer="737" w:gutter="0"/>
          <w:pgBorders>
            <w:top w:val="none" w:sz="0" w:space="0"/>
            <w:left w:val="none" w:sz="0" w:space="0"/>
            <w:bottom w:val="none" w:sz="0" w:space="0"/>
            <w:right w:val="none" w:sz="0" w:space="0"/>
          </w:pgBorders>
          <w:cols w:space="720" w:num="1"/>
          <w:docGrid w:linePitch="312" w:charSpace="0"/>
        </w:sectPr>
      </w:pPr>
    </w:p>
    <w:p w14:paraId="12EDCEB1">
      <w:pPr>
        <w:spacing w:line="240" w:lineRule="auto"/>
        <w:jc w:val="center"/>
        <w:outlineLvl w:val="0"/>
        <w:rPr>
          <w:rFonts w:ascii="宋体" w:hAnsi="宋体" w:cs="宋体"/>
          <w:kern w:val="0"/>
          <w:szCs w:val="21"/>
        </w:rPr>
      </w:pPr>
      <w:bookmarkStart w:id="4" w:name="_Toc6409"/>
      <w:r>
        <w:rPr>
          <w:rFonts w:hint="eastAsia" w:ascii="黑体" w:hAnsi="黑体" w:eastAsia="黑体"/>
          <w:snapToGrid w:val="0"/>
          <w:sz w:val="30"/>
          <w:szCs w:val="30"/>
        </w:rPr>
        <w:t>四、主要环境影响和保护措施</w:t>
      </w:r>
      <w:bookmarkEnd w:id="4"/>
    </w:p>
    <w:tbl>
      <w:tblPr>
        <w:tblStyle w:val="11"/>
        <w:tblW w:w="101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9586"/>
      </w:tblGrid>
      <w:tr w14:paraId="62BEF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0" w:hRule="atLeast"/>
          <w:jc w:val="center"/>
        </w:trPr>
        <w:tc>
          <w:tcPr>
            <w:tcW w:w="516" w:type="dxa"/>
            <w:vAlign w:val="center"/>
          </w:tcPr>
          <w:p w14:paraId="33C29384">
            <w:pPr>
              <w:adjustRightInd w:val="0"/>
              <w:snapToGrid w:val="0"/>
              <w:jc w:val="center"/>
              <w:rPr>
                <w:rFonts w:ascii="宋体" w:hAnsi="宋体" w:cs="宋体"/>
                <w:kern w:val="0"/>
                <w:szCs w:val="21"/>
              </w:rPr>
            </w:pPr>
            <w:r>
              <w:rPr>
                <w:rFonts w:hint="eastAsia" w:ascii="宋体" w:hAnsi="宋体" w:cs="宋体"/>
                <w:kern w:val="0"/>
                <w:szCs w:val="21"/>
              </w:rPr>
              <w:t>施工</w:t>
            </w:r>
          </w:p>
          <w:p w14:paraId="04BE841B">
            <w:pPr>
              <w:adjustRightInd w:val="0"/>
              <w:snapToGrid w:val="0"/>
              <w:jc w:val="center"/>
              <w:rPr>
                <w:rFonts w:ascii="宋体" w:hAnsi="宋体" w:cs="宋体"/>
                <w:kern w:val="0"/>
                <w:szCs w:val="21"/>
              </w:rPr>
            </w:pPr>
            <w:r>
              <w:rPr>
                <w:rFonts w:hint="eastAsia" w:ascii="宋体" w:hAnsi="宋体" w:cs="宋体"/>
                <w:kern w:val="0"/>
                <w:szCs w:val="21"/>
              </w:rPr>
              <w:t>期环</w:t>
            </w:r>
          </w:p>
          <w:p w14:paraId="344D9AFF">
            <w:pPr>
              <w:adjustRightInd w:val="0"/>
              <w:snapToGrid w:val="0"/>
              <w:jc w:val="center"/>
              <w:rPr>
                <w:rFonts w:ascii="宋体" w:hAnsi="宋体" w:cs="宋体"/>
                <w:kern w:val="0"/>
                <w:szCs w:val="21"/>
              </w:rPr>
            </w:pPr>
            <w:r>
              <w:rPr>
                <w:rFonts w:hint="eastAsia" w:ascii="宋体" w:hAnsi="宋体" w:cs="宋体"/>
                <w:kern w:val="0"/>
                <w:szCs w:val="21"/>
              </w:rPr>
              <w:t>境保</w:t>
            </w:r>
          </w:p>
          <w:p w14:paraId="7D2A1F87">
            <w:pPr>
              <w:adjustRightInd w:val="0"/>
              <w:snapToGrid w:val="0"/>
              <w:jc w:val="center"/>
              <w:rPr>
                <w:rFonts w:ascii="宋体" w:hAnsi="宋体" w:cs="宋体"/>
                <w:kern w:val="0"/>
                <w:szCs w:val="21"/>
              </w:rPr>
            </w:pPr>
            <w:r>
              <w:rPr>
                <w:rFonts w:hint="eastAsia" w:ascii="宋体" w:hAnsi="宋体" w:cs="宋体"/>
                <w:kern w:val="0"/>
                <w:szCs w:val="21"/>
              </w:rPr>
              <w:t>护措</w:t>
            </w:r>
          </w:p>
          <w:p w14:paraId="72B0A60F">
            <w:pPr>
              <w:adjustRightInd w:val="0"/>
              <w:snapToGrid w:val="0"/>
              <w:jc w:val="center"/>
              <w:rPr>
                <w:rFonts w:ascii="宋体" w:hAnsi="宋体" w:cs="宋体"/>
                <w:kern w:val="0"/>
                <w:szCs w:val="21"/>
              </w:rPr>
            </w:pPr>
            <w:r>
              <w:rPr>
                <w:rFonts w:hint="eastAsia" w:ascii="宋体" w:hAnsi="宋体" w:cs="宋体"/>
                <w:kern w:val="0"/>
                <w:szCs w:val="21"/>
              </w:rPr>
              <w:t>施</w:t>
            </w:r>
          </w:p>
        </w:tc>
        <w:tc>
          <w:tcPr>
            <w:tcW w:w="9586" w:type="dxa"/>
            <w:vAlign w:val="top"/>
          </w:tcPr>
          <w:p w14:paraId="54084B39">
            <w:pPr>
              <w:adjustRightInd w:val="0"/>
              <w:snapToGrid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一、施工期污染工序</w:t>
            </w:r>
          </w:p>
          <w:p w14:paraId="0E613551">
            <w:pPr>
              <w:adjustRightInd w:val="0"/>
              <w:snapToGrid w:val="0"/>
              <w:spacing w:line="360" w:lineRule="auto"/>
              <w:ind w:firstLine="482" w:firstLineChars="200"/>
              <w:jc w:val="left"/>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1、废气环境影响和防治措施</w:t>
            </w:r>
          </w:p>
          <w:p w14:paraId="787CFECD">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本项目施工期对大气环境影响最大的主要是施工作业引起的扬尘，其次为运输车辆及一些动力设备使用燃料油产生的NOx、CO等。</w:t>
            </w:r>
          </w:p>
          <w:p w14:paraId="1EDB6DDE">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（1）扬尘对大气环境的影响</w:t>
            </w:r>
          </w:p>
          <w:p w14:paraId="1F1FC659">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扬尘主要是挖土机、推土机等施工机械在挖掘、堆放、清运土方及回填、场地平整时产生，同时运输、施工车辆行驶也会造成地面扬尘。扬尘起尘量与许多因素有关，风速越大、地表裸露面积越大、颗粒越小、沙土的含水率越低，扬尘的产生量就越大。在不同气象条件下，扬尘影响分析结果表明：在一般气象条件下，平均风速1.5~3m/s的情况下，建筑工地下风向TSP浓度为上风向对照点的2.0~2.5倍。如果不采取防护措施，300m以内将会受到扬尘的严重影响；采用一般的防护措施，150m内会有影响；在做好施工期扬尘的防护措施下施工，下风向50m处的TSP浓度会小于0.3mg/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，符合《环境空气质量标准》(GB3095-2012)二级标准要求。</w:t>
            </w:r>
          </w:p>
          <w:p w14:paraId="47FB63F0">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运输车辆扬尘的产生量及扬尘污染程度与车辆的运输力方式、路面状况、天气条件等因素关系密切，类比调查在施工过程中拉、运、卸、平土石方过程其周围产生的TSP的平均值可达到0.768mg/m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w:t>
            </w:r>
          </w:p>
          <w:p w14:paraId="78B8908F">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施工扬尘最大产生时间将出现在土方阶段，由于该阶段裸露浮土较多，产尘量较大，如果施工工地采取封闭施工，受施工扬尘影响范围不大，主要为施工场地周围及下风向的部分地区；在结构、装修阶段，主要是车辆行驶、混凝土搅拌等产生的扬尘，但产生量相对较低。</w:t>
            </w:r>
          </w:p>
          <w:p w14:paraId="4A4E87D4">
            <w:pPr>
              <w:adjustRightInd w:val="0"/>
              <w:snapToGrid w:val="0"/>
              <w:spacing w:line="360" w:lineRule="auto"/>
              <w:ind w:firstLine="480" w:firstLineChars="200"/>
              <w:jc w:val="left"/>
              <w:rPr>
                <w:rFonts w:hint="eastAsia" w:cs="Times New Roman"/>
                <w:bCs/>
                <w:spacing w:val="-10"/>
                <w:sz w:val="24"/>
                <w:szCs w:val="24"/>
                <w:lang w:val="en-US" w:eastAsia="zh-CN"/>
              </w:rPr>
            </w:pPr>
            <w:r>
              <w:rPr>
                <w:rFonts w:hint="eastAsia" w:ascii="Times New Roman" w:hAnsi="Times New Roman" w:eastAsia="宋体" w:cs="Times New Roman"/>
                <w:kern w:val="0"/>
                <w:sz w:val="24"/>
                <w:szCs w:val="24"/>
                <w:lang w:val="en-US" w:eastAsia="zh-CN"/>
              </w:rPr>
              <w:t>由于本项目厂址环境空气湿度较大，填挖的土方含水率大于0.5%，并且项目区土壤土方颗粒较大，正常情况下施工期开挖土方产生显著扬尘的几率较小。为减轻扬尘对周围环境的影响，在作业现场应采取相应的防护措施，如加盖遮盖物，干燥的天气时洒水以增加地面湿度，以减轻扬尘对周围环境的影响。</w:t>
            </w:r>
          </w:p>
          <w:p w14:paraId="10B50F4D">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（2）机械车辆和动力设备尾气对大气环境的影响</w:t>
            </w:r>
          </w:p>
          <w:p w14:paraId="5C5840D3">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施工期施工机械与运输车辆相对集中，运输车辆多为大动力柴油发动机，由于荷载重，尾气排放量大，排出尾气中的CO、NOx、非甲烷总烃、SO</w:t>
            </w:r>
            <w:r>
              <w:rPr>
                <w:rFonts w:hint="eastAsia" w:ascii="Times New Roman" w:hAnsi="Times New Roman" w:eastAsia="宋体" w:cs="Times New Roman"/>
                <w:kern w:val="0"/>
                <w:sz w:val="24"/>
                <w:szCs w:val="24"/>
                <w:vertAlign w:val="subscript"/>
                <w:lang w:val="en-US" w:eastAsia="zh-CN"/>
              </w:rPr>
              <w:t>2</w:t>
            </w:r>
            <w:r>
              <w:rPr>
                <w:rFonts w:hint="eastAsia" w:ascii="Times New Roman" w:hAnsi="Times New Roman" w:eastAsia="宋体" w:cs="Times New Roman"/>
                <w:kern w:val="0"/>
                <w:sz w:val="24"/>
                <w:szCs w:val="24"/>
                <w:lang w:val="en-US" w:eastAsia="zh-CN"/>
              </w:rPr>
              <w:t>和TSP等污染物将直接进入大气。将增加施工路段和运输道路沿线的空气污染物排放，影响到沿线空气质量，但车辆废气排放是小范围的短期影响。</w:t>
            </w:r>
          </w:p>
          <w:p w14:paraId="70D55FB9">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若在施工时采取必要的控制措施，包括工地洒水和降低散料堆放区风速（通过挡风栅栏或者其他构筑物），则可明显减少扬尘量。采用以上两种措施并规定在积尘路面减速行驶，清洗车轮和车体，用帆布覆盖易起扬尘的物察等，则工地扬尘量可减少70~80%。可大大减少工地扬尘对周围空气环境的影响。</w:t>
            </w:r>
          </w:p>
          <w:p w14:paraId="6BA88B6F">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（3）大气污染防治措施</w:t>
            </w:r>
          </w:p>
          <w:p w14:paraId="5A4C31EF">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为使本项目施工过程中产生的粉尘对周围环境空气的影响降低到最小程度，严格执行《广东省建设工程施工扬尘污染防治管理办法(试行)》(粵办函[2017]708号)，采取以下防护措施：</w:t>
            </w:r>
          </w:p>
          <w:p w14:paraId="380E48D9">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①施工期围挡</w:t>
            </w:r>
          </w:p>
          <w:p w14:paraId="3AE95BB4">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围挡作用主要是阻挡一部分施工扬尘扩散到施工区外，当风力不大时也可减少自然扬尘。较好的围挡应当有一定的高度，挡扳与挡板之间，挡板与地面之间要密封。目前，施工围挡大多高的2m，表面涂漆并印有施工单位名称，既阻挡扬尘，又不破坏美观。</w:t>
            </w:r>
          </w:p>
          <w:p w14:paraId="7944E0FB">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②洒水压尘</w:t>
            </w:r>
          </w:p>
          <w:p w14:paraId="682D8CF2">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开挖、钻孔过程中，应洒水使作业面保持一定的湿度，对施工场地内松散、干涸的表土，也应经常洒水防止粉尘。洒水对小范围施工裸土自然扬尘有一定的抑制效果，且简通易行。大面积裸土洒水需要专门人员和设备。运输车辆在土路上行驶时造成的扬尘，洒水有特殊控制作用。进行土方挖掘时一般不对运输道路进行硬化，车辆在干燥的表土上行驶时扬尘量很大，通过洒水再经过车辆碾压，使道路上土壤密度增大，迫使尘粒粘结在一起而不被扬起。另外，随时从车上落下的土不会像硬化道路那样重新扬起，而是被压结在路面上。土质道路洒水压尘效果的关键是控制好洒水量和经常有人维护。</w:t>
            </w:r>
          </w:p>
          <w:p w14:paraId="2AB63BE7">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③分段施工</w:t>
            </w:r>
          </w:p>
          <w:p w14:paraId="2768ED83">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边挖边填，做到填挖土石方平衡，不弃土。加强回填土方堆放的管理，要将土方表面压实、定期喷水、覆盖等措施；不需要的泥土，建筑材料弃渣应及时运走，不宜长时间堆积。</w:t>
            </w:r>
          </w:p>
          <w:p w14:paraId="68C58155">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④地面硬化</w:t>
            </w:r>
          </w:p>
          <w:p w14:paraId="463C03AA">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地面硬化主要用于两方面，一是车辆经清洗后进入城市道路前的裸土道路；二是建筑工地除了挖槽区以外的裸土地面。这些地方经过水泥、沥青及其它固化材料固化，可以有效防止交通扬尘和自然扬尘，另外还便于工地的施工和管理。</w:t>
            </w:r>
          </w:p>
          <w:p w14:paraId="4E4C69A0">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⑤交通扬尘控制</w:t>
            </w:r>
          </w:p>
          <w:p w14:paraId="3E88B1C5">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交通扬尘的特点是扩散力强并能造成多次扬尘污染，运输的道路实际成为一条不断获得补充、由近至远逐渐衰减的扬尘线源，并通过来往车输作为动力，纵横交错的道路成为渠道，向四处扩散。</w:t>
            </w:r>
          </w:p>
          <w:p w14:paraId="1CC1D11F">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运土卡车及建筑材料运输车应按规定配置防洒落装备，装载不宜过满，保证运输过程中不散落；并规划好运输车辆的运行路线与时间，尽量避免在繁华区、交通集中区和居民住宅等敏感区行驶。</w:t>
            </w:r>
          </w:p>
          <w:p w14:paraId="0C28F16A">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运输车辆及时冲洗，对产生尘量多的物资应加湿或密闭后运输，对液体物资运输采用密闭专用车辆，严禁封装破损时运输；对运输过程中散落在路面上的泥土要及时清扫，以减少运行过程中的扬尘。</w:t>
            </w:r>
          </w:p>
          <w:p w14:paraId="5A304813">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在场址内及周围运输车辆主要行径路线及进出口洒水压尘，减少地面粉尘随车流及风力扰动而扬起的粉尘量。</w:t>
            </w:r>
          </w:p>
          <w:p w14:paraId="1F7F26FF">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⑥复绿工程</w:t>
            </w:r>
          </w:p>
          <w:p w14:paraId="4B79FC5E">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充分利用施工场地，尽量少占地，施工结束后应立即恢复原貌和进行绿化。对暂时不能施工的场地应保护好原有的植被或进行简易绿化或采取防尘措施。</w:t>
            </w:r>
          </w:p>
          <w:p w14:paraId="42558C78">
            <w:pPr>
              <w:adjustRightInd w:val="0"/>
              <w:snapToGrid w:val="0"/>
              <w:spacing w:line="240" w:lineRule="auto"/>
              <w:jc w:val="left"/>
              <w:rPr>
                <w:rFonts w:hint="eastAsia" w:ascii="Times New Roman" w:hAnsi="Times New Roman" w:eastAsia="宋体" w:cs="Times New Roman"/>
                <w:b w:val="0"/>
                <w:bCs w:val="0"/>
                <w:kern w:val="0"/>
                <w:sz w:val="24"/>
                <w:szCs w:val="24"/>
                <w:lang w:val="en-US" w:eastAsia="zh-CN"/>
              </w:rPr>
            </w:pPr>
          </w:p>
          <w:p w14:paraId="44FC9834">
            <w:pPr>
              <w:adjustRightInd w:val="0"/>
              <w:snapToGrid w:val="0"/>
              <w:spacing w:line="360" w:lineRule="auto"/>
              <w:ind w:firstLine="482" w:firstLineChars="200"/>
              <w:jc w:val="left"/>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2、废水环境影响和防治措施</w:t>
            </w:r>
          </w:p>
          <w:p w14:paraId="10AF5FE0">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（1）废水环境影响</w:t>
            </w:r>
          </w:p>
          <w:p w14:paraId="414476EC">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项目施工人员租用周边民房作为施工营地，不在场地内住宿。施工期废水主要是施工机械冷却水、车辆和场地清洁废水等，降雨时还会产生施工场地雨水。施工废水包括泥浆、机械设备运转的冷却水和洗涤水；暴雨地表径流冲刷浮土、建筑砂石、垃圾、弃土等，不但会夹带大量泥沙，而且会携带水泥、油类、化学品等各种污染物。排水过程产生沉积物如果不经处理进入地表水，不但会引起水体污染，还可能造成河道和水体堵塞。</w:t>
            </w:r>
          </w:p>
          <w:p w14:paraId="699E8AE6">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（2）废水污染防治措施</w:t>
            </w:r>
          </w:p>
          <w:p w14:paraId="3CCBB118">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工程施工期间，施工单位应严格落实废水污染防信措施，对地面水的排放进行组织设计，严禁乱排、乱流污染道路、环境或淹没市政设施。依据以往类似建设项目施工期间的水质监测分析，施工期度水中主要污染物是SS、COD、BOD</w:t>
            </w:r>
            <w:r>
              <w:rPr>
                <w:rFonts w:hint="eastAsia" w:ascii="Times New Roman" w:hAnsi="Times New Roman" w:eastAsia="宋体" w:cs="Times New Roman"/>
                <w:kern w:val="0"/>
                <w:sz w:val="24"/>
                <w:szCs w:val="24"/>
                <w:vertAlign w:val="subscript"/>
                <w:lang w:val="en-US" w:eastAsia="zh-CN"/>
              </w:rPr>
              <w:t>5</w:t>
            </w:r>
            <w:r>
              <w:rPr>
                <w:rFonts w:hint="eastAsia" w:ascii="Times New Roman" w:hAnsi="Times New Roman" w:eastAsia="宋体" w:cs="Times New Roman"/>
                <w:kern w:val="0"/>
                <w:sz w:val="24"/>
                <w:szCs w:val="24"/>
                <w:lang w:val="en-US" w:eastAsia="zh-CN"/>
              </w:rPr>
              <w:t>、石油类等。项目建设施工过程的废水和污水如果处理不当，对下水道会有影响，尤其是暴雨径流更应引起重现。应采取以下防治措施：</w:t>
            </w:r>
          </w:p>
          <w:p w14:paraId="39928294">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厂房施工时产生的泥浆水、施工机械冲洗水及进出施工场地车辆清洗水未经处理不能随意排放，污染现场及周围环境。在施工场地设置临时沉砂池，含泥沙雨水、泥浆水经沉砂池沉淀后，泥沙泥浆打包外运，清水回用(可用于场地晒水)。</w:t>
            </w:r>
          </w:p>
          <w:p w14:paraId="3F6A5375">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②应采用先进的施工方法减少废水排放，加强管理杜绝施工机械在运行、清洗过程中油料的跑、冒、滴、漏问题。</w:t>
            </w:r>
          </w:p>
          <w:p w14:paraId="7BEFDAF7">
            <w:pPr>
              <w:adjustRightInd w:val="0"/>
              <w:snapToGrid w:val="0"/>
              <w:spacing w:line="240" w:lineRule="auto"/>
              <w:jc w:val="left"/>
              <w:rPr>
                <w:rFonts w:hint="eastAsia" w:ascii="Times New Roman" w:hAnsi="Times New Roman" w:eastAsia="宋体" w:cs="Times New Roman"/>
                <w:b w:val="0"/>
                <w:bCs w:val="0"/>
                <w:kern w:val="0"/>
                <w:sz w:val="24"/>
                <w:szCs w:val="24"/>
                <w:lang w:val="en-US" w:eastAsia="zh-CN"/>
              </w:rPr>
            </w:pPr>
          </w:p>
          <w:p w14:paraId="779F7514">
            <w:pPr>
              <w:adjustRightInd w:val="0"/>
              <w:snapToGrid w:val="0"/>
              <w:spacing w:line="360" w:lineRule="auto"/>
              <w:ind w:firstLine="482" w:firstLineChars="200"/>
              <w:jc w:val="left"/>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3、噪声环境影响和防治措施</w:t>
            </w:r>
          </w:p>
          <w:p w14:paraId="3C0D058A">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（1）噪声环境影响</w:t>
            </w:r>
          </w:p>
          <w:p w14:paraId="0B9EE6BE">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厂区施工过程中的噪声影响主要来自施工机械和运输车辆产生的噪声，使用的机械主要有挖掘机、钻桩机、推土机、风动机械、吊车、升降机等。.</w:t>
            </w:r>
          </w:p>
          <w:p w14:paraId="0CAA5462">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对于建设项目施工期间的噪声采用《建筑施工场界环境噪声排放标准》(GB12523-2011)中的排放标准（昼间</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70dB(A)，夜间</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55dB(A)）进行评价。</w:t>
            </w:r>
          </w:p>
          <w:p w14:paraId="16D91CA4">
            <w:pPr>
              <w:bidi w:val="0"/>
              <w:ind w:firstLine="480" w:firstLineChars="200"/>
              <w:rPr>
                <w:rFonts w:hint="eastAsia"/>
                <w:lang w:val="en-US" w:eastAsia="zh-CN"/>
              </w:rPr>
            </w:pPr>
            <w:r>
              <w:rPr>
                <w:rFonts w:hint="eastAsia"/>
                <w:lang w:val="en-US" w:eastAsia="zh-CN"/>
              </w:rPr>
              <w:t>本项目施工噪声源可近似作为点声源处理，根据点声源噪声衰减模式，可估算其施工期间离噪声源不同距离处的噪声值，预测模式如下：</w:t>
            </w:r>
          </w:p>
          <w:p w14:paraId="4B62E55D">
            <w:pPr>
              <w:bidi w:val="0"/>
              <w:jc w:val="center"/>
              <w:rPr>
                <w:rFonts w:hint="eastAsia"/>
                <w:b/>
                <w:bCs/>
                <w:lang w:val="en-US" w:eastAsia="zh-CN"/>
              </w:rPr>
            </w:pPr>
            <w:r>
              <w:rPr>
                <w:rFonts w:hint="eastAsia"/>
                <w:b/>
                <w:bCs/>
                <w:lang w:val="en-US" w:eastAsia="zh-CN"/>
              </w:rPr>
              <w:t>L</w:t>
            </w:r>
            <w:r>
              <w:rPr>
                <w:rFonts w:hint="eastAsia"/>
                <w:b/>
                <w:bCs/>
                <w:vertAlign w:val="subscript"/>
                <w:lang w:val="en-US" w:eastAsia="zh-CN"/>
              </w:rPr>
              <w:t>2</w:t>
            </w:r>
            <w:r>
              <w:rPr>
                <w:rFonts w:hint="eastAsia"/>
                <w:b/>
                <w:bCs/>
                <w:lang w:val="en-US" w:eastAsia="zh-CN"/>
              </w:rPr>
              <w:t>=L</w:t>
            </w:r>
            <w:r>
              <w:rPr>
                <w:rFonts w:hint="eastAsia"/>
                <w:b/>
                <w:bCs/>
                <w:vertAlign w:val="subscript"/>
                <w:lang w:val="en-US" w:eastAsia="zh-CN"/>
              </w:rPr>
              <w:t>1</w:t>
            </w:r>
            <w:r>
              <w:rPr>
                <w:rFonts w:hint="eastAsia"/>
                <w:b/>
                <w:bCs/>
                <w:lang w:val="en-US" w:eastAsia="zh-CN"/>
              </w:rPr>
              <w:t>-20lg(r</w:t>
            </w:r>
            <w:r>
              <w:rPr>
                <w:rFonts w:hint="eastAsia"/>
                <w:b/>
                <w:bCs/>
                <w:vertAlign w:val="subscript"/>
                <w:lang w:val="en-US" w:eastAsia="zh-CN"/>
              </w:rPr>
              <w:t>2</w:t>
            </w:r>
            <w:r>
              <w:rPr>
                <w:rFonts w:hint="eastAsia"/>
                <w:b/>
                <w:bCs/>
                <w:lang w:val="en-US" w:eastAsia="zh-CN"/>
              </w:rPr>
              <w:t>/r</w:t>
            </w:r>
            <w:r>
              <w:rPr>
                <w:rFonts w:hint="eastAsia"/>
                <w:b/>
                <w:bCs/>
                <w:vertAlign w:val="subscript"/>
                <w:lang w:val="en-US" w:eastAsia="zh-CN"/>
              </w:rPr>
              <w:t>1</w:t>
            </w:r>
            <w:r>
              <w:rPr>
                <w:rFonts w:hint="eastAsia"/>
                <w:b/>
                <w:bCs/>
                <w:lang w:val="en-US" w:eastAsia="zh-CN"/>
              </w:rPr>
              <w:t>)-△L</w:t>
            </w:r>
          </w:p>
          <w:p w14:paraId="148C242A">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式中：</w:t>
            </w:r>
            <w:r>
              <w:rPr>
                <w:rFonts w:hint="eastAsia" w:ascii="Times New Roman" w:hAnsi="Times New Roman" w:eastAsia="宋体" w:cs="Times New Roman"/>
                <w:b w:val="0"/>
                <w:bCs w:val="0"/>
                <w:i/>
                <w:iCs/>
                <w:kern w:val="0"/>
                <w:sz w:val="24"/>
                <w:szCs w:val="24"/>
                <w:lang w:val="en-US" w:eastAsia="zh-CN"/>
              </w:rPr>
              <w:t>L</w:t>
            </w:r>
            <w:r>
              <w:rPr>
                <w:rFonts w:hint="eastAsia" w:ascii="Times New Roman" w:hAnsi="Times New Roman" w:eastAsia="宋体" w:cs="Times New Roman"/>
                <w:b w:val="0"/>
                <w:bCs w:val="0"/>
                <w:i/>
                <w:iCs/>
                <w:kern w:val="0"/>
                <w:sz w:val="24"/>
                <w:szCs w:val="24"/>
                <w:vertAlign w:val="subscript"/>
                <w:lang w:val="en-US" w:eastAsia="zh-CN"/>
              </w:rPr>
              <w:t>2</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点声源在预测点产生的声压级；</w:t>
            </w:r>
          </w:p>
          <w:p w14:paraId="51A8E55A">
            <w:pPr>
              <w:adjustRightInd w:val="0"/>
              <w:snapToGrid w:val="0"/>
              <w:spacing w:line="360" w:lineRule="auto"/>
              <w:ind w:firstLine="1200" w:firstLineChars="5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val="0"/>
                <w:bCs w:val="0"/>
                <w:i/>
                <w:iCs/>
                <w:kern w:val="0"/>
                <w:sz w:val="24"/>
                <w:szCs w:val="24"/>
                <w:lang w:val="en-US" w:eastAsia="zh-CN"/>
              </w:rPr>
              <w:t>L</w:t>
            </w:r>
            <w:r>
              <w:rPr>
                <w:rFonts w:hint="eastAsia" w:ascii="Times New Roman" w:hAnsi="Times New Roman" w:eastAsia="宋体" w:cs="Times New Roman"/>
                <w:b w:val="0"/>
                <w:bCs w:val="0"/>
                <w:i/>
                <w:iCs/>
                <w:kern w:val="0"/>
                <w:sz w:val="24"/>
                <w:szCs w:val="24"/>
                <w:vertAlign w:val="subscript"/>
                <w:lang w:val="en-US" w:eastAsia="zh-CN"/>
              </w:rPr>
              <w:t>1</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点声源在参考点产生的声压级；</w:t>
            </w:r>
          </w:p>
          <w:p w14:paraId="17438355">
            <w:pPr>
              <w:adjustRightInd w:val="0"/>
              <w:snapToGrid w:val="0"/>
              <w:spacing w:line="360" w:lineRule="auto"/>
              <w:ind w:firstLine="1200" w:firstLineChars="5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val="0"/>
                <w:bCs w:val="0"/>
                <w:i/>
                <w:iCs/>
                <w:kern w:val="0"/>
                <w:sz w:val="24"/>
                <w:szCs w:val="24"/>
                <w:lang w:val="en-US" w:eastAsia="zh-CN"/>
              </w:rPr>
              <w:t>r</w:t>
            </w:r>
            <w:r>
              <w:rPr>
                <w:rFonts w:hint="eastAsia" w:ascii="Times New Roman" w:hAnsi="Times New Roman" w:eastAsia="宋体" w:cs="Times New Roman"/>
                <w:b w:val="0"/>
                <w:bCs w:val="0"/>
                <w:i/>
                <w:iCs/>
                <w:kern w:val="0"/>
                <w:sz w:val="24"/>
                <w:szCs w:val="24"/>
                <w:vertAlign w:val="subscript"/>
                <w:lang w:val="en-US" w:eastAsia="zh-CN"/>
              </w:rPr>
              <w:t>2</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预测点距声源的距离；</w:t>
            </w:r>
          </w:p>
          <w:p w14:paraId="3656A740">
            <w:pPr>
              <w:adjustRightInd w:val="0"/>
              <w:snapToGrid w:val="0"/>
              <w:spacing w:line="360" w:lineRule="auto"/>
              <w:ind w:firstLine="1200" w:firstLineChars="5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val="0"/>
                <w:bCs w:val="0"/>
                <w:i/>
                <w:iCs/>
                <w:kern w:val="0"/>
                <w:sz w:val="24"/>
                <w:szCs w:val="24"/>
                <w:lang w:val="en-US" w:eastAsia="zh-CN"/>
              </w:rPr>
              <w:t>r</w:t>
            </w:r>
            <w:r>
              <w:rPr>
                <w:rFonts w:hint="eastAsia" w:ascii="Times New Roman" w:hAnsi="Times New Roman" w:eastAsia="宋体" w:cs="Times New Roman"/>
                <w:b w:val="0"/>
                <w:bCs w:val="0"/>
                <w:i/>
                <w:iCs/>
                <w:kern w:val="0"/>
                <w:sz w:val="24"/>
                <w:szCs w:val="24"/>
                <w:vertAlign w:val="subscript"/>
                <w:lang w:val="en-US" w:eastAsia="zh-CN"/>
              </w:rPr>
              <w:t>1</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参考点距声源的距离；</w:t>
            </w:r>
          </w:p>
          <w:p w14:paraId="2A7258AE">
            <w:pPr>
              <w:adjustRightInd w:val="0"/>
              <w:snapToGrid w:val="0"/>
              <w:spacing w:line="360" w:lineRule="auto"/>
              <w:ind w:firstLine="1200" w:firstLineChars="5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b w:val="0"/>
                <w:bCs w:val="0"/>
                <w:i/>
                <w:iCs/>
                <w:kern w:val="0"/>
                <w:sz w:val="24"/>
                <w:szCs w:val="24"/>
                <w:lang w:val="en-US" w:eastAsia="zh-CN"/>
              </w:rPr>
              <w:t>△L</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各种因素引起的衰减量。</w:t>
            </w:r>
          </w:p>
          <w:p w14:paraId="1399A899">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根据上述公式，计算出在无屏障的情形下，各施工设备的声级衰减情况，其噪声级如下表所列：</w:t>
            </w:r>
          </w:p>
          <w:p w14:paraId="4BFC7134">
            <w:pPr>
              <w:pStyle w:val="15"/>
              <w:bidi w:val="0"/>
              <w:rPr>
                <w:rFonts w:hint="default"/>
                <w:lang w:val="en-US" w:eastAsia="zh-CN"/>
              </w:rPr>
            </w:pPr>
            <w:r>
              <w:rPr>
                <w:rFonts w:hint="eastAsia"/>
                <w:lang w:val="en-US" w:eastAsia="zh-CN"/>
              </w:rPr>
              <w:t>表4-1 施工机械噪声衰减情况（单位：dB(A)）</w:t>
            </w:r>
          </w:p>
          <w:tbl>
            <w:tblPr>
              <w:tblStyle w:val="12"/>
              <w:tblW w:w="87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827"/>
              <w:gridCol w:w="757"/>
              <w:gridCol w:w="757"/>
              <w:gridCol w:w="757"/>
              <w:gridCol w:w="757"/>
              <w:gridCol w:w="757"/>
              <w:gridCol w:w="757"/>
              <w:gridCol w:w="757"/>
              <w:gridCol w:w="758"/>
            </w:tblGrid>
            <w:tr w14:paraId="4F58F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0" w:type="auto"/>
                  <w:vMerge w:val="restart"/>
                  <w:tcBorders>
                    <w:tl2br w:val="nil"/>
                    <w:tr2bl w:val="nil"/>
                  </w:tcBorders>
                  <w:noWrap w:val="0"/>
                  <w:vAlign w:val="center"/>
                </w:tcPr>
                <w:p w14:paraId="658916BC">
                  <w:pPr>
                    <w:adjustRightInd w:val="0"/>
                    <w:snapToGrid w:val="0"/>
                    <w:spacing w:line="240" w:lineRule="auto"/>
                    <w:jc w:val="center"/>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机械名称</w:t>
                  </w:r>
                </w:p>
              </w:tc>
              <w:tc>
                <w:tcPr>
                  <w:tcW w:w="0" w:type="auto"/>
                  <w:vMerge w:val="restart"/>
                  <w:tcBorders>
                    <w:tl2br w:val="nil"/>
                    <w:tr2bl w:val="nil"/>
                  </w:tcBorders>
                  <w:noWrap w:val="0"/>
                  <w:vAlign w:val="center"/>
                </w:tcPr>
                <w:p w14:paraId="7FE5A6D6">
                  <w:pPr>
                    <w:adjustRightInd w:val="0"/>
                    <w:snapToGrid w:val="0"/>
                    <w:spacing w:line="240" w:lineRule="auto"/>
                    <w:jc w:val="center"/>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声级</w:t>
                  </w:r>
                </w:p>
                <w:p w14:paraId="17DC3726">
                  <w:pPr>
                    <w:adjustRightInd w:val="0"/>
                    <w:snapToGrid w:val="0"/>
                    <w:spacing w:line="240" w:lineRule="auto"/>
                    <w:jc w:val="center"/>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测值</w:t>
                  </w:r>
                </w:p>
              </w:tc>
              <w:tc>
                <w:tcPr>
                  <w:tcW w:w="0" w:type="auto"/>
                  <w:gridSpan w:val="8"/>
                  <w:tcBorders>
                    <w:tl2br w:val="nil"/>
                    <w:tr2bl w:val="nil"/>
                  </w:tcBorders>
                  <w:noWrap w:val="0"/>
                  <w:vAlign w:val="center"/>
                </w:tcPr>
                <w:p w14:paraId="7A001AEA">
                  <w:pPr>
                    <w:adjustRightInd w:val="0"/>
                    <w:snapToGrid w:val="0"/>
                    <w:spacing w:line="240" w:lineRule="auto"/>
                    <w:jc w:val="center"/>
                    <w:rPr>
                      <w:rFonts w:hint="eastAsia"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边界外距离 m</w:t>
                  </w:r>
                </w:p>
              </w:tc>
            </w:tr>
            <w:tr w14:paraId="0B473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0" w:type="auto"/>
                  <w:vMerge w:val="continue"/>
                  <w:tcBorders>
                    <w:tl2br w:val="nil"/>
                    <w:tr2bl w:val="nil"/>
                  </w:tcBorders>
                  <w:noWrap w:val="0"/>
                  <w:vAlign w:val="center"/>
                </w:tcPr>
                <w:p w14:paraId="2536BEF5">
                  <w:pPr>
                    <w:adjustRightInd w:val="0"/>
                    <w:snapToGrid w:val="0"/>
                    <w:spacing w:line="240" w:lineRule="auto"/>
                    <w:jc w:val="center"/>
                    <w:rPr>
                      <w:rFonts w:hint="eastAsia" w:ascii="Times New Roman" w:hAnsi="Times New Roman" w:eastAsia="宋体" w:cs="Times New Roman"/>
                      <w:b/>
                      <w:bCs/>
                      <w:kern w:val="0"/>
                      <w:sz w:val="21"/>
                      <w:szCs w:val="21"/>
                      <w:vertAlign w:val="baseline"/>
                      <w:lang w:val="en-US" w:eastAsia="zh-CN"/>
                    </w:rPr>
                  </w:pPr>
                </w:p>
              </w:tc>
              <w:tc>
                <w:tcPr>
                  <w:tcW w:w="0" w:type="auto"/>
                  <w:vMerge w:val="continue"/>
                  <w:tcBorders>
                    <w:tl2br w:val="nil"/>
                    <w:tr2bl w:val="nil"/>
                  </w:tcBorders>
                  <w:noWrap w:val="0"/>
                  <w:vAlign w:val="center"/>
                </w:tcPr>
                <w:p w14:paraId="7B0C6E9F">
                  <w:pPr>
                    <w:adjustRightInd w:val="0"/>
                    <w:snapToGrid w:val="0"/>
                    <w:spacing w:line="240" w:lineRule="auto"/>
                    <w:jc w:val="center"/>
                    <w:rPr>
                      <w:rFonts w:hint="eastAsia" w:ascii="Times New Roman" w:hAnsi="Times New Roman" w:eastAsia="宋体" w:cs="Times New Roman"/>
                      <w:b/>
                      <w:bCs/>
                      <w:kern w:val="0"/>
                      <w:sz w:val="21"/>
                      <w:szCs w:val="21"/>
                      <w:vertAlign w:val="baseline"/>
                      <w:lang w:val="en-US" w:eastAsia="zh-CN"/>
                    </w:rPr>
                  </w:pPr>
                </w:p>
              </w:tc>
              <w:tc>
                <w:tcPr>
                  <w:tcW w:w="0" w:type="auto"/>
                  <w:tcBorders>
                    <w:tl2br w:val="nil"/>
                    <w:tr2bl w:val="nil"/>
                  </w:tcBorders>
                  <w:noWrap w:val="0"/>
                  <w:vAlign w:val="center"/>
                </w:tcPr>
                <w:p w14:paraId="1A984DDC">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20</w:t>
                  </w:r>
                </w:p>
              </w:tc>
              <w:tc>
                <w:tcPr>
                  <w:tcW w:w="0" w:type="auto"/>
                  <w:tcBorders>
                    <w:tl2br w:val="nil"/>
                    <w:tr2bl w:val="nil"/>
                  </w:tcBorders>
                  <w:noWrap w:val="0"/>
                  <w:vAlign w:val="center"/>
                </w:tcPr>
                <w:p w14:paraId="7294F849">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40</w:t>
                  </w:r>
                </w:p>
              </w:tc>
              <w:tc>
                <w:tcPr>
                  <w:tcW w:w="0" w:type="auto"/>
                  <w:tcBorders>
                    <w:tl2br w:val="nil"/>
                    <w:tr2bl w:val="nil"/>
                  </w:tcBorders>
                  <w:noWrap w:val="0"/>
                  <w:vAlign w:val="center"/>
                </w:tcPr>
                <w:p w14:paraId="77941E9F">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60</w:t>
                  </w:r>
                </w:p>
              </w:tc>
              <w:tc>
                <w:tcPr>
                  <w:tcW w:w="0" w:type="auto"/>
                  <w:tcBorders>
                    <w:tl2br w:val="nil"/>
                    <w:tr2bl w:val="nil"/>
                  </w:tcBorders>
                  <w:noWrap w:val="0"/>
                  <w:vAlign w:val="center"/>
                </w:tcPr>
                <w:p w14:paraId="424F7C2C">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80</w:t>
                  </w:r>
                </w:p>
              </w:tc>
              <w:tc>
                <w:tcPr>
                  <w:tcW w:w="0" w:type="auto"/>
                  <w:tcBorders>
                    <w:tl2br w:val="nil"/>
                    <w:tr2bl w:val="nil"/>
                  </w:tcBorders>
                  <w:noWrap w:val="0"/>
                  <w:vAlign w:val="center"/>
                </w:tcPr>
                <w:p w14:paraId="7FF4989C">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100</w:t>
                  </w:r>
                </w:p>
              </w:tc>
              <w:tc>
                <w:tcPr>
                  <w:tcW w:w="0" w:type="auto"/>
                  <w:tcBorders>
                    <w:tl2br w:val="nil"/>
                    <w:tr2bl w:val="nil"/>
                  </w:tcBorders>
                  <w:noWrap w:val="0"/>
                  <w:vAlign w:val="center"/>
                </w:tcPr>
                <w:p w14:paraId="439613AF">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150</w:t>
                  </w:r>
                </w:p>
              </w:tc>
              <w:tc>
                <w:tcPr>
                  <w:tcW w:w="0" w:type="auto"/>
                  <w:tcBorders>
                    <w:tl2br w:val="nil"/>
                    <w:tr2bl w:val="nil"/>
                  </w:tcBorders>
                  <w:noWrap w:val="0"/>
                  <w:vAlign w:val="center"/>
                </w:tcPr>
                <w:p w14:paraId="5B9829F2">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200</w:t>
                  </w:r>
                </w:p>
              </w:tc>
              <w:tc>
                <w:tcPr>
                  <w:tcW w:w="0" w:type="auto"/>
                  <w:tcBorders>
                    <w:tl2br w:val="nil"/>
                    <w:tr2bl w:val="nil"/>
                  </w:tcBorders>
                  <w:noWrap w:val="0"/>
                  <w:vAlign w:val="center"/>
                </w:tcPr>
                <w:p w14:paraId="396C8A22">
                  <w:pPr>
                    <w:adjustRightInd w:val="0"/>
                    <w:snapToGrid w:val="0"/>
                    <w:spacing w:line="240" w:lineRule="auto"/>
                    <w:jc w:val="center"/>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250</w:t>
                  </w:r>
                </w:p>
              </w:tc>
            </w:tr>
            <w:tr w14:paraId="0FCA2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0" w:type="auto"/>
                  <w:tcBorders>
                    <w:tl2br w:val="nil"/>
                    <w:tr2bl w:val="nil"/>
                  </w:tcBorders>
                  <w:noWrap w:val="0"/>
                  <w:vAlign w:val="center"/>
                </w:tcPr>
                <w:p w14:paraId="6F195DBF">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钻桩机</w:t>
                  </w:r>
                </w:p>
              </w:tc>
              <w:tc>
                <w:tcPr>
                  <w:tcW w:w="0" w:type="auto"/>
                  <w:tcBorders>
                    <w:tl2br w:val="nil"/>
                    <w:tr2bl w:val="nil"/>
                  </w:tcBorders>
                  <w:noWrap w:val="0"/>
                  <w:vAlign w:val="center"/>
                </w:tcPr>
                <w:p w14:paraId="6180650B">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100</w:t>
                  </w:r>
                </w:p>
              </w:tc>
              <w:tc>
                <w:tcPr>
                  <w:tcW w:w="0" w:type="auto"/>
                  <w:tcBorders>
                    <w:tl2br w:val="nil"/>
                    <w:tr2bl w:val="nil"/>
                  </w:tcBorders>
                  <w:noWrap w:val="0"/>
                  <w:vAlign w:val="center"/>
                </w:tcPr>
                <w:p w14:paraId="7C20605F">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77.0</w:t>
                  </w:r>
                </w:p>
              </w:tc>
              <w:tc>
                <w:tcPr>
                  <w:tcW w:w="0" w:type="auto"/>
                  <w:tcBorders>
                    <w:tl2br w:val="nil"/>
                    <w:tr2bl w:val="nil"/>
                  </w:tcBorders>
                  <w:noWrap w:val="0"/>
                  <w:vAlign w:val="center"/>
                </w:tcPr>
                <w:p w14:paraId="368DD19A">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71.0</w:t>
                  </w:r>
                </w:p>
              </w:tc>
              <w:tc>
                <w:tcPr>
                  <w:tcW w:w="0" w:type="auto"/>
                  <w:tcBorders>
                    <w:tl2br w:val="nil"/>
                    <w:tr2bl w:val="nil"/>
                  </w:tcBorders>
                  <w:noWrap w:val="0"/>
                  <w:vAlign w:val="center"/>
                </w:tcPr>
                <w:p w14:paraId="73E7525A">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67.4</w:t>
                  </w:r>
                </w:p>
              </w:tc>
              <w:tc>
                <w:tcPr>
                  <w:tcW w:w="0" w:type="auto"/>
                  <w:tcBorders>
                    <w:tl2br w:val="nil"/>
                    <w:tr2bl w:val="nil"/>
                  </w:tcBorders>
                  <w:noWrap w:val="0"/>
                  <w:vAlign w:val="center"/>
                </w:tcPr>
                <w:p w14:paraId="763CD33C">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64.4</w:t>
                  </w:r>
                </w:p>
              </w:tc>
              <w:tc>
                <w:tcPr>
                  <w:tcW w:w="0" w:type="auto"/>
                  <w:tcBorders>
                    <w:tl2br w:val="nil"/>
                    <w:tr2bl w:val="nil"/>
                  </w:tcBorders>
                  <w:noWrap w:val="0"/>
                  <w:vAlign w:val="center"/>
                </w:tcPr>
                <w:p w14:paraId="0A3FF6BE">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63.0</w:t>
                  </w:r>
                </w:p>
              </w:tc>
              <w:tc>
                <w:tcPr>
                  <w:tcW w:w="0" w:type="auto"/>
                  <w:tcBorders>
                    <w:tl2br w:val="nil"/>
                    <w:tr2bl w:val="nil"/>
                  </w:tcBorders>
                  <w:noWrap w:val="0"/>
                  <w:vAlign w:val="center"/>
                </w:tcPr>
                <w:p w14:paraId="3D8F53C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59.5</w:t>
                  </w:r>
                </w:p>
              </w:tc>
              <w:tc>
                <w:tcPr>
                  <w:tcW w:w="0" w:type="auto"/>
                  <w:tcBorders>
                    <w:tl2br w:val="nil"/>
                    <w:tr2bl w:val="nil"/>
                  </w:tcBorders>
                  <w:noWrap w:val="0"/>
                  <w:vAlign w:val="center"/>
                </w:tcPr>
                <w:p w14:paraId="5FC899E5">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57.0</w:t>
                  </w:r>
                </w:p>
              </w:tc>
              <w:tc>
                <w:tcPr>
                  <w:tcW w:w="0" w:type="auto"/>
                  <w:tcBorders>
                    <w:tl2br w:val="nil"/>
                    <w:tr2bl w:val="nil"/>
                  </w:tcBorders>
                  <w:noWrap w:val="0"/>
                  <w:vAlign w:val="center"/>
                </w:tcPr>
                <w:p w14:paraId="28B55C41">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55.0</w:t>
                  </w:r>
                </w:p>
              </w:tc>
            </w:tr>
            <w:tr w14:paraId="28736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0" w:type="auto"/>
                  <w:tcBorders>
                    <w:tl2br w:val="nil"/>
                    <w:tr2bl w:val="nil"/>
                  </w:tcBorders>
                  <w:noWrap w:val="0"/>
                  <w:vAlign w:val="center"/>
                </w:tcPr>
                <w:p w14:paraId="38F5A9B9">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钻孔机</w:t>
                  </w:r>
                </w:p>
              </w:tc>
              <w:tc>
                <w:tcPr>
                  <w:tcW w:w="0" w:type="auto"/>
                  <w:tcBorders>
                    <w:tl2br w:val="nil"/>
                    <w:tr2bl w:val="nil"/>
                  </w:tcBorders>
                  <w:noWrap w:val="0"/>
                  <w:vAlign w:val="center"/>
                </w:tcPr>
                <w:p w14:paraId="5C5A111C">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100</w:t>
                  </w:r>
                </w:p>
              </w:tc>
              <w:tc>
                <w:tcPr>
                  <w:tcW w:w="0" w:type="auto"/>
                  <w:tcBorders>
                    <w:tl2br w:val="nil"/>
                    <w:tr2bl w:val="nil"/>
                  </w:tcBorders>
                  <w:noWrap w:val="0"/>
                  <w:vAlign w:val="center"/>
                </w:tcPr>
                <w:p w14:paraId="45716747">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77.0</w:t>
                  </w:r>
                </w:p>
              </w:tc>
              <w:tc>
                <w:tcPr>
                  <w:tcW w:w="0" w:type="auto"/>
                  <w:tcBorders>
                    <w:tl2br w:val="nil"/>
                    <w:tr2bl w:val="nil"/>
                  </w:tcBorders>
                  <w:noWrap w:val="0"/>
                  <w:vAlign w:val="center"/>
                </w:tcPr>
                <w:p w14:paraId="4E9ED527">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71.0</w:t>
                  </w:r>
                </w:p>
              </w:tc>
              <w:tc>
                <w:tcPr>
                  <w:tcW w:w="0" w:type="auto"/>
                  <w:tcBorders>
                    <w:tl2br w:val="nil"/>
                    <w:tr2bl w:val="nil"/>
                  </w:tcBorders>
                  <w:noWrap w:val="0"/>
                  <w:vAlign w:val="center"/>
                </w:tcPr>
                <w:p w14:paraId="096284E9">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67.4</w:t>
                  </w:r>
                </w:p>
              </w:tc>
              <w:tc>
                <w:tcPr>
                  <w:tcW w:w="0" w:type="auto"/>
                  <w:tcBorders>
                    <w:tl2br w:val="nil"/>
                    <w:tr2bl w:val="nil"/>
                  </w:tcBorders>
                  <w:noWrap w:val="0"/>
                  <w:vAlign w:val="center"/>
                </w:tcPr>
                <w:p w14:paraId="27035F9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64.4</w:t>
                  </w:r>
                </w:p>
              </w:tc>
              <w:tc>
                <w:tcPr>
                  <w:tcW w:w="0" w:type="auto"/>
                  <w:tcBorders>
                    <w:tl2br w:val="nil"/>
                    <w:tr2bl w:val="nil"/>
                  </w:tcBorders>
                  <w:noWrap w:val="0"/>
                  <w:vAlign w:val="center"/>
                </w:tcPr>
                <w:p w14:paraId="0EF74D00">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63.0</w:t>
                  </w:r>
                </w:p>
              </w:tc>
              <w:tc>
                <w:tcPr>
                  <w:tcW w:w="0" w:type="auto"/>
                  <w:tcBorders>
                    <w:tl2br w:val="nil"/>
                    <w:tr2bl w:val="nil"/>
                  </w:tcBorders>
                  <w:noWrap w:val="0"/>
                  <w:vAlign w:val="center"/>
                </w:tcPr>
                <w:p w14:paraId="0F1EA8CD">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59.5</w:t>
                  </w:r>
                </w:p>
              </w:tc>
              <w:tc>
                <w:tcPr>
                  <w:tcW w:w="0" w:type="auto"/>
                  <w:tcBorders>
                    <w:tl2br w:val="nil"/>
                    <w:tr2bl w:val="nil"/>
                  </w:tcBorders>
                  <w:noWrap w:val="0"/>
                  <w:vAlign w:val="center"/>
                </w:tcPr>
                <w:p w14:paraId="2AC781DC">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57.0</w:t>
                  </w:r>
                </w:p>
              </w:tc>
              <w:tc>
                <w:tcPr>
                  <w:tcW w:w="0" w:type="auto"/>
                  <w:tcBorders>
                    <w:tl2br w:val="nil"/>
                    <w:tr2bl w:val="nil"/>
                  </w:tcBorders>
                  <w:noWrap w:val="0"/>
                  <w:vAlign w:val="center"/>
                </w:tcPr>
                <w:p w14:paraId="723D302D">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55.0</w:t>
                  </w:r>
                </w:p>
              </w:tc>
            </w:tr>
            <w:tr w14:paraId="1D728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0" w:type="auto"/>
                  <w:tcBorders>
                    <w:tl2br w:val="nil"/>
                    <w:tr2bl w:val="nil"/>
                  </w:tcBorders>
                  <w:noWrap w:val="0"/>
                  <w:vAlign w:val="center"/>
                </w:tcPr>
                <w:p w14:paraId="13713C72">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推土机</w:t>
                  </w:r>
                </w:p>
              </w:tc>
              <w:tc>
                <w:tcPr>
                  <w:tcW w:w="0" w:type="auto"/>
                  <w:tcBorders>
                    <w:tl2br w:val="nil"/>
                    <w:tr2bl w:val="nil"/>
                  </w:tcBorders>
                  <w:noWrap w:val="0"/>
                  <w:vAlign w:val="center"/>
                </w:tcPr>
                <w:p w14:paraId="58CD1166">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90</w:t>
                  </w:r>
                </w:p>
              </w:tc>
              <w:tc>
                <w:tcPr>
                  <w:tcW w:w="0" w:type="auto"/>
                  <w:tcBorders>
                    <w:tl2br w:val="nil"/>
                    <w:tr2bl w:val="nil"/>
                  </w:tcBorders>
                  <w:noWrap w:val="0"/>
                  <w:vAlign w:val="center"/>
                </w:tcPr>
                <w:p w14:paraId="367FA7EE">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67.0</w:t>
                  </w:r>
                </w:p>
              </w:tc>
              <w:tc>
                <w:tcPr>
                  <w:tcW w:w="0" w:type="auto"/>
                  <w:tcBorders>
                    <w:tl2br w:val="nil"/>
                    <w:tr2bl w:val="nil"/>
                  </w:tcBorders>
                  <w:noWrap w:val="0"/>
                  <w:vAlign w:val="center"/>
                </w:tcPr>
                <w:p w14:paraId="7F823CCD">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61.0</w:t>
                  </w:r>
                </w:p>
              </w:tc>
              <w:tc>
                <w:tcPr>
                  <w:tcW w:w="0" w:type="auto"/>
                  <w:tcBorders>
                    <w:tl2br w:val="nil"/>
                    <w:tr2bl w:val="nil"/>
                  </w:tcBorders>
                  <w:noWrap w:val="0"/>
                  <w:vAlign w:val="center"/>
                </w:tcPr>
                <w:p w14:paraId="0D8B3D7D">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57.4</w:t>
                  </w:r>
                </w:p>
              </w:tc>
              <w:tc>
                <w:tcPr>
                  <w:tcW w:w="0" w:type="auto"/>
                  <w:tcBorders>
                    <w:tl2br w:val="nil"/>
                    <w:tr2bl w:val="nil"/>
                  </w:tcBorders>
                  <w:noWrap w:val="0"/>
                  <w:vAlign w:val="center"/>
                </w:tcPr>
                <w:p w14:paraId="2A0C17B9">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54.4</w:t>
                  </w:r>
                </w:p>
              </w:tc>
              <w:tc>
                <w:tcPr>
                  <w:tcW w:w="0" w:type="auto"/>
                  <w:tcBorders>
                    <w:tl2br w:val="nil"/>
                    <w:tr2bl w:val="nil"/>
                  </w:tcBorders>
                  <w:noWrap w:val="0"/>
                  <w:vAlign w:val="center"/>
                </w:tcPr>
                <w:p w14:paraId="2112C36B">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53.0</w:t>
                  </w:r>
                </w:p>
              </w:tc>
              <w:tc>
                <w:tcPr>
                  <w:tcW w:w="0" w:type="auto"/>
                  <w:tcBorders>
                    <w:tl2br w:val="nil"/>
                    <w:tr2bl w:val="nil"/>
                  </w:tcBorders>
                  <w:noWrap w:val="0"/>
                  <w:vAlign w:val="center"/>
                </w:tcPr>
                <w:p w14:paraId="1BD0E09A">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49.5</w:t>
                  </w:r>
                </w:p>
              </w:tc>
              <w:tc>
                <w:tcPr>
                  <w:tcW w:w="0" w:type="auto"/>
                  <w:tcBorders>
                    <w:tl2br w:val="nil"/>
                    <w:tr2bl w:val="nil"/>
                  </w:tcBorders>
                  <w:noWrap w:val="0"/>
                  <w:vAlign w:val="center"/>
                </w:tcPr>
                <w:p w14:paraId="13BE0E28">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47.0</w:t>
                  </w:r>
                </w:p>
              </w:tc>
              <w:tc>
                <w:tcPr>
                  <w:tcW w:w="0" w:type="auto"/>
                  <w:tcBorders>
                    <w:tl2br w:val="nil"/>
                    <w:tr2bl w:val="nil"/>
                  </w:tcBorders>
                  <w:noWrap w:val="0"/>
                  <w:vAlign w:val="center"/>
                </w:tcPr>
                <w:p w14:paraId="68862DAD">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45.0</w:t>
                  </w:r>
                </w:p>
              </w:tc>
            </w:tr>
            <w:tr w14:paraId="1CE58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0" w:type="auto"/>
                  <w:tcBorders>
                    <w:tl2br w:val="nil"/>
                    <w:tr2bl w:val="nil"/>
                  </w:tcBorders>
                  <w:noWrap w:val="0"/>
                  <w:vAlign w:val="center"/>
                </w:tcPr>
                <w:p w14:paraId="5CA862CD">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挖掘机</w:t>
                  </w:r>
                </w:p>
              </w:tc>
              <w:tc>
                <w:tcPr>
                  <w:tcW w:w="0" w:type="auto"/>
                  <w:tcBorders>
                    <w:tl2br w:val="nil"/>
                    <w:tr2bl w:val="nil"/>
                  </w:tcBorders>
                  <w:noWrap w:val="0"/>
                  <w:vAlign w:val="center"/>
                </w:tcPr>
                <w:p w14:paraId="1A73EDF9">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90</w:t>
                  </w:r>
                </w:p>
              </w:tc>
              <w:tc>
                <w:tcPr>
                  <w:tcW w:w="0" w:type="auto"/>
                  <w:tcBorders>
                    <w:tl2br w:val="nil"/>
                    <w:tr2bl w:val="nil"/>
                  </w:tcBorders>
                  <w:noWrap w:val="0"/>
                  <w:vAlign w:val="center"/>
                </w:tcPr>
                <w:p w14:paraId="65624E79">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67.0</w:t>
                  </w:r>
                </w:p>
              </w:tc>
              <w:tc>
                <w:tcPr>
                  <w:tcW w:w="0" w:type="auto"/>
                  <w:tcBorders>
                    <w:tl2br w:val="nil"/>
                    <w:tr2bl w:val="nil"/>
                  </w:tcBorders>
                  <w:noWrap w:val="0"/>
                  <w:vAlign w:val="center"/>
                </w:tcPr>
                <w:p w14:paraId="060E7DF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61.0</w:t>
                  </w:r>
                </w:p>
              </w:tc>
              <w:tc>
                <w:tcPr>
                  <w:tcW w:w="0" w:type="auto"/>
                  <w:tcBorders>
                    <w:tl2br w:val="nil"/>
                    <w:tr2bl w:val="nil"/>
                  </w:tcBorders>
                  <w:noWrap w:val="0"/>
                  <w:vAlign w:val="center"/>
                </w:tcPr>
                <w:p w14:paraId="6EE3C87F">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57.4</w:t>
                  </w:r>
                </w:p>
              </w:tc>
              <w:tc>
                <w:tcPr>
                  <w:tcW w:w="0" w:type="auto"/>
                  <w:tcBorders>
                    <w:tl2br w:val="nil"/>
                    <w:tr2bl w:val="nil"/>
                  </w:tcBorders>
                  <w:noWrap w:val="0"/>
                  <w:vAlign w:val="center"/>
                </w:tcPr>
                <w:p w14:paraId="52E2AF1A">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64.4</w:t>
                  </w:r>
                </w:p>
              </w:tc>
              <w:tc>
                <w:tcPr>
                  <w:tcW w:w="0" w:type="auto"/>
                  <w:tcBorders>
                    <w:tl2br w:val="nil"/>
                    <w:tr2bl w:val="nil"/>
                  </w:tcBorders>
                  <w:noWrap w:val="0"/>
                  <w:vAlign w:val="center"/>
                </w:tcPr>
                <w:p w14:paraId="07F57EB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53.0</w:t>
                  </w:r>
                </w:p>
              </w:tc>
              <w:tc>
                <w:tcPr>
                  <w:tcW w:w="0" w:type="auto"/>
                  <w:tcBorders>
                    <w:tl2br w:val="nil"/>
                    <w:tr2bl w:val="nil"/>
                  </w:tcBorders>
                  <w:noWrap w:val="0"/>
                  <w:vAlign w:val="center"/>
                </w:tcPr>
                <w:p w14:paraId="2B92DBE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49.5</w:t>
                  </w:r>
                </w:p>
              </w:tc>
              <w:tc>
                <w:tcPr>
                  <w:tcW w:w="0" w:type="auto"/>
                  <w:tcBorders>
                    <w:tl2br w:val="nil"/>
                    <w:tr2bl w:val="nil"/>
                  </w:tcBorders>
                  <w:noWrap w:val="0"/>
                  <w:vAlign w:val="center"/>
                </w:tcPr>
                <w:p w14:paraId="589944E7">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47.0</w:t>
                  </w:r>
                </w:p>
              </w:tc>
              <w:tc>
                <w:tcPr>
                  <w:tcW w:w="0" w:type="auto"/>
                  <w:tcBorders>
                    <w:tl2br w:val="nil"/>
                    <w:tr2bl w:val="nil"/>
                  </w:tcBorders>
                  <w:noWrap w:val="0"/>
                  <w:vAlign w:val="center"/>
                </w:tcPr>
                <w:p w14:paraId="1A5A587F">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45.0</w:t>
                  </w:r>
                </w:p>
              </w:tc>
            </w:tr>
            <w:tr w14:paraId="6ABB8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0" w:type="auto"/>
                  <w:tcBorders>
                    <w:tl2br w:val="nil"/>
                    <w:tr2bl w:val="nil"/>
                  </w:tcBorders>
                  <w:noWrap w:val="0"/>
                  <w:vAlign w:val="center"/>
                </w:tcPr>
                <w:p w14:paraId="3B4C28A5">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风动机械</w:t>
                  </w:r>
                </w:p>
              </w:tc>
              <w:tc>
                <w:tcPr>
                  <w:tcW w:w="0" w:type="auto"/>
                  <w:tcBorders>
                    <w:tl2br w:val="nil"/>
                    <w:tr2bl w:val="nil"/>
                  </w:tcBorders>
                  <w:noWrap w:val="0"/>
                  <w:vAlign w:val="center"/>
                </w:tcPr>
                <w:p w14:paraId="41116E12">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95</w:t>
                  </w:r>
                </w:p>
              </w:tc>
              <w:tc>
                <w:tcPr>
                  <w:tcW w:w="0" w:type="auto"/>
                  <w:tcBorders>
                    <w:tl2br w:val="nil"/>
                    <w:tr2bl w:val="nil"/>
                  </w:tcBorders>
                  <w:noWrap w:val="0"/>
                  <w:vAlign w:val="center"/>
                </w:tcPr>
                <w:p w14:paraId="2F7DB702">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72.0</w:t>
                  </w:r>
                </w:p>
              </w:tc>
              <w:tc>
                <w:tcPr>
                  <w:tcW w:w="0" w:type="auto"/>
                  <w:tcBorders>
                    <w:tl2br w:val="nil"/>
                    <w:tr2bl w:val="nil"/>
                  </w:tcBorders>
                  <w:noWrap w:val="0"/>
                  <w:vAlign w:val="center"/>
                </w:tcPr>
                <w:p w14:paraId="7BCA0790">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66.0</w:t>
                  </w:r>
                </w:p>
              </w:tc>
              <w:tc>
                <w:tcPr>
                  <w:tcW w:w="0" w:type="auto"/>
                  <w:tcBorders>
                    <w:tl2br w:val="nil"/>
                    <w:tr2bl w:val="nil"/>
                  </w:tcBorders>
                  <w:noWrap w:val="0"/>
                  <w:vAlign w:val="center"/>
                </w:tcPr>
                <w:p w14:paraId="46AF8EAB">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62.4</w:t>
                  </w:r>
                </w:p>
              </w:tc>
              <w:tc>
                <w:tcPr>
                  <w:tcW w:w="0" w:type="auto"/>
                  <w:tcBorders>
                    <w:tl2br w:val="nil"/>
                    <w:tr2bl w:val="nil"/>
                  </w:tcBorders>
                  <w:noWrap w:val="0"/>
                  <w:vAlign w:val="center"/>
                </w:tcPr>
                <w:p w14:paraId="2BEAAD29">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60.0</w:t>
                  </w:r>
                </w:p>
              </w:tc>
              <w:tc>
                <w:tcPr>
                  <w:tcW w:w="0" w:type="auto"/>
                  <w:tcBorders>
                    <w:tl2br w:val="nil"/>
                    <w:tr2bl w:val="nil"/>
                  </w:tcBorders>
                  <w:noWrap w:val="0"/>
                  <w:vAlign w:val="center"/>
                </w:tcPr>
                <w:p w14:paraId="3DD0D31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58.0</w:t>
                  </w:r>
                </w:p>
              </w:tc>
              <w:tc>
                <w:tcPr>
                  <w:tcW w:w="0" w:type="auto"/>
                  <w:tcBorders>
                    <w:tl2br w:val="nil"/>
                    <w:tr2bl w:val="nil"/>
                  </w:tcBorders>
                  <w:noWrap w:val="0"/>
                  <w:vAlign w:val="center"/>
                </w:tcPr>
                <w:p w14:paraId="7050F32B">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54.5</w:t>
                  </w:r>
                </w:p>
              </w:tc>
              <w:tc>
                <w:tcPr>
                  <w:tcW w:w="0" w:type="auto"/>
                  <w:tcBorders>
                    <w:tl2br w:val="nil"/>
                    <w:tr2bl w:val="nil"/>
                  </w:tcBorders>
                  <w:noWrap w:val="0"/>
                  <w:vAlign w:val="center"/>
                </w:tcPr>
                <w:p w14:paraId="4ED27DB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52.0</w:t>
                  </w:r>
                </w:p>
              </w:tc>
              <w:tc>
                <w:tcPr>
                  <w:tcW w:w="0" w:type="auto"/>
                  <w:tcBorders>
                    <w:tl2br w:val="nil"/>
                    <w:tr2bl w:val="nil"/>
                  </w:tcBorders>
                  <w:noWrap w:val="0"/>
                  <w:vAlign w:val="center"/>
                </w:tcPr>
                <w:p w14:paraId="424D3B2B">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50.0</w:t>
                  </w:r>
                </w:p>
              </w:tc>
            </w:tr>
            <w:tr w14:paraId="519B9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0" w:type="auto"/>
                  <w:tcBorders>
                    <w:tl2br w:val="nil"/>
                    <w:tr2bl w:val="nil"/>
                  </w:tcBorders>
                  <w:noWrap w:val="0"/>
                  <w:vAlign w:val="center"/>
                </w:tcPr>
                <w:p w14:paraId="46490A97">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卷扬机</w:t>
                  </w:r>
                </w:p>
              </w:tc>
              <w:tc>
                <w:tcPr>
                  <w:tcW w:w="0" w:type="auto"/>
                  <w:tcBorders>
                    <w:tl2br w:val="nil"/>
                    <w:tr2bl w:val="nil"/>
                  </w:tcBorders>
                  <w:noWrap w:val="0"/>
                  <w:vAlign w:val="center"/>
                </w:tcPr>
                <w:p w14:paraId="392DBB3B">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80</w:t>
                  </w:r>
                </w:p>
              </w:tc>
              <w:tc>
                <w:tcPr>
                  <w:tcW w:w="0" w:type="auto"/>
                  <w:tcBorders>
                    <w:tl2br w:val="nil"/>
                    <w:tr2bl w:val="nil"/>
                  </w:tcBorders>
                  <w:noWrap w:val="0"/>
                  <w:vAlign w:val="center"/>
                </w:tcPr>
                <w:p w14:paraId="31A81E89">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57.0</w:t>
                  </w:r>
                </w:p>
              </w:tc>
              <w:tc>
                <w:tcPr>
                  <w:tcW w:w="0" w:type="auto"/>
                  <w:tcBorders>
                    <w:tl2br w:val="nil"/>
                    <w:tr2bl w:val="nil"/>
                  </w:tcBorders>
                  <w:noWrap w:val="0"/>
                  <w:vAlign w:val="center"/>
                </w:tcPr>
                <w:p w14:paraId="64622EC4">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51.0</w:t>
                  </w:r>
                </w:p>
              </w:tc>
              <w:tc>
                <w:tcPr>
                  <w:tcW w:w="0" w:type="auto"/>
                  <w:tcBorders>
                    <w:tl2br w:val="nil"/>
                    <w:tr2bl w:val="nil"/>
                  </w:tcBorders>
                  <w:noWrap w:val="0"/>
                  <w:vAlign w:val="center"/>
                </w:tcPr>
                <w:p w14:paraId="0EF92197">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47.4</w:t>
                  </w:r>
                </w:p>
              </w:tc>
              <w:tc>
                <w:tcPr>
                  <w:tcW w:w="0" w:type="auto"/>
                  <w:tcBorders>
                    <w:tl2br w:val="nil"/>
                    <w:tr2bl w:val="nil"/>
                  </w:tcBorders>
                  <w:noWrap w:val="0"/>
                  <w:vAlign w:val="center"/>
                </w:tcPr>
                <w:p w14:paraId="3444EB73">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44.4</w:t>
                  </w:r>
                </w:p>
              </w:tc>
              <w:tc>
                <w:tcPr>
                  <w:tcW w:w="0" w:type="auto"/>
                  <w:tcBorders>
                    <w:tl2br w:val="nil"/>
                    <w:tr2bl w:val="nil"/>
                  </w:tcBorders>
                  <w:noWrap w:val="0"/>
                  <w:vAlign w:val="center"/>
                </w:tcPr>
                <w:p w14:paraId="21E8E708">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43.0</w:t>
                  </w:r>
                </w:p>
              </w:tc>
              <w:tc>
                <w:tcPr>
                  <w:tcW w:w="0" w:type="auto"/>
                  <w:tcBorders>
                    <w:tl2br w:val="nil"/>
                    <w:tr2bl w:val="nil"/>
                  </w:tcBorders>
                  <w:noWrap w:val="0"/>
                  <w:vAlign w:val="center"/>
                </w:tcPr>
                <w:p w14:paraId="617E1925">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39.5</w:t>
                  </w:r>
                </w:p>
              </w:tc>
              <w:tc>
                <w:tcPr>
                  <w:tcW w:w="0" w:type="auto"/>
                  <w:tcBorders>
                    <w:tl2br w:val="nil"/>
                    <w:tr2bl w:val="nil"/>
                  </w:tcBorders>
                  <w:noWrap w:val="0"/>
                  <w:vAlign w:val="center"/>
                </w:tcPr>
                <w:p w14:paraId="293C4AC0">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37.0</w:t>
                  </w:r>
                </w:p>
              </w:tc>
              <w:tc>
                <w:tcPr>
                  <w:tcW w:w="0" w:type="auto"/>
                  <w:tcBorders>
                    <w:tl2br w:val="nil"/>
                    <w:tr2bl w:val="nil"/>
                  </w:tcBorders>
                  <w:noWrap w:val="0"/>
                  <w:vAlign w:val="center"/>
                </w:tcPr>
                <w:p w14:paraId="73774161">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35.0</w:t>
                  </w:r>
                </w:p>
              </w:tc>
            </w:tr>
            <w:tr w14:paraId="4E81C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0" w:type="auto"/>
                  <w:tcBorders>
                    <w:tl2br w:val="nil"/>
                    <w:tr2bl w:val="nil"/>
                  </w:tcBorders>
                  <w:noWrap w:val="0"/>
                  <w:vAlign w:val="center"/>
                </w:tcPr>
                <w:p w14:paraId="5239C069">
                  <w:pPr>
                    <w:adjustRightInd w:val="0"/>
                    <w:snapToGrid w:val="0"/>
                    <w:spacing w:line="240" w:lineRule="auto"/>
                    <w:jc w:val="center"/>
                    <w:rPr>
                      <w:rFonts w:hint="eastAsia"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吊车、升降机</w:t>
                  </w:r>
                </w:p>
              </w:tc>
              <w:tc>
                <w:tcPr>
                  <w:tcW w:w="0" w:type="auto"/>
                  <w:tcBorders>
                    <w:tl2br w:val="nil"/>
                    <w:tr2bl w:val="nil"/>
                  </w:tcBorders>
                  <w:noWrap w:val="0"/>
                  <w:vAlign w:val="center"/>
                </w:tcPr>
                <w:p w14:paraId="3D551882">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80</w:t>
                  </w:r>
                </w:p>
              </w:tc>
              <w:tc>
                <w:tcPr>
                  <w:tcW w:w="0" w:type="auto"/>
                  <w:tcBorders>
                    <w:tl2br w:val="nil"/>
                    <w:tr2bl w:val="nil"/>
                  </w:tcBorders>
                  <w:noWrap w:val="0"/>
                  <w:vAlign w:val="center"/>
                </w:tcPr>
                <w:p w14:paraId="285A9027">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57.0</w:t>
                  </w:r>
                </w:p>
              </w:tc>
              <w:tc>
                <w:tcPr>
                  <w:tcW w:w="0" w:type="auto"/>
                  <w:tcBorders>
                    <w:tl2br w:val="nil"/>
                    <w:tr2bl w:val="nil"/>
                  </w:tcBorders>
                  <w:noWrap w:val="0"/>
                  <w:vAlign w:val="center"/>
                </w:tcPr>
                <w:p w14:paraId="5C8902A6">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51.0</w:t>
                  </w:r>
                </w:p>
              </w:tc>
              <w:tc>
                <w:tcPr>
                  <w:tcW w:w="0" w:type="auto"/>
                  <w:tcBorders>
                    <w:tl2br w:val="nil"/>
                    <w:tr2bl w:val="nil"/>
                  </w:tcBorders>
                  <w:noWrap w:val="0"/>
                  <w:vAlign w:val="center"/>
                </w:tcPr>
                <w:p w14:paraId="032E323F">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47.4</w:t>
                  </w:r>
                </w:p>
              </w:tc>
              <w:tc>
                <w:tcPr>
                  <w:tcW w:w="0" w:type="auto"/>
                  <w:tcBorders>
                    <w:tl2br w:val="nil"/>
                    <w:tr2bl w:val="nil"/>
                  </w:tcBorders>
                  <w:noWrap w:val="0"/>
                  <w:vAlign w:val="center"/>
                </w:tcPr>
                <w:p w14:paraId="5B45CF75">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44.4</w:t>
                  </w:r>
                </w:p>
              </w:tc>
              <w:tc>
                <w:tcPr>
                  <w:tcW w:w="0" w:type="auto"/>
                  <w:tcBorders>
                    <w:tl2br w:val="nil"/>
                    <w:tr2bl w:val="nil"/>
                  </w:tcBorders>
                  <w:noWrap w:val="0"/>
                  <w:vAlign w:val="center"/>
                </w:tcPr>
                <w:p w14:paraId="72C0BA6F">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43.0</w:t>
                  </w:r>
                </w:p>
              </w:tc>
              <w:tc>
                <w:tcPr>
                  <w:tcW w:w="0" w:type="auto"/>
                  <w:tcBorders>
                    <w:tl2br w:val="nil"/>
                    <w:tr2bl w:val="nil"/>
                  </w:tcBorders>
                  <w:noWrap w:val="0"/>
                  <w:vAlign w:val="center"/>
                </w:tcPr>
                <w:p w14:paraId="587B1797">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39.5</w:t>
                  </w:r>
                </w:p>
              </w:tc>
              <w:tc>
                <w:tcPr>
                  <w:tcW w:w="0" w:type="auto"/>
                  <w:tcBorders>
                    <w:tl2br w:val="nil"/>
                    <w:tr2bl w:val="nil"/>
                  </w:tcBorders>
                  <w:noWrap w:val="0"/>
                  <w:vAlign w:val="center"/>
                </w:tcPr>
                <w:p w14:paraId="7B24C99C">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37.0</w:t>
                  </w:r>
                </w:p>
              </w:tc>
              <w:tc>
                <w:tcPr>
                  <w:tcW w:w="0" w:type="auto"/>
                  <w:tcBorders>
                    <w:tl2br w:val="nil"/>
                    <w:tr2bl w:val="nil"/>
                  </w:tcBorders>
                  <w:noWrap w:val="0"/>
                  <w:vAlign w:val="center"/>
                </w:tcPr>
                <w:p w14:paraId="28C8A44D">
                  <w:p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35.0</w:t>
                  </w:r>
                </w:p>
              </w:tc>
            </w:tr>
          </w:tbl>
          <w:p w14:paraId="48657132">
            <w:pPr>
              <w:adjustRightInd w:val="0"/>
              <w:snapToGrid w:val="0"/>
              <w:spacing w:line="240" w:lineRule="auto"/>
              <w:jc w:val="left"/>
              <w:rPr>
                <w:rFonts w:hint="eastAsia" w:ascii="Times New Roman" w:hAnsi="Times New Roman" w:eastAsia="宋体" w:cs="Times New Roman"/>
                <w:kern w:val="0"/>
                <w:sz w:val="24"/>
                <w:szCs w:val="24"/>
                <w:lang w:val="en-US" w:eastAsia="zh-CN"/>
              </w:rPr>
            </w:pPr>
          </w:p>
          <w:p w14:paraId="36AAE600">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从上表可以看出，对于一般的施工设备，其瞬时噪声在40m范围内超过70dB(A)、100m范围内超出60dB(A)，噪声级较高的施工(如钻孔等)，其瞬时噪声在150m范围内超过60dB(A)、250m范围内超过55dB(A)。一般而言，施个机械是在露天的环境中进行施工，通常的情况下无法进行有效的密闭隔声处理，施工期间作业噪声对周围的影响不可避免。本项目50m范围内没有声环境保护目标，最近的噪声敏感点为项目北面的道城洞，距离项目厂界约430m，因此噪声源在经距离衰减后，对周边的影响很小。</w:t>
            </w:r>
          </w:p>
          <w:p w14:paraId="0D6B147A">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（2）噪声污染防治措施</w:t>
            </w:r>
          </w:p>
          <w:p w14:paraId="2D9DAF38">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影响分析表明，厂区施工期间所产生的噪声将对区域内和附近区域声环境质量产生一定的影响，为了尽量减小厂区建设施工排放噪声对周围可能造成的影响，建设单位和工程施工单位应采取一系列切实可行的措施来防治噪声污染：</w:t>
            </w:r>
          </w:p>
          <w:p w14:paraId="446FAEEC">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①禁止在作息时间(中午或夜间)使用各种打桩机及其他高噪声设备。</w:t>
            </w:r>
          </w:p>
          <w:p w14:paraId="0B9A799E">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②尽量选用低噪声机械设备或带隔声、消声的设备，加强对施工设备的维修保养。</w:t>
            </w:r>
          </w:p>
          <w:p w14:paraId="4622BDB9">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③合理安排好施工时间和施工场所，并对设备定期保养，严格操作规范。必要时在高噪声源周边设置临时隔声屏障，以减少噪声的影响。</w:t>
            </w:r>
          </w:p>
          <w:p w14:paraId="48F9210B">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④在有市电供给的情况下尽量不使用柴油发电机组发电。</w:t>
            </w:r>
          </w:p>
          <w:p w14:paraId="7FB98D6E">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⑤合理安排施工进度和作业时间，加强对施工场地的监督管理，对高噪设备应采取相应的限时作业。</w:t>
            </w:r>
          </w:p>
          <w:p w14:paraId="44F07103">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⑥合理疏导进入施工区的车辆，减少汽车会车时的鸣笛噪声。</w:t>
            </w:r>
          </w:p>
          <w:p w14:paraId="74285277">
            <w:pPr>
              <w:adjustRightInd w:val="0"/>
              <w:snapToGrid w:val="0"/>
              <w:spacing w:line="240" w:lineRule="auto"/>
              <w:jc w:val="left"/>
              <w:rPr>
                <w:rFonts w:hint="eastAsia" w:ascii="Times New Roman" w:hAnsi="Times New Roman" w:eastAsia="宋体" w:cs="Times New Roman"/>
                <w:b w:val="0"/>
                <w:bCs w:val="0"/>
                <w:kern w:val="0"/>
                <w:sz w:val="24"/>
                <w:szCs w:val="24"/>
                <w:lang w:val="en-US" w:eastAsia="zh-CN"/>
              </w:rPr>
            </w:pPr>
          </w:p>
          <w:p w14:paraId="004D08A9">
            <w:pPr>
              <w:adjustRightInd w:val="0"/>
              <w:snapToGrid w:val="0"/>
              <w:spacing w:line="360" w:lineRule="auto"/>
              <w:ind w:firstLine="482" w:firstLineChars="200"/>
              <w:jc w:val="left"/>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4、固体废物环境影响和防治措施</w:t>
            </w:r>
          </w:p>
          <w:p w14:paraId="77698C66">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（1）固体废物的主要影响</w:t>
            </w:r>
          </w:p>
          <w:p w14:paraId="3D5AFE98">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建筑施工废物如碎石、碎砖、砂土和失效的混凝土等，应在施工过程中充分地回收利用，或填坑平整低洼地，或用于铺路，物尽其用。实在用不完的，不能随意丢弃，虽说这部分废物不会污染环境，但是随意丢弃会占领一定的空间或影响景观，应运到指定地点集中处理。</w:t>
            </w:r>
          </w:p>
          <w:p w14:paraId="69930D86">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生活垃圾除一部分本身就有异味或恶臭外，还有很大部分会在微生物和细菌的作用下发生腐烂，发出恶臭，成为蚊蝇滋生、病菌繁衍、鼠类</w:t>
            </w:r>
            <w:r>
              <w:rPr>
                <w:rFonts w:hint="eastAsia" w:cs="Times New Roman"/>
                <w:kern w:val="0"/>
                <w:sz w:val="24"/>
                <w:szCs w:val="24"/>
                <w:lang w:val="en-US" w:eastAsia="zh-CN"/>
              </w:rPr>
              <w:t>肆虐</w:t>
            </w:r>
            <w:r>
              <w:rPr>
                <w:rFonts w:hint="eastAsia" w:ascii="Times New Roman" w:hAnsi="Times New Roman" w:eastAsia="宋体" w:cs="Times New Roman"/>
                <w:kern w:val="0"/>
                <w:sz w:val="24"/>
                <w:szCs w:val="24"/>
                <w:lang w:val="en-US" w:eastAsia="zh-CN"/>
              </w:rPr>
              <w:t>的场所，是引发流行性疾病的重要发生源。因此若对生活垃圾疏于管理或不及时收运，而任其随意丢失或堆积，将对周围环境造成严重污染。对于生活垃圾应做到每天清运。</w:t>
            </w:r>
          </w:p>
          <w:p w14:paraId="158D6976">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（2）固体废物处理处置措施</w:t>
            </w:r>
          </w:p>
          <w:p w14:paraId="0ED1EBE6">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为减少厂区施工期间弃土在堆放和运输过程中对环境的影响，建议采取如下措施：</w:t>
            </w:r>
          </w:p>
          <w:p w14:paraId="01C3CC96">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①施工单位必须按规定办理余泥渣土排放的手续，获得批准后方可在指定的受纳地点弃土。</w:t>
            </w:r>
          </w:p>
          <w:p w14:paraId="67B2A78D">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②车辆运输散体物料和废物时，必须密闭、包扎、覆盖，不得沿途漏撒；运载土方的车辆必须在规定的时间内，按指定路段行驶。</w:t>
            </w:r>
          </w:p>
          <w:p w14:paraId="3D19348D">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③选择弃土场不应占用农田，也不要靠近江河和水库。弃土场应选择具有完善水土防护的场所。</w:t>
            </w:r>
          </w:p>
          <w:p w14:paraId="7250FABF">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④施工人员生活垃圾应加强管理，严禁乱扔乱放，交由环卫部门定期清运。</w:t>
            </w:r>
          </w:p>
          <w:p w14:paraId="261E08F3">
            <w:pPr>
              <w:adjustRightInd w:val="0"/>
              <w:snapToGrid w:val="0"/>
              <w:spacing w:line="240" w:lineRule="auto"/>
              <w:jc w:val="left"/>
              <w:rPr>
                <w:rFonts w:hint="eastAsia" w:ascii="Times New Roman" w:hAnsi="Times New Roman" w:eastAsia="宋体" w:cs="Times New Roman"/>
                <w:b w:val="0"/>
                <w:bCs w:val="0"/>
                <w:kern w:val="0"/>
                <w:sz w:val="24"/>
                <w:szCs w:val="24"/>
                <w:lang w:val="en-US" w:eastAsia="zh-CN"/>
              </w:rPr>
            </w:pPr>
          </w:p>
          <w:p w14:paraId="33981052">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5、地下水环境影响及防治措施</w:t>
            </w:r>
          </w:p>
          <w:p w14:paraId="6EB450F0">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（1）地下水污染源分析</w:t>
            </w:r>
          </w:p>
          <w:p w14:paraId="36D03D58">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施工期可能造成地下水污染的污染源包括：</w:t>
            </w:r>
          </w:p>
          <w:p w14:paraId="323DBF9C">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①施工废水，特别是车辆冲洗废水，含有大量的泥沙，处理不当，有可能污染地下水；</w:t>
            </w:r>
          </w:p>
          <w:p w14:paraId="28EE1C2C">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②施工产生的余泥、建筑垃圾等随意堆放，降雨时随雨水浸入到地下，造成地下水污染；</w:t>
            </w:r>
          </w:p>
          <w:p w14:paraId="36878526">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③施工过程中机械维修产生的废油滴漏到地面，下渗到土壤中，有可能造成地下水污染。</w:t>
            </w:r>
          </w:p>
          <w:p w14:paraId="2978FB6C">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（2）地下水污染防治措施</w:t>
            </w:r>
          </w:p>
          <w:p w14:paraId="72361560">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针对施工期可能造成的地下水环境影响，应该采取以下措施，减少或者避免对地下水造成的影响，包括：</w:t>
            </w:r>
          </w:p>
          <w:p w14:paraId="5AA895E6">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①车辆冲洗在地面进行混泥土硬化，产生的废水汇集到沉淀池沉淀，并且沉淀后回用，减少污水产生量，同时采用混凝土对沉淀池内壁及底面进行硬化，及时清运沉淀池内的泥沙；</w:t>
            </w:r>
          </w:p>
          <w:p w14:paraId="2A23866F">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②施工产生的废土石为一般工业固体废物，即便受到雨水淋溶，产生的污染物也主要是ss为主，需要严格落实水土保持措施，降低ss的浓度。另外，及时对建筑垃圾及生活垃圾进行清运，避免其成为污染源，产生地下水污染。</w:t>
            </w:r>
          </w:p>
          <w:p w14:paraId="02434FD7">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③车辆维修点地面进行硬化，滴漏在地面的油污及时进行清理，加强机械设备维护，减少设备在施工过程中油污的滴漏，加强施工期环保巡查，发现地面有油污斑迹时，及时清理油污及受污染的土壤。</w:t>
            </w:r>
          </w:p>
          <w:p w14:paraId="15543801">
            <w:pPr>
              <w:adjustRightInd w:val="0"/>
              <w:snapToGrid w:val="0"/>
              <w:spacing w:line="360" w:lineRule="auto"/>
              <w:ind w:firstLine="480" w:firstLineChars="200"/>
              <w:jc w:val="left"/>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④必须保持开挖土层的原状结构，尽量縮短基底暴露时间。</w:t>
            </w:r>
          </w:p>
          <w:p w14:paraId="1CBAE871">
            <w:pPr>
              <w:adjustRightInd w:val="0"/>
              <w:snapToGrid w:val="0"/>
              <w:spacing w:line="240" w:lineRule="auto"/>
              <w:jc w:val="left"/>
              <w:rPr>
                <w:rFonts w:hint="eastAsia" w:ascii="Times New Roman" w:hAnsi="Times New Roman" w:eastAsia="宋体" w:cs="Times New Roman"/>
                <w:b w:val="0"/>
                <w:bCs w:val="0"/>
                <w:kern w:val="0"/>
                <w:sz w:val="24"/>
                <w:szCs w:val="24"/>
                <w:lang w:val="en-US" w:eastAsia="zh-CN"/>
              </w:rPr>
            </w:pPr>
          </w:p>
          <w:p w14:paraId="5B1B3F4D">
            <w:pPr>
              <w:adjustRightInd w:val="0"/>
              <w:snapToGrid w:val="0"/>
              <w:spacing w:line="360" w:lineRule="auto"/>
              <w:ind w:firstLine="482" w:firstLineChars="200"/>
              <w:jc w:val="left"/>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6、生态环境影响</w:t>
            </w:r>
          </w:p>
          <w:p w14:paraId="30712287">
            <w:pPr>
              <w:adjustRightInd w:val="0"/>
              <w:snapToGrid w:val="0"/>
              <w:ind w:firstLine="480" w:firstLineChars="20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kern w:val="0"/>
                <w:sz w:val="24"/>
                <w:szCs w:val="24"/>
                <w:lang w:val="en-US" w:eastAsia="zh-CN"/>
              </w:rPr>
              <w:t>本项目建设位于已完成土地平整的云浮循环经济工业园化工专区内，因此本项目的施工建设对当地及工业园外远处的山林的陆生植被、陆生动物、土壤和景观基本无影响。</w:t>
            </w:r>
          </w:p>
          <w:p w14:paraId="30921DD9">
            <w:pPr>
              <w:adjustRightInd w:val="0"/>
              <w:snapToGrid w:val="0"/>
              <w:ind w:firstLine="480" w:firstLineChars="200"/>
              <w:jc w:val="left"/>
            </w:pPr>
          </w:p>
          <w:p w14:paraId="66C73690">
            <w:pPr>
              <w:adjustRightInd w:val="0"/>
              <w:snapToGrid w:val="0"/>
              <w:ind w:firstLine="480" w:firstLineChars="200"/>
              <w:jc w:val="left"/>
            </w:pPr>
          </w:p>
        </w:tc>
      </w:tr>
    </w:tbl>
    <w:p w14:paraId="527EBB66">
      <w:pPr>
        <w:tabs>
          <w:tab w:val="left" w:pos="516"/>
        </w:tabs>
        <w:adjustRightInd w:val="0"/>
        <w:snapToGrid w:val="0"/>
        <w:ind w:firstLine="480" w:firstLineChars="200"/>
        <w:rPr>
          <w:rFonts w:ascii="宋体" w:hAnsi="宋体" w:cs="宋体"/>
          <w:kern w:val="0"/>
          <w:szCs w:val="21"/>
        </w:rPr>
        <w:sectPr>
          <w:pgSz w:w="11907" w:h="16840"/>
          <w:pgMar w:top="1247" w:right="1531" w:bottom="1247" w:left="1531" w:header="851" w:footer="737"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kern w:val="0"/>
          <w:szCs w:val="21"/>
        </w:rPr>
        <w:tab/>
      </w:r>
    </w:p>
    <w:tbl>
      <w:tblPr>
        <w:tblStyle w:val="11"/>
        <w:tblW w:w="155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5090"/>
      </w:tblGrid>
      <w:tr w14:paraId="12D62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6" w:hRule="atLeast"/>
          <w:jc w:val="center"/>
        </w:trPr>
        <w:tc>
          <w:tcPr>
            <w:tcW w:w="419" w:type="dxa"/>
            <w:tcMar>
              <w:left w:w="28" w:type="dxa"/>
              <w:right w:w="28" w:type="dxa"/>
            </w:tcMar>
            <w:vAlign w:val="center"/>
          </w:tcPr>
          <w:p w14:paraId="692E1E26">
            <w:pPr>
              <w:adjustRightInd w:val="0"/>
              <w:snapToGrid w:val="0"/>
              <w:spacing w:line="240" w:lineRule="auto"/>
              <w:jc w:val="center"/>
              <w:rPr>
                <w:rFonts w:cs="宋体"/>
              </w:rPr>
            </w:pPr>
            <w:r>
              <w:rPr>
                <w:rFonts w:hint="eastAsia" w:cs="宋体"/>
              </w:rPr>
              <w:t>运营</w:t>
            </w:r>
          </w:p>
          <w:p w14:paraId="26EAFD6A">
            <w:pPr>
              <w:adjustRightInd w:val="0"/>
              <w:snapToGrid w:val="0"/>
              <w:spacing w:line="240" w:lineRule="auto"/>
              <w:jc w:val="center"/>
              <w:rPr>
                <w:rFonts w:cs="宋体"/>
              </w:rPr>
            </w:pPr>
            <w:r>
              <w:rPr>
                <w:rFonts w:hint="eastAsia" w:cs="宋体"/>
              </w:rPr>
              <w:t>期环</w:t>
            </w:r>
          </w:p>
          <w:p w14:paraId="79C5DC48">
            <w:pPr>
              <w:adjustRightInd w:val="0"/>
              <w:snapToGrid w:val="0"/>
              <w:spacing w:line="240" w:lineRule="auto"/>
              <w:jc w:val="center"/>
              <w:rPr>
                <w:rFonts w:cs="宋体"/>
              </w:rPr>
            </w:pPr>
            <w:r>
              <w:rPr>
                <w:rFonts w:hint="eastAsia" w:cs="宋体"/>
              </w:rPr>
              <w:t>境影</w:t>
            </w:r>
          </w:p>
          <w:p w14:paraId="6AB1D41A">
            <w:pPr>
              <w:adjustRightInd w:val="0"/>
              <w:snapToGrid w:val="0"/>
              <w:spacing w:line="240" w:lineRule="auto"/>
              <w:jc w:val="center"/>
              <w:rPr>
                <w:rFonts w:cs="宋体"/>
              </w:rPr>
            </w:pPr>
            <w:r>
              <w:rPr>
                <w:rFonts w:hint="eastAsia" w:cs="宋体"/>
              </w:rPr>
              <w:t>响和</w:t>
            </w:r>
          </w:p>
          <w:p w14:paraId="2D315688">
            <w:pPr>
              <w:adjustRightInd w:val="0"/>
              <w:snapToGrid w:val="0"/>
              <w:spacing w:line="240" w:lineRule="auto"/>
              <w:jc w:val="center"/>
              <w:rPr>
                <w:rFonts w:cs="宋体"/>
              </w:rPr>
            </w:pPr>
            <w:r>
              <w:rPr>
                <w:rFonts w:hint="eastAsia" w:cs="宋体"/>
              </w:rPr>
              <w:t>保护</w:t>
            </w:r>
          </w:p>
          <w:p w14:paraId="716AE74E">
            <w:pPr>
              <w:adjustRightInd w:val="0"/>
              <w:snapToGrid w:val="0"/>
              <w:spacing w:line="240" w:lineRule="auto"/>
              <w:jc w:val="center"/>
              <w:rPr>
                <w:rFonts w:cs="宋体"/>
              </w:rPr>
            </w:pPr>
            <w:r>
              <w:rPr>
                <w:rFonts w:hint="eastAsia" w:cs="宋体"/>
              </w:rPr>
              <w:t>措施</w:t>
            </w:r>
          </w:p>
        </w:tc>
        <w:tc>
          <w:tcPr>
            <w:tcW w:w="15090" w:type="dxa"/>
            <w:vAlign w:val="center"/>
          </w:tcPr>
          <w:p w14:paraId="2852D412">
            <w:pPr>
              <w:keepNext/>
              <w:keepLines/>
              <w:adjustRightInd w:val="0"/>
              <w:snapToGrid w:val="0"/>
              <w:outlineLvl w:val="1"/>
              <w:rPr>
                <w:b/>
                <w:sz w:val="32"/>
              </w:rPr>
            </w:pPr>
            <w:r>
              <w:rPr>
                <w:b/>
                <w:sz w:val="32"/>
              </w:rPr>
              <w:t>运营期工程分析：</w:t>
            </w:r>
          </w:p>
          <w:p w14:paraId="2D97752F">
            <w:pPr>
              <w:ind w:firstLine="482" w:firstLineChars="200"/>
              <w:rPr>
                <w:b/>
                <w:bCs/>
              </w:rPr>
            </w:pPr>
            <w:r>
              <w:rPr>
                <w:b/>
                <w:bCs/>
              </w:rPr>
              <w:t>一</w:t>
            </w:r>
            <w:r>
              <w:rPr>
                <w:rFonts w:hint="eastAsia"/>
                <w:b/>
                <w:bCs/>
              </w:rPr>
              <w:t>、</w:t>
            </w:r>
            <w:r>
              <w:rPr>
                <w:b/>
                <w:bCs/>
              </w:rPr>
              <w:t>废气</w:t>
            </w:r>
          </w:p>
          <w:p w14:paraId="1B80BEA0">
            <w:pPr>
              <w:adjustRightInd w:val="0"/>
              <w:snapToGrid w:val="0"/>
              <w:ind w:firstLine="480" w:firstLineChars="200"/>
            </w:pPr>
            <w:r>
              <w:t>1</w:t>
            </w:r>
            <w:r>
              <w:rPr>
                <w:rFonts w:hint="eastAsia"/>
              </w:rPr>
              <w:t>、</w:t>
            </w:r>
            <w:r>
              <w:t>产排污环节、污染物及污染治理设施</w:t>
            </w:r>
          </w:p>
          <w:p w14:paraId="75E83E88">
            <w:pPr>
              <w:adjustRightInd w:val="0"/>
              <w:snapToGrid w:val="0"/>
              <w:ind w:firstLine="480" w:firstLineChars="200"/>
            </w:pPr>
            <w:r>
              <w:rPr>
                <w:rFonts w:hint="eastAsia"/>
              </w:rPr>
              <w:t>项目运营期排放的废气主要来源于</w:t>
            </w:r>
            <w:r>
              <w:rPr>
                <w:rFonts w:hint="eastAsia"/>
                <w:lang w:eastAsia="zh-CN"/>
              </w:rPr>
              <w:t>两</w:t>
            </w:r>
            <w:r>
              <w:rPr>
                <w:rFonts w:hint="eastAsia"/>
              </w:rPr>
              <w:t>个方面：一是储罐的大小呼吸废气；二是装卸车结束拆管时，输送管路接口、阀门等跑冒滴漏的氨气</w:t>
            </w:r>
            <w:r>
              <w:rPr>
                <w:rFonts w:hint="eastAsia"/>
                <w:lang w:eastAsia="zh-CN"/>
              </w:rPr>
              <w:t>。</w:t>
            </w:r>
            <w:r>
              <w:t>项目的产排污节点、污染物及污染治理设施情况详见下表：</w:t>
            </w:r>
          </w:p>
          <w:p w14:paraId="4948242D">
            <w:pPr>
              <w:autoSpaceDE w:val="0"/>
              <w:autoSpaceDN w:val="0"/>
              <w:adjustRightInd w:val="0"/>
              <w:snapToGrid w:val="0"/>
              <w:spacing w:line="240" w:lineRule="auto"/>
              <w:jc w:val="center"/>
              <w:textAlignment w:val="baseline"/>
              <w:rPr>
                <w:b/>
                <w:kern w:val="24"/>
                <w:szCs w:val="20"/>
              </w:rPr>
            </w:pPr>
            <w:r>
              <w:rPr>
                <w:b/>
                <w:kern w:val="24"/>
                <w:szCs w:val="20"/>
              </w:rPr>
              <w:t>表4-</w:t>
            </w:r>
            <w:r>
              <w:rPr>
                <w:rFonts w:hint="eastAsia"/>
                <w:b/>
                <w:kern w:val="24"/>
                <w:szCs w:val="20"/>
                <w:lang w:val="en-US" w:eastAsia="zh-CN"/>
              </w:rPr>
              <w:t>2</w:t>
            </w:r>
            <w:r>
              <w:rPr>
                <w:rFonts w:hint="eastAsia"/>
                <w:b/>
                <w:kern w:val="24"/>
                <w:szCs w:val="20"/>
              </w:rPr>
              <w:t xml:space="preserve"> </w:t>
            </w:r>
            <w:r>
              <w:rPr>
                <w:b/>
                <w:kern w:val="24"/>
                <w:szCs w:val="20"/>
              </w:rPr>
              <w:t>项目废气产排污节点、污染物及污染治理设施情况一览表</w:t>
            </w:r>
          </w:p>
          <w:tbl>
            <w:tblPr>
              <w:tblStyle w:val="11"/>
              <w:tblW w:w="146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28" w:type="dxa"/>
                <w:left w:w="57" w:type="dxa"/>
                <w:bottom w:w="28" w:type="dxa"/>
                <w:right w:w="57" w:type="dxa"/>
              </w:tblCellMar>
            </w:tblPr>
            <w:tblGrid>
              <w:gridCol w:w="435"/>
              <w:gridCol w:w="1222"/>
              <w:gridCol w:w="1339"/>
              <w:gridCol w:w="1293"/>
              <w:gridCol w:w="815"/>
              <w:gridCol w:w="1080"/>
              <w:gridCol w:w="1210"/>
              <w:gridCol w:w="1017"/>
              <w:gridCol w:w="1007"/>
              <w:gridCol w:w="998"/>
              <w:gridCol w:w="806"/>
              <w:gridCol w:w="996"/>
              <w:gridCol w:w="806"/>
              <w:gridCol w:w="809"/>
              <w:gridCol w:w="854"/>
            </w:tblGrid>
            <w:tr w14:paraId="0DC22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142" w:hRule="atLeast"/>
                <w:jc w:val="center"/>
              </w:trPr>
              <w:tc>
                <w:tcPr>
                  <w:tcW w:w="435" w:type="dxa"/>
                  <w:vMerge w:val="restart"/>
                  <w:tcBorders>
                    <w:tl2br w:val="nil"/>
                    <w:tr2bl w:val="nil"/>
                  </w:tcBorders>
                  <w:shd w:val="clear" w:color="auto" w:fill="FFFFFF"/>
                  <w:vAlign w:val="center"/>
                </w:tcPr>
                <w:p w14:paraId="284CAD4C">
                  <w:pPr>
                    <w:adjustRightInd w:val="0"/>
                    <w:snapToGrid w:val="0"/>
                    <w:spacing w:line="240" w:lineRule="auto"/>
                    <w:jc w:val="center"/>
                    <w:rPr>
                      <w:b/>
                      <w:bCs/>
                      <w:sz w:val="21"/>
                    </w:rPr>
                  </w:pPr>
                  <w:r>
                    <w:rPr>
                      <w:b/>
                      <w:bCs/>
                      <w:sz w:val="21"/>
                    </w:rPr>
                    <w:t>序号</w:t>
                  </w:r>
                </w:p>
              </w:tc>
              <w:tc>
                <w:tcPr>
                  <w:tcW w:w="1222" w:type="dxa"/>
                  <w:vMerge w:val="restart"/>
                  <w:tcBorders>
                    <w:tl2br w:val="nil"/>
                    <w:tr2bl w:val="nil"/>
                  </w:tcBorders>
                  <w:shd w:val="clear" w:color="auto" w:fill="FFFFFF"/>
                  <w:vAlign w:val="center"/>
                </w:tcPr>
                <w:p w14:paraId="08DAF53A">
                  <w:pPr>
                    <w:adjustRightInd w:val="0"/>
                    <w:snapToGrid w:val="0"/>
                    <w:spacing w:line="240" w:lineRule="auto"/>
                    <w:jc w:val="center"/>
                    <w:rPr>
                      <w:b/>
                      <w:bCs/>
                      <w:sz w:val="21"/>
                    </w:rPr>
                  </w:pPr>
                  <w:r>
                    <w:rPr>
                      <w:b/>
                      <w:bCs/>
                      <w:sz w:val="21"/>
                    </w:rPr>
                    <w:t>产污设施名称</w:t>
                  </w:r>
                </w:p>
              </w:tc>
              <w:tc>
                <w:tcPr>
                  <w:tcW w:w="1339" w:type="dxa"/>
                  <w:vMerge w:val="restart"/>
                  <w:tcBorders>
                    <w:tl2br w:val="nil"/>
                    <w:tr2bl w:val="nil"/>
                  </w:tcBorders>
                  <w:shd w:val="clear" w:color="auto" w:fill="FFFFFF"/>
                  <w:vAlign w:val="center"/>
                </w:tcPr>
                <w:p w14:paraId="254C8496">
                  <w:pPr>
                    <w:adjustRightInd w:val="0"/>
                    <w:snapToGrid w:val="0"/>
                    <w:spacing w:line="240" w:lineRule="auto"/>
                    <w:jc w:val="center"/>
                    <w:rPr>
                      <w:b/>
                      <w:bCs/>
                      <w:sz w:val="21"/>
                    </w:rPr>
                  </w:pPr>
                  <w:r>
                    <w:rPr>
                      <w:b/>
                      <w:bCs/>
                      <w:sz w:val="21"/>
                    </w:rPr>
                    <w:t>对应产污环节名称</w:t>
                  </w:r>
                </w:p>
              </w:tc>
              <w:tc>
                <w:tcPr>
                  <w:tcW w:w="1293" w:type="dxa"/>
                  <w:vMerge w:val="restart"/>
                  <w:tcBorders>
                    <w:tl2br w:val="nil"/>
                    <w:tr2bl w:val="nil"/>
                  </w:tcBorders>
                  <w:shd w:val="clear" w:color="auto" w:fill="FFFFFF"/>
                  <w:vAlign w:val="center"/>
                </w:tcPr>
                <w:p w14:paraId="66187817">
                  <w:pPr>
                    <w:adjustRightInd w:val="0"/>
                    <w:snapToGrid w:val="0"/>
                    <w:spacing w:line="240" w:lineRule="auto"/>
                    <w:jc w:val="center"/>
                    <w:rPr>
                      <w:b/>
                      <w:bCs/>
                      <w:sz w:val="21"/>
                    </w:rPr>
                  </w:pPr>
                  <w:r>
                    <w:rPr>
                      <w:b/>
                      <w:bCs/>
                      <w:sz w:val="21"/>
                    </w:rPr>
                    <w:t>污染物种类</w:t>
                  </w:r>
                </w:p>
              </w:tc>
              <w:tc>
                <w:tcPr>
                  <w:tcW w:w="815" w:type="dxa"/>
                  <w:vMerge w:val="restart"/>
                  <w:tcBorders>
                    <w:tl2br w:val="nil"/>
                    <w:tr2bl w:val="nil"/>
                  </w:tcBorders>
                  <w:shd w:val="clear" w:color="auto" w:fill="FFFFFF"/>
                  <w:vAlign w:val="center"/>
                </w:tcPr>
                <w:p w14:paraId="6FD24AEB">
                  <w:pPr>
                    <w:adjustRightInd w:val="0"/>
                    <w:snapToGrid w:val="0"/>
                    <w:spacing w:line="240" w:lineRule="auto"/>
                    <w:jc w:val="center"/>
                    <w:rPr>
                      <w:b/>
                      <w:bCs/>
                      <w:sz w:val="21"/>
                    </w:rPr>
                  </w:pPr>
                  <w:r>
                    <w:rPr>
                      <w:b/>
                      <w:bCs/>
                      <w:sz w:val="21"/>
                    </w:rPr>
                    <w:t>排放形式</w:t>
                  </w:r>
                </w:p>
              </w:tc>
              <w:tc>
                <w:tcPr>
                  <w:tcW w:w="5312" w:type="dxa"/>
                  <w:gridSpan w:val="5"/>
                  <w:tcBorders>
                    <w:tl2br w:val="nil"/>
                    <w:tr2bl w:val="nil"/>
                  </w:tcBorders>
                  <w:shd w:val="clear" w:color="auto" w:fill="FFFFFF"/>
                  <w:vAlign w:val="center"/>
                </w:tcPr>
                <w:p w14:paraId="2A66EE73">
                  <w:pPr>
                    <w:adjustRightInd w:val="0"/>
                    <w:snapToGrid w:val="0"/>
                    <w:spacing w:line="240" w:lineRule="auto"/>
                    <w:jc w:val="center"/>
                    <w:rPr>
                      <w:b/>
                      <w:bCs/>
                      <w:sz w:val="21"/>
                    </w:rPr>
                  </w:pPr>
                  <w:r>
                    <w:rPr>
                      <w:b/>
                      <w:bCs/>
                      <w:sz w:val="21"/>
                    </w:rPr>
                    <w:t>污染防治设施</w:t>
                  </w:r>
                </w:p>
              </w:tc>
              <w:tc>
                <w:tcPr>
                  <w:tcW w:w="806" w:type="dxa"/>
                  <w:vMerge w:val="restart"/>
                  <w:tcBorders>
                    <w:tl2br w:val="nil"/>
                    <w:tr2bl w:val="nil"/>
                  </w:tcBorders>
                  <w:shd w:val="clear" w:color="auto" w:fill="FFFFFF"/>
                  <w:vAlign w:val="center"/>
                </w:tcPr>
                <w:p w14:paraId="01A3AFE3">
                  <w:pPr>
                    <w:adjustRightInd w:val="0"/>
                    <w:snapToGrid w:val="0"/>
                    <w:spacing w:line="240" w:lineRule="auto"/>
                    <w:jc w:val="center"/>
                    <w:rPr>
                      <w:b/>
                      <w:bCs/>
                      <w:sz w:val="21"/>
                    </w:rPr>
                  </w:pPr>
                  <w:r>
                    <w:rPr>
                      <w:b/>
                      <w:bCs/>
                      <w:sz w:val="21"/>
                    </w:rPr>
                    <w:t>有组织排放口编号</w:t>
                  </w:r>
                </w:p>
              </w:tc>
              <w:tc>
                <w:tcPr>
                  <w:tcW w:w="996" w:type="dxa"/>
                  <w:vMerge w:val="restart"/>
                  <w:tcBorders>
                    <w:tl2br w:val="nil"/>
                    <w:tr2bl w:val="nil"/>
                  </w:tcBorders>
                  <w:shd w:val="clear" w:color="auto" w:fill="FFFFFF"/>
                  <w:vAlign w:val="center"/>
                </w:tcPr>
                <w:p w14:paraId="4A3BC0CE">
                  <w:pPr>
                    <w:adjustRightInd w:val="0"/>
                    <w:snapToGrid w:val="0"/>
                    <w:spacing w:line="240" w:lineRule="auto"/>
                    <w:jc w:val="center"/>
                    <w:rPr>
                      <w:b/>
                      <w:bCs/>
                      <w:sz w:val="21"/>
                    </w:rPr>
                  </w:pPr>
                  <w:r>
                    <w:rPr>
                      <w:b/>
                      <w:bCs/>
                      <w:sz w:val="21"/>
                    </w:rPr>
                    <w:t>有组织排放口名称</w:t>
                  </w:r>
                </w:p>
              </w:tc>
              <w:tc>
                <w:tcPr>
                  <w:tcW w:w="806" w:type="dxa"/>
                  <w:vMerge w:val="restart"/>
                  <w:tcBorders>
                    <w:tl2br w:val="nil"/>
                    <w:tr2bl w:val="nil"/>
                  </w:tcBorders>
                  <w:shd w:val="clear" w:color="auto" w:fill="FFFFFF"/>
                  <w:vAlign w:val="center"/>
                </w:tcPr>
                <w:p w14:paraId="0135E003">
                  <w:pPr>
                    <w:adjustRightInd w:val="0"/>
                    <w:snapToGrid w:val="0"/>
                    <w:spacing w:line="240" w:lineRule="auto"/>
                    <w:jc w:val="center"/>
                    <w:rPr>
                      <w:b/>
                      <w:bCs/>
                      <w:sz w:val="21"/>
                    </w:rPr>
                  </w:pPr>
                  <w:r>
                    <w:rPr>
                      <w:b/>
                      <w:bCs/>
                      <w:sz w:val="21"/>
                    </w:rPr>
                    <w:t>排放口设置是否符合要求</w:t>
                  </w:r>
                </w:p>
              </w:tc>
              <w:tc>
                <w:tcPr>
                  <w:tcW w:w="809" w:type="dxa"/>
                  <w:vMerge w:val="restart"/>
                  <w:tcBorders>
                    <w:tl2br w:val="nil"/>
                    <w:tr2bl w:val="nil"/>
                  </w:tcBorders>
                  <w:shd w:val="clear" w:color="auto" w:fill="FFFFFF"/>
                  <w:vAlign w:val="center"/>
                </w:tcPr>
                <w:p w14:paraId="2DAFC3E1">
                  <w:pPr>
                    <w:adjustRightInd w:val="0"/>
                    <w:snapToGrid w:val="0"/>
                    <w:spacing w:line="240" w:lineRule="auto"/>
                    <w:jc w:val="center"/>
                    <w:rPr>
                      <w:b/>
                      <w:bCs/>
                      <w:sz w:val="21"/>
                    </w:rPr>
                  </w:pPr>
                  <w:r>
                    <w:rPr>
                      <w:b/>
                      <w:bCs/>
                      <w:sz w:val="21"/>
                    </w:rPr>
                    <w:t>排放口类型</w:t>
                  </w:r>
                </w:p>
              </w:tc>
              <w:tc>
                <w:tcPr>
                  <w:tcW w:w="854" w:type="dxa"/>
                  <w:vMerge w:val="restart"/>
                  <w:tcBorders>
                    <w:tl2br w:val="nil"/>
                    <w:tr2bl w:val="nil"/>
                  </w:tcBorders>
                  <w:shd w:val="clear" w:color="auto" w:fill="FFFFFF"/>
                  <w:vAlign w:val="center"/>
                </w:tcPr>
                <w:p w14:paraId="14BE0C76">
                  <w:pPr>
                    <w:adjustRightInd w:val="0"/>
                    <w:snapToGrid w:val="0"/>
                    <w:spacing w:line="240" w:lineRule="auto"/>
                    <w:jc w:val="center"/>
                    <w:rPr>
                      <w:b/>
                      <w:bCs/>
                      <w:sz w:val="21"/>
                    </w:rPr>
                  </w:pPr>
                  <w:r>
                    <w:rPr>
                      <w:b/>
                      <w:bCs/>
                      <w:sz w:val="21"/>
                    </w:rPr>
                    <w:t>其他信息</w:t>
                  </w:r>
                </w:p>
              </w:tc>
            </w:tr>
            <w:tr w14:paraId="47A4E6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360" w:hRule="atLeast"/>
                <w:jc w:val="center"/>
              </w:trPr>
              <w:tc>
                <w:tcPr>
                  <w:tcW w:w="435" w:type="dxa"/>
                  <w:vMerge w:val="continue"/>
                  <w:tcBorders>
                    <w:tl2br w:val="nil"/>
                    <w:tr2bl w:val="nil"/>
                  </w:tcBorders>
                  <w:shd w:val="clear" w:color="auto" w:fill="FFFFFF"/>
                  <w:vAlign w:val="center"/>
                </w:tcPr>
                <w:p w14:paraId="26926ACD">
                  <w:pPr>
                    <w:adjustRightInd w:val="0"/>
                    <w:snapToGrid w:val="0"/>
                    <w:spacing w:line="240" w:lineRule="auto"/>
                    <w:jc w:val="center"/>
                    <w:rPr>
                      <w:b/>
                      <w:bCs/>
                      <w:sz w:val="21"/>
                    </w:rPr>
                  </w:pPr>
                </w:p>
              </w:tc>
              <w:tc>
                <w:tcPr>
                  <w:tcW w:w="1222" w:type="dxa"/>
                  <w:vMerge w:val="continue"/>
                  <w:tcBorders>
                    <w:tl2br w:val="nil"/>
                    <w:tr2bl w:val="nil"/>
                  </w:tcBorders>
                  <w:shd w:val="clear" w:color="auto" w:fill="FFFFFF"/>
                  <w:vAlign w:val="center"/>
                </w:tcPr>
                <w:p w14:paraId="46B53A79">
                  <w:pPr>
                    <w:adjustRightInd w:val="0"/>
                    <w:snapToGrid w:val="0"/>
                    <w:spacing w:line="240" w:lineRule="auto"/>
                    <w:jc w:val="center"/>
                    <w:rPr>
                      <w:b/>
                      <w:bCs/>
                      <w:sz w:val="21"/>
                    </w:rPr>
                  </w:pPr>
                </w:p>
              </w:tc>
              <w:tc>
                <w:tcPr>
                  <w:tcW w:w="1339" w:type="dxa"/>
                  <w:vMerge w:val="continue"/>
                  <w:tcBorders>
                    <w:tl2br w:val="nil"/>
                    <w:tr2bl w:val="nil"/>
                  </w:tcBorders>
                  <w:shd w:val="clear" w:color="auto" w:fill="FFFFFF"/>
                  <w:vAlign w:val="center"/>
                </w:tcPr>
                <w:p w14:paraId="3C9BC1B6">
                  <w:pPr>
                    <w:adjustRightInd w:val="0"/>
                    <w:snapToGrid w:val="0"/>
                    <w:spacing w:line="240" w:lineRule="auto"/>
                    <w:jc w:val="center"/>
                    <w:rPr>
                      <w:b/>
                      <w:bCs/>
                      <w:sz w:val="21"/>
                    </w:rPr>
                  </w:pPr>
                </w:p>
              </w:tc>
              <w:tc>
                <w:tcPr>
                  <w:tcW w:w="1293" w:type="dxa"/>
                  <w:vMerge w:val="continue"/>
                  <w:tcBorders>
                    <w:tl2br w:val="nil"/>
                    <w:tr2bl w:val="nil"/>
                  </w:tcBorders>
                  <w:shd w:val="clear" w:color="auto" w:fill="FFFFFF"/>
                  <w:vAlign w:val="center"/>
                </w:tcPr>
                <w:p w14:paraId="386A5382">
                  <w:pPr>
                    <w:adjustRightInd w:val="0"/>
                    <w:snapToGrid w:val="0"/>
                    <w:spacing w:line="240" w:lineRule="auto"/>
                    <w:jc w:val="center"/>
                    <w:rPr>
                      <w:b/>
                      <w:bCs/>
                      <w:sz w:val="21"/>
                    </w:rPr>
                  </w:pPr>
                </w:p>
              </w:tc>
              <w:tc>
                <w:tcPr>
                  <w:tcW w:w="815" w:type="dxa"/>
                  <w:vMerge w:val="continue"/>
                  <w:tcBorders>
                    <w:tl2br w:val="nil"/>
                    <w:tr2bl w:val="nil"/>
                  </w:tcBorders>
                  <w:shd w:val="clear" w:color="auto" w:fill="FFFFFF"/>
                  <w:vAlign w:val="center"/>
                </w:tcPr>
                <w:p w14:paraId="2AF83B65">
                  <w:pPr>
                    <w:adjustRightInd w:val="0"/>
                    <w:snapToGrid w:val="0"/>
                    <w:spacing w:line="240" w:lineRule="auto"/>
                    <w:jc w:val="center"/>
                    <w:rPr>
                      <w:b/>
                      <w:bCs/>
                      <w:sz w:val="21"/>
                    </w:rPr>
                  </w:pPr>
                </w:p>
              </w:tc>
              <w:tc>
                <w:tcPr>
                  <w:tcW w:w="1080" w:type="dxa"/>
                  <w:tcBorders>
                    <w:tl2br w:val="nil"/>
                    <w:tr2bl w:val="nil"/>
                  </w:tcBorders>
                  <w:shd w:val="clear" w:color="auto" w:fill="FFFFFF"/>
                  <w:vAlign w:val="center"/>
                </w:tcPr>
                <w:p w14:paraId="3F2A7ED4">
                  <w:pPr>
                    <w:adjustRightInd w:val="0"/>
                    <w:snapToGrid w:val="0"/>
                    <w:spacing w:line="240" w:lineRule="auto"/>
                    <w:jc w:val="center"/>
                    <w:rPr>
                      <w:b/>
                      <w:bCs/>
                      <w:sz w:val="21"/>
                    </w:rPr>
                  </w:pPr>
                  <w:r>
                    <w:rPr>
                      <w:b/>
                      <w:bCs/>
                      <w:sz w:val="21"/>
                    </w:rPr>
                    <w:t>污染防治设施编号</w:t>
                  </w:r>
                </w:p>
              </w:tc>
              <w:tc>
                <w:tcPr>
                  <w:tcW w:w="1210" w:type="dxa"/>
                  <w:tcBorders>
                    <w:tl2br w:val="nil"/>
                    <w:tr2bl w:val="nil"/>
                  </w:tcBorders>
                  <w:shd w:val="clear" w:color="auto" w:fill="FFFFFF"/>
                  <w:vAlign w:val="center"/>
                </w:tcPr>
                <w:p w14:paraId="172BAA22">
                  <w:pPr>
                    <w:adjustRightInd w:val="0"/>
                    <w:snapToGrid w:val="0"/>
                    <w:spacing w:line="240" w:lineRule="auto"/>
                    <w:jc w:val="center"/>
                    <w:rPr>
                      <w:b/>
                      <w:bCs/>
                      <w:sz w:val="21"/>
                    </w:rPr>
                  </w:pPr>
                  <w:r>
                    <w:rPr>
                      <w:b/>
                      <w:bCs/>
                      <w:sz w:val="21"/>
                    </w:rPr>
                    <w:t>污染防治设施名称</w:t>
                  </w:r>
                </w:p>
              </w:tc>
              <w:tc>
                <w:tcPr>
                  <w:tcW w:w="1017" w:type="dxa"/>
                  <w:tcBorders>
                    <w:tl2br w:val="nil"/>
                    <w:tr2bl w:val="nil"/>
                  </w:tcBorders>
                  <w:shd w:val="clear" w:color="auto" w:fill="FFFFFF"/>
                  <w:vAlign w:val="center"/>
                </w:tcPr>
                <w:p w14:paraId="3F7032B4">
                  <w:pPr>
                    <w:adjustRightInd w:val="0"/>
                    <w:snapToGrid w:val="0"/>
                    <w:spacing w:line="240" w:lineRule="auto"/>
                    <w:jc w:val="center"/>
                    <w:rPr>
                      <w:b/>
                      <w:bCs/>
                      <w:sz w:val="21"/>
                    </w:rPr>
                  </w:pPr>
                  <w:r>
                    <w:rPr>
                      <w:b/>
                      <w:bCs/>
                      <w:sz w:val="21"/>
                    </w:rPr>
                    <w:t>污染防治设施工艺</w:t>
                  </w:r>
                </w:p>
              </w:tc>
              <w:tc>
                <w:tcPr>
                  <w:tcW w:w="1007" w:type="dxa"/>
                  <w:tcBorders>
                    <w:tl2br w:val="nil"/>
                    <w:tr2bl w:val="nil"/>
                  </w:tcBorders>
                  <w:shd w:val="clear" w:color="auto" w:fill="FFFFFF"/>
                  <w:vAlign w:val="center"/>
                </w:tcPr>
                <w:p w14:paraId="65CF650D">
                  <w:pPr>
                    <w:adjustRightInd w:val="0"/>
                    <w:snapToGrid w:val="0"/>
                    <w:spacing w:line="240" w:lineRule="auto"/>
                    <w:jc w:val="center"/>
                    <w:rPr>
                      <w:b/>
                      <w:bCs/>
                      <w:sz w:val="21"/>
                    </w:rPr>
                  </w:pPr>
                  <w:r>
                    <w:rPr>
                      <w:b/>
                      <w:bCs/>
                      <w:sz w:val="21"/>
                    </w:rPr>
                    <w:t>是否为可行技术</w:t>
                  </w:r>
                </w:p>
              </w:tc>
              <w:tc>
                <w:tcPr>
                  <w:tcW w:w="998" w:type="dxa"/>
                  <w:tcBorders>
                    <w:tl2br w:val="nil"/>
                    <w:tr2bl w:val="nil"/>
                  </w:tcBorders>
                  <w:shd w:val="clear" w:color="auto" w:fill="FFFFFF"/>
                  <w:vAlign w:val="center"/>
                </w:tcPr>
                <w:p w14:paraId="227A584A">
                  <w:pPr>
                    <w:adjustRightInd w:val="0"/>
                    <w:snapToGrid w:val="0"/>
                    <w:spacing w:line="240" w:lineRule="auto"/>
                    <w:jc w:val="center"/>
                    <w:rPr>
                      <w:b/>
                      <w:bCs/>
                      <w:sz w:val="21"/>
                    </w:rPr>
                  </w:pPr>
                  <w:r>
                    <w:rPr>
                      <w:b/>
                      <w:bCs/>
                      <w:sz w:val="21"/>
                    </w:rPr>
                    <w:t>污染防治设施其他信息</w:t>
                  </w:r>
                </w:p>
              </w:tc>
              <w:tc>
                <w:tcPr>
                  <w:tcW w:w="806" w:type="dxa"/>
                  <w:vMerge w:val="continue"/>
                  <w:tcBorders>
                    <w:tl2br w:val="nil"/>
                    <w:tr2bl w:val="nil"/>
                  </w:tcBorders>
                  <w:shd w:val="clear" w:color="auto" w:fill="FFFFFF"/>
                  <w:vAlign w:val="center"/>
                </w:tcPr>
                <w:p w14:paraId="24465071">
                  <w:pPr>
                    <w:adjustRightInd w:val="0"/>
                    <w:snapToGrid w:val="0"/>
                    <w:spacing w:line="240" w:lineRule="auto"/>
                    <w:jc w:val="center"/>
                    <w:rPr>
                      <w:b/>
                      <w:bCs/>
                      <w:sz w:val="21"/>
                    </w:rPr>
                  </w:pPr>
                </w:p>
              </w:tc>
              <w:tc>
                <w:tcPr>
                  <w:tcW w:w="996" w:type="dxa"/>
                  <w:vMerge w:val="continue"/>
                  <w:tcBorders>
                    <w:tl2br w:val="nil"/>
                    <w:tr2bl w:val="nil"/>
                  </w:tcBorders>
                  <w:shd w:val="clear" w:color="auto" w:fill="FFFFFF"/>
                  <w:vAlign w:val="center"/>
                </w:tcPr>
                <w:p w14:paraId="4E248E0C">
                  <w:pPr>
                    <w:adjustRightInd w:val="0"/>
                    <w:snapToGrid w:val="0"/>
                    <w:spacing w:line="240" w:lineRule="auto"/>
                    <w:jc w:val="center"/>
                    <w:rPr>
                      <w:b/>
                      <w:bCs/>
                      <w:sz w:val="21"/>
                    </w:rPr>
                  </w:pPr>
                </w:p>
              </w:tc>
              <w:tc>
                <w:tcPr>
                  <w:tcW w:w="806" w:type="dxa"/>
                  <w:vMerge w:val="continue"/>
                  <w:tcBorders>
                    <w:tl2br w:val="nil"/>
                    <w:tr2bl w:val="nil"/>
                  </w:tcBorders>
                  <w:shd w:val="clear" w:color="auto" w:fill="FFFFFF"/>
                  <w:vAlign w:val="center"/>
                </w:tcPr>
                <w:p w14:paraId="208BE9C1">
                  <w:pPr>
                    <w:adjustRightInd w:val="0"/>
                    <w:snapToGrid w:val="0"/>
                    <w:spacing w:line="240" w:lineRule="auto"/>
                    <w:jc w:val="center"/>
                    <w:rPr>
                      <w:b/>
                      <w:bCs/>
                      <w:sz w:val="21"/>
                    </w:rPr>
                  </w:pPr>
                </w:p>
              </w:tc>
              <w:tc>
                <w:tcPr>
                  <w:tcW w:w="809" w:type="dxa"/>
                  <w:vMerge w:val="continue"/>
                  <w:tcBorders>
                    <w:tl2br w:val="nil"/>
                    <w:tr2bl w:val="nil"/>
                  </w:tcBorders>
                  <w:shd w:val="clear" w:color="auto" w:fill="FFFFFF"/>
                  <w:vAlign w:val="center"/>
                </w:tcPr>
                <w:p w14:paraId="3047EBEC">
                  <w:pPr>
                    <w:adjustRightInd w:val="0"/>
                    <w:snapToGrid w:val="0"/>
                    <w:spacing w:line="240" w:lineRule="auto"/>
                    <w:jc w:val="center"/>
                    <w:rPr>
                      <w:b/>
                      <w:bCs/>
                      <w:sz w:val="21"/>
                    </w:rPr>
                  </w:pPr>
                </w:p>
              </w:tc>
              <w:tc>
                <w:tcPr>
                  <w:tcW w:w="854" w:type="dxa"/>
                  <w:vMerge w:val="continue"/>
                  <w:tcBorders>
                    <w:tl2br w:val="nil"/>
                    <w:tr2bl w:val="nil"/>
                  </w:tcBorders>
                  <w:shd w:val="clear" w:color="auto" w:fill="FFFFFF"/>
                  <w:vAlign w:val="center"/>
                </w:tcPr>
                <w:p w14:paraId="7D199473">
                  <w:pPr>
                    <w:adjustRightInd w:val="0"/>
                    <w:snapToGrid w:val="0"/>
                    <w:spacing w:line="240" w:lineRule="auto"/>
                    <w:jc w:val="center"/>
                    <w:rPr>
                      <w:b/>
                      <w:bCs/>
                      <w:sz w:val="21"/>
                    </w:rPr>
                  </w:pPr>
                </w:p>
              </w:tc>
            </w:tr>
            <w:tr w14:paraId="38AF2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478" w:hRule="atLeast"/>
                <w:jc w:val="center"/>
              </w:trPr>
              <w:tc>
                <w:tcPr>
                  <w:tcW w:w="435" w:type="dxa"/>
                  <w:tcBorders>
                    <w:tl2br w:val="nil"/>
                    <w:tr2bl w:val="nil"/>
                  </w:tcBorders>
                  <w:shd w:val="clear" w:color="auto" w:fill="FFFFFF"/>
                  <w:vAlign w:val="center"/>
                </w:tcPr>
                <w:p w14:paraId="5FF0A56E">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222" w:type="dxa"/>
                  <w:tcBorders>
                    <w:tl2br w:val="nil"/>
                    <w:tr2bl w:val="nil"/>
                  </w:tcBorders>
                  <w:shd w:val="clear" w:color="auto" w:fill="FFFFFF"/>
                  <w:vAlign w:val="center"/>
                </w:tcPr>
                <w:p w14:paraId="261EEE2D">
                  <w:pPr>
                    <w:adjustRightInd w:val="0"/>
                    <w:snapToGrid w:val="0"/>
                    <w:spacing w:line="240" w:lineRule="auto"/>
                    <w:jc w:val="center"/>
                    <w:rPr>
                      <w:rFonts w:hint="eastAsia" w:eastAsia="宋体"/>
                      <w:sz w:val="21"/>
                      <w:lang w:eastAsia="zh-CN"/>
                    </w:rPr>
                  </w:pPr>
                  <w:r>
                    <w:rPr>
                      <w:rFonts w:hint="eastAsia"/>
                      <w:sz w:val="21"/>
                      <w:lang w:eastAsia="zh-CN"/>
                    </w:rPr>
                    <w:t>鹤管</w:t>
                  </w:r>
                </w:p>
              </w:tc>
              <w:tc>
                <w:tcPr>
                  <w:tcW w:w="1339" w:type="dxa"/>
                  <w:tcBorders>
                    <w:tl2br w:val="nil"/>
                    <w:tr2bl w:val="nil"/>
                  </w:tcBorders>
                  <w:shd w:val="clear" w:color="auto" w:fill="FFFFFF"/>
                  <w:vAlign w:val="center"/>
                </w:tcPr>
                <w:p w14:paraId="7D38E75A">
                  <w:pPr>
                    <w:adjustRightInd w:val="0"/>
                    <w:snapToGrid w:val="0"/>
                    <w:spacing w:line="240" w:lineRule="auto"/>
                    <w:jc w:val="center"/>
                    <w:rPr>
                      <w:rFonts w:hint="eastAsia" w:eastAsia="宋体"/>
                      <w:sz w:val="21"/>
                      <w:lang w:eastAsia="zh-CN"/>
                    </w:rPr>
                  </w:pPr>
                  <w:r>
                    <w:rPr>
                      <w:rFonts w:hint="eastAsia"/>
                      <w:sz w:val="21"/>
                      <w:lang w:eastAsia="zh-CN"/>
                    </w:rPr>
                    <w:t>氨水</w:t>
                  </w:r>
                  <w:r>
                    <w:rPr>
                      <w:rFonts w:hint="eastAsia"/>
                      <w:color w:val="000000" w:themeColor="text1"/>
                      <w:sz w:val="21"/>
                      <w:lang w:eastAsia="zh-CN"/>
                      <w14:textFill>
                        <w14:solidFill>
                          <w14:schemeClr w14:val="tx1"/>
                        </w14:solidFill>
                      </w14:textFill>
                    </w:rPr>
                    <w:t>装卸车</w:t>
                  </w:r>
                </w:p>
              </w:tc>
              <w:tc>
                <w:tcPr>
                  <w:tcW w:w="1293" w:type="dxa"/>
                  <w:tcBorders>
                    <w:tl2br w:val="nil"/>
                    <w:tr2bl w:val="nil"/>
                  </w:tcBorders>
                  <w:shd w:val="clear" w:color="auto" w:fill="FFFFFF"/>
                  <w:vAlign w:val="center"/>
                </w:tcPr>
                <w:p w14:paraId="738FAFF9">
                  <w:pPr>
                    <w:adjustRightInd w:val="0"/>
                    <w:snapToGrid w:val="0"/>
                    <w:spacing w:line="240" w:lineRule="auto"/>
                    <w:jc w:val="center"/>
                    <w:rPr>
                      <w:rFonts w:hint="eastAsia" w:eastAsia="宋体"/>
                      <w:sz w:val="21"/>
                      <w:lang w:eastAsia="zh-CN"/>
                    </w:rPr>
                  </w:pPr>
                  <w:r>
                    <w:rPr>
                      <w:rFonts w:hint="eastAsia"/>
                      <w:sz w:val="21"/>
                      <w:lang w:eastAsia="zh-CN"/>
                    </w:rPr>
                    <w:t>氨</w:t>
                  </w:r>
                </w:p>
              </w:tc>
              <w:tc>
                <w:tcPr>
                  <w:tcW w:w="815" w:type="dxa"/>
                  <w:tcBorders>
                    <w:tl2br w:val="nil"/>
                    <w:tr2bl w:val="nil"/>
                  </w:tcBorders>
                  <w:shd w:val="clear" w:color="auto" w:fill="FFFFFF"/>
                  <w:vAlign w:val="center"/>
                </w:tcPr>
                <w:p w14:paraId="45EB6D55">
                  <w:pPr>
                    <w:adjustRightInd w:val="0"/>
                    <w:snapToGrid w:val="0"/>
                    <w:spacing w:line="240" w:lineRule="auto"/>
                    <w:jc w:val="center"/>
                    <w:rPr>
                      <w:sz w:val="21"/>
                    </w:rPr>
                  </w:pPr>
                  <w:r>
                    <w:rPr>
                      <w:rFonts w:hint="eastAsia"/>
                      <w:sz w:val="21"/>
                    </w:rPr>
                    <w:t>无</w:t>
                  </w:r>
                  <w:r>
                    <w:rPr>
                      <w:sz w:val="21"/>
                    </w:rPr>
                    <w:t>组织</w:t>
                  </w:r>
                </w:p>
              </w:tc>
              <w:tc>
                <w:tcPr>
                  <w:tcW w:w="1080" w:type="dxa"/>
                  <w:tcBorders>
                    <w:tl2br w:val="nil"/>
                    <w:tr2bl w:val="nil"/>
                  </w:tcBorders>
                  <w:shd w:val="clear" w:color="auto" w:fill="FFFFFF"/>
                  <w:vAlign w:val="center"/>
                </w:tcPr>
                <w:p w14:paraId="32C1081A">
                  <w:pPr>
                    <w:adjustRightInd w:val="0"/>
                    <w:snapToGrid w:val="0"/>
                    <w:spacing w:line="240" w:lineRule="auto"/>
                    <w:jc w:val="center"/>
                    <w:rPr>
                      <w:sz w:val="21"/>
                    </w:rPr>
                  </w:pPr>
                  <w:r>
                    <w:rPr>
                      <w:rFonts w:hint="eastAsia"/>
                      <w:sz w:val="21"/>
                    </w:rPr>
                    <w:t>/</w:t>
                  </w:r>
                </w:p>
              </w:tc>
              <w:tc>
                <w:tcPr>
                  <w:tcW w:w="1210" w:type="dxa"/>
                  <w:tcBorders>
                    <w:tl2br w:val="nil"/>
                    <w:tr2bl w:val="nil"/>
                  </w:tcBorders>
                  <w:shd w:val="clear" w:color="auto" w:fill="FFFFFF"/>
                  <w:vAlign w:val="center"/>
                </w:tcPr>
                <w:p w14:paraId="35F47E52">
                  <w:pPr>
                    <w:adjustRightInd w:val="0"/>
                    <w:snapToGrid w:val="0"/>
                    <w:spacing w:line="240" w:lineRule="auto"/>
                    <w:jc w:val="center"/>
                    <w:rPr>
                      <w:rFonts w:hint="eastAsia" w:eastAsia="宋体"/>
                      <w:sz w:val="21"/>
                      <w:lang w:eastAsia="zh-CN"/>
                    </w:rPr>
                  </w:pPr>
                  <w:r>
                    <w:rPr>
                      <w:rFonts w:hint="eastAsia"/>
                      <w:sz w:val="21"/>
                      <w:lang w:val="en-US" w:eastAsia="zh-CN"/>
                    </w:rPr>
                    <w:t>/</w:t>
                  </w:r>
                </w:p>
              </w:tc>
              <w:tc>
                <w:tcPr>
                  <w:tcW w:w="1017" w:type="dxa"/>
                  <w:tcBorders>
                    <w:tl2br w:val="nil"/>
                    <w:tr2bl w:val="nil"/>
                  </w:tcBorders>
                  <w:shd w:val="clear" w:color="auto" w:fill="FFFFFF"/>
                  <w:vAlign w:val="center"/>
                </w:tcPr>
                <w:p w14:paraId="765164F9">
                  <w:pPr>
                    <w:adjustRightInd w:val="0"/>
                    <w:snapToGrid w:val="0"/>
                    <w:spacing w:line="240" w:lineRule="auto"/>
                    <w:jc w:val="center"/>
                    <w:rPr>
                      <w:rFonts w:hint="eastAsia" w:eastAsia="宋体"/>
                      <w:sz w:val="21"/>
                      <w:lang w:eastAsia="zh-CN"/>
                    </w:rPr>
                  </w:pPr>
                  <w:r>
                    <w:rPr>
                      <w:rFonts w:hint="eastAsia"/>
                      <w:sz w:val="21"/>
                      <w:lang w:val="en-US" w:eastAsia="zh-CN"/>
                    </w:rPr>
                    <w:t>/</w:t>
                  </w:r>
                </w:p>
              </w:tc>
              <w:tc>
                <w:tcPr>
                  <w:tcW w:w="1007" w:type="dxa"/>
                  <w:tcBorders>
                    <w:tl2br w:val="nil"/>
                    <w:tr2bl w:val="nil"/>
                  </w:tcBorders>
                  <w:shd w:val="clear" w:color="auto" w:fill="FFFFFF"/>
                  <w:vAlign w:val="center"/>
                </w:tcPr>
                <w:p w14:paraId="2B660701">
                  <w:pPr>
                    <w:adjustRightInd w:val="0"/>
                    <w:snapToGrid w:val="0"/>
                    <w:spacing w:line="240" w:lineRule="auto"/>
                    <w:jc w:val="center"/>
                    <w:rPr>
                      <w:rFonts w:hint="eastAsia" w:eastAsia="宋体"/>
                      <w:sz w:val="21"/>
                      <w:lang w:eastAsia="zh-CN"/>
                    </w:rPr>
                  </w:pPr>
                  <w:r>
                    <w:rPr>
                      <w:rFonts w:hint="eastAsia"/>
                      <w:sz w:val="21"/>
                      <w:lang w:val="en-US" w:eastAsia="zh-CN"/>
                    </w:rPr>
                    <w:t>/</w:t>
                  </w:r>
                </w:p>
              </w:tc>
              <w:tc>
                <w:tcPr>
                  <w:tcW w:w="998" w:type="dxa"/>
                  <w:tcBorders>
                    <w:tl2br w:val="nil"/>
                    <w:tr2bl w:val="nil"/>
                  </w:tcBorders>
                  <w:shd w:val="clear" w:color="auto" w:fill="FFFFFF"/>
                  <w:vAlign w:val="center"/>
                </w:tcPr>
                <w:p w14:paraId="5AA25691">
                  <w:pPr>
                    <w:adjustRightInd w:val="0"/>
                    <w:snapToGrid w:val="0"/>
                    <w:spacing w:line="240" w:lineRule="auto"/>
                    <w:jc w:val="center"/>
                    <w:rPr>
                      <w:sz w:val="21"/>
                    </w:rPr>
                  </w:pPr>
                  <w:r>
                    <w:rPr>
                      <w:sz w:val="21"/>
                    </w:rPr>
                    <w:t>/</w:t>
                  </w:r>
                </w:p>
              </w:tc>
              <w:tc>
                <w:tcPr>
                  <w:tcW w:w="806" w:type="dxa"/>
                  <w:tcBorders>
                    <w:tl2br w:val="nil"/>
                    <w:tr2bl w:val="nil"/>
                  </w:tcBorders>
                  <w:shd w:val="clear" w:color="auto" w:fill="FFFFFF"/>
                  <w:vAlign w:val="center"/>
                </w:tcPr>
                <w:p w14:paraId="4E71C427">
                  <w:pPr>
                    <w:adjustRightInd w:val="0"/>
                    <w:snapToGrid w:val="0"/>
                    <w:spacing w:line="240" w:lineRule="auto"/>
                    <w:jc w:val="center"/>
                    <w:rPr>
                      <w:sz w:val="21"/>
                    </w:rPr>
                  </w:pPr>
                  <w:r>
                    <w:rPr>
                      <w:rFonts w:hint="eastAsia"/>
                      <w:sz w:val="21"/>
                    </w:rPr>
                    <w:t>/</w:t>
                  </w:r>
                </w:p>
              </w:tc>
              <w:tc>
                <w:tcPr>
                  <w:tcW w:w="996" w:type="dxa"/>
                  <w:tcBorders>
                    <w:tl2br w:val="nil"/>
                    <w:tr2bl w:val="nil"/>
                  </w:tcBorders>
                  <w:shd w:val="clear" w:color="auto" w:fill="FFFFFF"/>
                  <w:vAlign w:val="center"/>
                </w:tcPr>
                <w:p w14:paraId="50FDB6D6">
                  <w:pPr>
                    <w:adjustRightInd w:val="0"/>
                    <w:snapToGrid w:val="0"/>
                    <w:spacing w:line="240" w:lineRule="auto"/>
                    <w:jc w:val="center"/>
                    <w:rPr>
                      <w:sz w:val="21"/>
                    </w:rPr>
                  </w:pPr>
                  <w:r>
                    <w:rPr>
                      <w:rFonts w:hint="eastAsia"/>
                      <w:sz w:val="21"/>
                    </w:rPr>
                    <w:t>/</w:t>
                  </w:r>
                </w:p>
              </w:tc>
              <w:tc>
                <w:tcPr>
                  <w:tcW w:w="806" w:type="dxa"/>
                  <w:tcBorders>
                    <w:tl2br w:val="nil"/>
                    <w:tr2bl w:val="nil"/>
                  </w:tcBorders>
                  <w:shd w:val="clear" w:color="auto" w:fill="FFFFFF"/>
                  <w:vAlign w:val="center"/>
                </w:tcPr>
                <w:p w14:paraId="044628AB">
                  <w:pPr>
                    <w:adjustRightInd w:val="0"/>
                    <w:snapToGrid w:val="0"/>
                    <w:spacing w:line="240" w:lineRule="auto"/>
                    <w:jc w:val="center"/>
                    <w:rPr>
                      <w:sz w:val="21"/>
                    </w:rPr>
                  </w:pPr>
                  <w:r>
                    <w:rPr>
                      <w:rFonts w:hint="eastAsia"/>
                      <w:sz w:val="21"/>
                    </w:rPr>
                    <w:t>/</w:t>
                  </w:r>
                </w:p>
              </w:tc>
              <w:tc>
                <w:tcPr>
                  <w:tcW w:w="809" w:type="dxa"/>
                  <w:tcBorders>
                    <w:tl2br w:val="nil"/>
                    <w:tr2bl w:val="nil"/>
                  </w:tcBorders>
                  <w:shd w:val="clear" w:color="auto" w:fill="FFFFFF"/>
                  <w:vAlign w:val="center"/>
                </w:tcPr>
                <w:p w14:paraId="4FA610F3">
                  <w:pPr>
                    <w:adjustRightInd w:val="0"/>
                    <w:snapToGrid w:val="0"/>
                    <w:spacing w:line="240" w:lineRule="auto"/>
                    <w:jc w:val="center"/>
                    <w:rPr>
                      <w:sz w:val="21"/>
                    </w:rPr>
                  </w:pPr>
                  <w:r>
                    <w:rPr>
                      <w:rFonts w:hint="eastAsia"/>
                      <w:sz w:val="21"/>
                    </w:rPr>
                    <w:t>/</w:t>
                  </w:r>
                </w:p>
              </w:tc>
              <w:tc>
                <w:tcPr>
                  <w:tcW w:w="854" w:type="dxa"/>
                  <w:tcBorders>
                    <w:tl2br w:val="nil"/>
                    <w:tr2bl w:val="nil"/>
                  </w:tcBorders>
                  <w:shd w:val="clear" w:color="auto" w:fill="FFFFFF"/>
                  <w:vAlign w:val="center"/>
                </w:tcPr>
                <w:p w14:paraId="596015A5">
                  <w:pPr>
                    <w:adjustRightInd w:val="0"/>
                    <w:snapToGrid w:val="0"/>
                    <w:spacing w:line="240" w:lineRule="auto"/>
                    <w:jc w:val="center"/>
                    <w:rPr>
                      <w:sz w:val="21"/>
                    </w:rPr>
                  </w:pPr>
                  <w:r>
                    <w:rPr>
                      <w:rFonts w:hint="eastAsia"/>
                      <w:sz w:val="21"/>
                    </w:rPr>
                    <w:t>/</w:t>
                  </w:r>
                </w:p>
              </w:tc>
            </w:tr>
            <w:tr w14:paraId="0E7CC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254" w:hRule="atLeast"/>
                <w:jc w:val="center"/>
              </w:trPr>
              <w:tc>
                <w:tcPr>
                  <w:tcW w:w="435" w:type="dxa"/>
                  <w:tcBorders>
                    <w:tl2br w:val="nil"/>
                    <w:tr2bl w:val="nil"/>
                  </w:tcBorders>
                  <w:shd w:val="clear" w:color="auto" w:fill="FFFFFF"/>
                  <w:vAlign w:val="center"/>
                </w:tcPr>
                <w:p w14:paraId="2D408F61">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222" w:type="dxa"/>
                  <w:tcBorders>
                    <w:tl2br w:val="nil"/>
                    <w:tr2bl w:val="nil"/>
                  </w:tcBorders>
                  <w:shd w:val="clear" w:color="auto" w:fill="FFFFFF"/>
                  <w:vAlign w:val="center"/>
                </w:tcPr>
                <w:p w14:paraId="28207319">
                  <w:pPr>
                    <w:adjustRightInd w:val="0"/>
                    <w:snapToGrid w:val="0"/>
                    <w:spacing w:line="240" w:lineRule="auto"/>
                    <w:jc w:val="center"/>
                    <w:rPr>
                      <w:rFonts w:hint="eastAsia" w:eastAsia="宋体"/>
                      <w:sz w:val="21"/>
                      <w:lang w:eastAsia="zh-CN"/>
                    </w:rPr>
                  </w:pPr>
                  <w:r>
                    <w:rPr>
                      <w:rFonts w:hint="eastAsia"/>
                      <w:sz w:val="21"/>
                      <w:lang w:eastAsia="zh-CN"/>
                    </w:rPr>
                    <w:t>液氨球罐</w:t>
                  </w:r>
                </w:p>
              </w:tc>
              <w:tc>
                <w:tcPr>
                  <w:tcW w:w="1339" w:type="dxa"/>
                  <w:tcBorders>
                    <w:tl2br w:val="nil"/>
                    <w:tr2bl w:val="nil"/>
                  </w:tcBorders>
                  <w:shd w:val="clear" w:color="auto" w:fill="FFFFFF"/>
                  <w:vAlign w:val="center"/>
                </w:tcPr>
                <w:p w14:paraId="7EC1298C">
                  <w:pPr>
                    <w:adjustRightInd w:val="0"/>
                    <w:snapToGrid w:val="0"/>
                    <w:spacing w:line="240" w:lineRule="auto"/>
                    <w:jc w:val="center"/>
                    <w:rPr>
                      <w:rFonts w:hint="eastAsia" w:eastAsia="宋体"/>
                      <w:sz w:val="21"/>
                      <w:lang w:eastAsia="zh-CN"/>
                    </w:rPr>
                  </w:pPr>
                  <w:r>
                    <w:rPr>
                      <w:rFonts w:hint="eastAsia"/>
                      <w:sz w:val="21"/>
                      <w:lang w:eastAsia="zh-CN"/>
                    </w:rPr>
                    <w:t>小呼吸</w:t>
                  </w:r>
                </w:p>
              </w:tc>
              <w:tc>
                <w:tcPr>
                  <w:tcW w:w="1293" w:type="dxa"/>
                  <w:tcBorders>
                    <w:tl2br w:val="nil"/>
                    <w:tr2bl w:val="nil"/>
                  </w:tcBorders>
                  <w:shd w:val="clear" w:color="auto" w:fill="FFFFFF"/>
                  <w:vAlign w:val="center"/>
                </w:tcPr>
                <w:p w14:paraId="5117DD2B">
                  <w:pPr>
                    <w:adjustRightInd w:val="0"/>
                    <w:snapToGrid w:val="0"/>
                    <w:spacing w:line="240" w:lineRule="auto"/>
                    <w:jc w:val="center"/>
                    <w:rPr>
                      <w:rFonts w:hint="eastAsia" w:eastAsia="宋体"/>
                      <w:sz w:val="21"/>
                      <w:lang w:eastAsia="zh-CN"/>
                    </w:rPr>
                  </w:pPr>
                  <w:r>
                    <w:rPr>
                      <w:rFonts w:hint="eastAsia"/>
                      <w:sz w:val="21"/>
                      <w:lang w:eastAsia="zh-CN"/>
                    </w:rPr>
                    <w:t>氨</w:t>
                  </w:r>
                </w:p>
              </w:tc>
              <w:tc>
                <w:tcPr>
                  <w:tcW w:w="815" w:type="dxa"/>
                  <w:tcBorders>
                    <w:tl2br w:val="nil"/>
                    <w:tr2bl w:val="nil"/>
                  </w:tcBorders>
                  <w:shd w:val="clear" w:color="auto" w:fill="FFFFFF"/>
                  <w:vAlign w:val="center"/>
                </w:tcPr>
                <w:p w14:paraId="5DE3F53D">
                  <w:pPr>
                    <w:adjustRightInd w:val="0"/>
                    <w:snapToGrid w:val="0"/>
                    <w:spacing w:line="240" w:lineRule="auto"/>
                    <w:jc w:val="center"/>
                    <w:rPr>
                      <w:sz w:val="21"/>
                    </w:rPr>
                  </w:pPr>
                  <w:r>
                    <w:rPr>
                      <w:rFonts w:hint="eastAsia"/>
                      <w:sz w:val="21"/>
                    </w:rPr>
                    <w:t>有组织</w:t>
                  </w:r>
                </w:p>
              </w:tc>
              <w:tc>
                <w:tcPr>
                  <w:tcW w:w="1080" w:type="dxa"/>
                  <w:tcBorders>
                    <w:tl2br w:val="nil"/>
                    <w:tr2bl w:val="nil"/>
                  </w:tcBorders>
                  <w:shd w:val="clear" w:color="auto" w:fill="FFFFFF"/>
                  <w:vAlign w:val="center"/>
                </w:tcPr>
                <w:p w14:paraId="73A403DF">
                  <w:pPr>
                    <w:adjustRightInd w:val="0"/>
                    <w:snapToGrid w:val="0"/>
                    <w:spacing w:line="240" w:lineRule="auto"/>
                    <w:jc w:val="center"/>
                    <w:rPr>
                      <w:sz w:val="21"/>
                    </w:rPr>
                  </w:pPr>
                  <w:r>
                    <w:rPr>
                      <w:rFonts w:hint="eastAsia"/>
                      <w:sz w:val="21"/>
                    </w:rPr>
                    <w:t>TA001</w:t>
                  </w:r>
                </w:p>
              </w:tc>
              <w:tc>
                <w:tcPr>
                  <w:tcW w:w="1210" w:type="dxa"/>
                  <w:tcBorders>
                    <w:tl2br w:val="nil"/>
                    <w:tr2bl w:val="nil"/>
                  </w:tcBorders>
                  <w:shd w:val="clear" w:color="auto" w:fill="FFFFFF"/>
                  <w:vAlign w:val="center"/>
                </w:tcPr>
                <w:p w14:paraId="26F7C1B7">
                  <w:pPr>
                    <w:adjustRightInd w:val="0"/>
                    <w:snapToGrid w:val="0"/>
                    <w:spacing w:line="240" w:lineRule="auto"/>
                    <w:jc w:val="center"/>
                    <w:rPr>
                      <w:rFonts w:hint="eastAsia" w:eastAsia="宋体"/>
                      <w:sz w:val="21"/>
                      <w:lang w:eastAsia="zh-CN"/>
                    </w:rPr>
                  </w:pPr>
                  <w:r>
                    <w:rPr>
                      <w:rFonts w:hint="eastAsia"/>
                      <w:sz w:val="21"/>
                      <w:lang w:eastAsia="zh-CN"/>
                    </w:rPr>
                    <w:t>尾气吸收塔</w:t>
                  </w:r>
                </w:p>
              </w:tc>
              <w:tc>
                <w:tcPr>
                  <w:tcW w:w="1017" w:type="dxa"/>
                  <w:tcBorders>
                    <w:tl2br w:val="nil"/>
                    <w:tr2bl w:val="nil"/>
                  </w:tcBorders>
                  <w:shd w:val="clear" w:color="auto" w:fill="FFFFFF"/>
                  <w:vAlign w:val="center"/>
                </w:tcPr>
                <w:p w14:paraId="526BC386">
                  <w:pPr>
                    <w:adjustRightInd w:val="0"/>
                    <w:snapToGrid w:val="0"/>
                    <w:spacing w:line="240" w:lineRule="auto"/>
                    <w:jc w:val="center"/>
                    <w:rPr>
                      <w:rFonts w:hint="eastAsia" w:eastAsia="宋体"/>
                      <w:sz w:val="21"/>
                      <w:lang w:eastAsia="zh-CN"/>
                    </w:rPr>
                  </w:pPr>
                  <w:r>
                    <w:rPr>
                      <w:rFonts w:hint="eastAsia"/>
                      <w:sz w:val="21"/>
                      <w:lang w:eastAsia="zh-CN"/>
                    </w:rPr>
                    <w:t>水喷淋</w:t>
                  </w:r>
                </w:p>
              </w:tc>
              <w:tc>
                <w:tcPr>
                  <w:tcW w:w="1007" w:type="dxa"/>
                  <w:tcBorders>
                    <w:tl2br w:val="nil"/>
                    <w:tr2bl w:val="nil"/>
                  </w:tcBorders>
                  <w:shd w:val="clear" w:color="auto" w:fill="FFFFFF"/>
                  <w:vAlign w:val="center"/>
                </w:tcPr>
                <w:p w14:paraId="404D931B">
                  <w:pPr>
                    <w:adjustRightInd w:val="0"/>
                    <w:snapToGrid w:val="0"/>
                    <w:spacing w:line="240" w:lineRule="auto"/>
                    <w:jc w:val="center"/>
                    <w:rPr>
                      <w:sz w:val="21"/>
                    </w:rPr>
                  </w:pPr>
                  <w:r>
                    <w:rPr>
                      <w:rStyle w:val="17"/>
                      <w:rFonts w:hint="eastAsia"/>
                    </w:rPr>
                    <w:t>是</w:t>
                  </w:r>
                </w:p>
              </w:tc>
              <w:tc>
                <w:tcPr>
                  <w:tcW w:w="998" w:type="dxa"/>
                  <w:tcBorders>
                    <w:tl2br w:val="nil"/>
                    <w:tr2bl w:val="nil"/>
                  </w:tcBorders>
                  <w:shd w:val="clear" w:color="auto" w:fill="FFFFFF"/>
                  <w:vAlign w:val="center"/>
                </w:tcPr>
                <w:p w14:paraId="0415C236">
                  <w:pPr>
                    <w:adjustRightInd w:val="0"/>
                    <w:snapToGrid w:val="0"/>
                    <w:spacing w:line="240" w:lineRule="auto"/>
                    <w:jc w:val="center"/>
                    <w:rPr>
                      <w:sz w:val="21"/>
                    </w:rPr>
                  </w:pPr>
                  <w:r>
                    <w:rPr>
                      <w:sz w:val="21"/>
                    </w:rPr>
                    <w:t>/</w:t>
                  </w:r>
                </w:p>
              </w:tc>
              <w:tc>
                <w:tcPr>
                  <w:tcW w:w="806" w:type="dxa"/>
                  <w:tcBorders>
                    <w:tl2br w:val="nil"/>
                    <w:tr2bl w:val="nil"/>
                  </w:tcBorders>
                  <w:shd w:val="clear" w:color="auto" w:fill="FFFFFF"/>
                  <w:vAlign w:val="center"/>
                </w:tcPr>
                <w:p w14:paraId="01276CED">
                  <w:pPr>
                    <w:adjustRightInd w:val="0"/>
                    <w:snapToGrid w:val="0"/>
                    <w:spacing w:line="240" w:lineRule="auto"/>
                    <w:jc w:val="center"/>
                    <w:rPr>
                      <w:sz w:val="21"/>
                    </w:rPr>
                  </w:pPr>
                  <w:r>
                    <w:rPr>
                      <w:rFonts w:hint="eastAsia"/>
                      <w:sz w:val="21"/>
                    </w:rPr>
                    <w:t>DA001</w:t>
                  </w:r>
                </w:p>
              </w:tc>
              <w:tc>
                <w:tcPr>
                  <w:tcW w:w="996" w:type="dxa"/>
                  <w:tcBorders>
                    <w:tl2br w:val="nil"/>
                    <w:tr2bl w:val="nil"/>
                  </w:tcBorders>
                  <w:shd w:val="clear" w:color="auto" w:fill="FFFFFF"/>
                  <w:vAlign w:val="center"/>
                </w:tcPr>
                <w:p w14:paraId="7265A358">
                  <w:pPr>
                    <w:adjustRightInd w:val="0"/>
                    <w:snapToGrid w:val="0"/>
                    <w:spacing w:line="240" w:lineRule="auto"/>
                    <w:jc w:val="center"/>
                    <w:rPr>
                      <w:sz w:val="21"/>
                    </w:rPr>
                  </w:pPr>
                  <w:r>
                    <w:rPr>
                      <w:rFonts w:hint="eastAsia"/>
                      <w:color w:val="000000" w:themeColor="text1"/>
                      <w:sz w:val="21"/>
                      <w:lang w:eastAsia="zh-CN"/>
                      <w14:textFill>
                        <w14:solidFill>
                          <w14:schemeClr w14:val="tx1"/>
                        </w14:solidFill>
                      </w14:textFill>
                    </w:rPr>
                    <w:t>尾气吸收塔</w:t>
                  </w:r>
                  <w:r>
                    <w:rPr>
                      <w:rFonts w:hint="eastAsia"/>
                      <w:sz w:val="21"/>
                    </w:rPr>
                    <w:t>废气排放口</w:t>
                  </w:r>
                </w:p>
              </w:tc>
              <w:tc>
                <w:tcPr>
                  <w:tcW w:w="806" w:type="dxa"/>
                  <w:tcBorders>
                    <w:tl2br w:val="nil"/>
                    <w:tr2bl w:val="nil"/>
                  </w:tcBorders>
                  <w:shd w:val="clear" w:color="auto" w:fill="FFFFFF"/>
                  <w:vAlign w:val="center"/>
                </w:tcPr>
                <w:p w14:paraId="02BA3AF2">
                  <w:pPr>
                    <w:adjustRightInd w:val="0"/>
                    <w:snapToGrid w:val="0"/>
                    <w:spacing w:line="240" w:lineRule="auto"/>
                    <w:jc w:val="center"/>
                    <w:rPr>
                      <w:sz w:val="21"/>
                    </w:rPr>
                  </w:pPr>
                  <w:r>
                    <w:rPr>
                      <w:rFonts w:hint="eastAsia"/>
                      <w:sz w:val="21"/>
                    </w:rPr>
                    <w:t>是</w:t>
                  </w:r>
                </w:p>
              </w:tc>
              <w:tc>
                <w:tcPr>
                  <w:tcW w:w="809" w:type="dxa"/>
                  <w:tcBorders>
                    <w:tl2br w:val="nil"/>
                    <w:tr2bl w:val="nil"/>
                  </w:tcBorders>
                  <w:shd w:val="clear" w:color="auto" w:fill="FFFFFF"/>
                  <w:vAlign w:val="center"/>
                </w:tcPr>
                <w:p w14:paraId="7741326B">
                  <w:pPr>
                    <w:adjustRightInd w:val="0"/>
                    <w:snapToGrid w:val="0"/>
                    <w:spacing w:line="240" w:lineRule="auto"/>
                    <w:jc w:val="center"/>
                    <w:rPr>
                      <w:sz w:val="21"/>
                    </w:rPr>
                  </w:pPr>
                  <w:r>
                    <w:rPr>
                      <w:rFonts w:hint="eastAsia"/>
                      <w:sz w:val="21"/>
                    </w:rPr>
                    <w:t>一般排放口</w:t>
                  </w:r>
                </w:p>
              </w:tc>
              <w:tc>
                <w:tcPr>
                  <w:tcW w:w="854" w:type="dxa"/>
                  <w:tcBorders>
                    <w:tl2br w:val="nil"/>
                    <w:tr2bl w:val="nil"/>
                  </w:tcBorders>
                  <w:shd w:val="clear" w:color="auto" w:fill="FFFFFF"/>
                  <w:vAlign w:val="center"/>
                </w:tcPr>
                <w:p w14:paraId="2ACD017C">
                  <w:pPr>
                    <w:adjustRightInd w:val="0"/>
                    <w:snapToGrid w:val="0"/>
                    <w:spacing w:line="240" w:lineRule="auto"/>
                    <w:jc w:val="center"/>
                    <w:rPr>
                      <w:sz w:val="21"/>
                    </w:rPr>
                  </w:pPr>
                  <w:r>
                    <w:rPr>
                      <w:rFonts w:hint="eastAsia"/>
                      <w:sz w:val="21"/>
                    </w:rPr>
                    <w:t>15米高排气筒</w:t>
                  </w:r>
                </w:p>
              </w:tc>
            </w:tr>
            <w:tr w14:paraId="02F830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254" w:hRule="atLeast"/>
                <w:jc w:val="center"/>
              </w:trPr>
              <w:tc>
                <w:tcPr>
                  <w:tcW w:w="435" w:type="dxa"/>
                  <w:tcBorders>
                    <w:tl2br w:val="nil"/>
                    <w:tr2bl w:val="nil"/>
                  </w:tcBorders>
                  <w:shd w:val="clear" w:color="auto" w:fill="FFFFFF"/>
                  <w:vAlign w:val="center"/>
                </w:tcPr>
                <w:p w14:paraId="6008A26B">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222" w:type="dxa"/>
                  <w:tcBorders>
                    <w:tl2br w:val="nil"/>
                    <w:tr2bl w:val="nil"/>
                  </w:tcBorders>
                  <w:shd w:val="clear" w:color="auto" w:fill="FFFFFF"/>
                  <w:vAlign w:val="center"/>
                </w:tcPr>
                <w:p w14:paraId="6D27BCAF">
                  <w:pPr>
                    <w:adjustRightInd w:val="0"/>
                    <w:snapToGrid w:val="0"/>
                    <w:spacing w:line="240" w:lineRule="auto"/>
                    <w:jc w:val="center"/>
                    <w:rPr>
                      <w:rFonts w:hint="eastAsia" w:eastAsia="宋体"/>
                      <w:sz w:val="21"/>
                      <w:lang w:eastAsia="zh-CN"/>
                    </w:rPr>
                  </w:pPr>
                  <w:r>
                    <w:rPr>
                      <w:rFonts w:hint="eastAsia"/>
                      <w:sz w:val="21"/>
                      <w:lang w:eastAsia="zh-CN"/>
                    </w:rPr>
                    <w:t>氨水中间罐</w:t>
                  </w:r>
                </w:p>
              </w:tc>
              <w:tc>
                <w:tcPr>
                  <w:tcW w:w="1339" w:type="dxa"/>
                  <w:tcBorders>
                    <w:tl2br w:val="nil"/>
                    <w:tr2bl w:val="nil"/>
                  </w:tcBorders>
                  <w:shd w:val="clear" w:color="auto" w:fill="FFFFFF"/>
                  <w:vAlign w:val="center"/>
                </w:tcPr>
                <w:p w14:paraId="3AF588D4">
                  <w:pPr>
                    <w:adjustRightInd w:val="0"/>
                    <w:snapToGrid w:val="0"/>
                    <w:spacing w:line="240" w:lineRule="auto"/>
                    <w:jc w:val="center"/>
                    <w:rPr>
                      <w:rFonts w:hint="eastAsia" w:eastAsia="宋体"/>
                      <w:sz w:val="21"/>
                      <w:lang w:eastAsia="zh-CN"/>
                    </w:rPr>
                  </w:pPr>
                  <w:r>
                    <w:rPr>
                      <w:rFonts w:hint="eastAsia"/>
                      <w:sz w:val="21"/>
                      <w:lang w:eastAsia="zh-CN"/>
                    </w:rPr>
                    <w:t>大小呼吸</w:t>
                  </w:r>
                </w:p>
              </w:tc>
              <w:tc>
                <w:tcPr>
                  <w:tcW w:w="1293" w:type="dxa"/>
                  <w:tcBorders>
                    <w:tl2br w:val="nil"/>
                    <w:tr2bl w:val="nil"/>
                  </w:tcBorders>
                  <w:shd w:val="clear" w:color="auto" w:fill="FFFFFF"/>
                  <w:vAlign w:val="center"/>
                </w:tcPr>
                <w:p w14:paraId="7140744C">
                  <w:pPr>
                    <w:adjustRightInd w:val="0"/>
                    <w:snapToGrid w:val="0"/>
                    <w:spacing w:line="240" w:lineRule="auto"/>
                    <w:jc w:val="center"/>
                    <w:rPr>
                      <w:rFonts w:hint="eastAsia" w:eastAsia="宋体"/>
                      <w:sz w:val="21"/>
                      <w:lang w:eastAsia="zh-CN"/>
                    </w:rPr>
                  </w:pPr>
                  <w:r>
                    <w:rPr>
                      <w:rFonts w:hint="eastAsia"/>
                      <w:sz w:val="21"/>
                      <w:lang w:eastAsia="zh-CN"/>
                    </w:rPr>
                    <w:t>氨</w:t>
                  </w:r>
                </w:p>
              </w:tc>
              <w:tc>
                <w:tcPr>
                  <w:tcW w:w="815" w:type="dxa"/>
                  <w:tcBorders>
                    <w:tl2br w:val="nil"/>
                    <w:tr2bl w:val="nil"/>
                  </w:tcBorders>
                  <w:shd w:val="clear" w:color="auto" w:fill="FFFFFF"/>
                  <w:vAlign w:val="center"/>
                </w:tcPr>
                <w:p w14:paraId="3DE8E444">
                  <w:pPr>
                    <w:adjustRightInd w:val="0"/>
                    <w:snapToGrid w:val="0"/>
                    <w:spacing w:line="240" w:lineRule="auto"/>
                    <w:jc w:val="center"/>
                    <w:rPr>
                      <w:sz w:val="21"/>
                    </w:rPr>
                  </w:pPr>
                  <w:r>
                    <w:rPr>
                      <w:rFonts w:hint="eastAsia"/>
                      <w:sz w:val="21"/>
                    </w:rPr>
                    <w:t>有组织</w:t>
                  </w:r>
                </w:p>
              </w:tc>
              <w:tc>
                <w:tcPr>
                  <w:tcW w:w="1080" w:type="dxa"/>
                  <w:tcBorders>
                    <w:tl2br w:val="nil"/>
                    <w:tr2bl w:val="nil"/>
                  </w:tcBorders>
                  <w:shd w:val="clear" w:color="auto" w:fill="FFFFFF"/>
                  <w:vAlign w:val="center"/>
                </w:tcPr>
                <w:p w14:paraId="423BD17C">
                  <w:pPr>
                    <w:adjustRightInd w:val="0"/>
                    <w:snapToGrid w:val="0"/>
                    <w:spacing w:line="240" w:lineRule="auto"/>
                    <w:jc w:val="center"/>
                    <w:rPr>
                      <w:sz w:val="21"/>
                    </w:rPr>
                  </w:pPr>
                  <w:r>
                    <w:rPr>
                      <w:rFonts w:hint="eastAsia"/>
                      <w:sz w:val="21"/>
                    </w:rPr>
                    <w:t>TA001</w:t>
                  </w:r>
                </w:p>
              </w:tc>
              <w:tc>
                <w:tcPr>
                  <w:tcW w:w="1210" w:type="dxa"/>
                  <w:tcBorders>
                    <w:tl2br w:val="nil"/>
                    <w:tr2bl w:val="nil"/>
                  </w:tcBorders>
                  <w:shd w:val="clear" w:color="auto" w:fill="FFFFFF"/>
                  <w:vAlign w:val="center"/>
                </w:tcPr>
                <w:p w14:paraId="60EC97C8">
                  <w:pPr>
                    <w:adjustRightInd w:val="0"/>
                    <w:snapToGrid w:val="0"/>
                    <w:spacing w:line="240" w:lineRule="auto"/>
                    <w:jc w:val="center"/>
                    <w:rPr>
                      <w:sz w:val="21"/>
                    </w:rPr>
                  </w:pPr>
                  <w:r>
                    <w:rPr>
                      <w:rFonts w:hint="eastAsia"/>
                      <w:sz w:val="21"/>
                      <w:lang w:eastAsia="zh-CN"/>
                    </w:rPr>
                    <w:t>尾气吸收塔</w:t>
                  </w:r>
                </w:p>
              </w:tc>
              <w:tc>
                <w:tcPr>
                  <w:tcW w:w="1017" w:type="dxa"/>
                  <w:tcBorders>
                    <w:tl2br w:val="nil"/>
                    <w:tr2bl w:val="nil"/>
                  </w:tcBorders>
                  <w:shd w:val="clear" w:color="auto" w:fill="FFFFFF"/>
                  <w:vAlign w:val="center"/>
                </w:tcPr>
                <w:p w14:paraId="6F8B2472">
                  <w:pPr>
                    <w:adjustRightInd w:val="0"/>
                    <w:snapToGrid w:val="0"/>
                    <w:spacing w:line="240" w:lineRule="auto"/>
                    <w:jc w:val="center"/>
                    <w:rPr>
                      <w:sz w:val="21"/>
                    </w:rPr>
                  </w:pPr>
                  <w:r>
                    <w:rPr>
                      <w:rFonts w:hint="eastAsia"/>
                      <w:sz w:val="21"/>
                      <w:lang w:eastAsia="zh-CN"/>
                    </w:rPr>
                    <w:t>水喷淋</w:t>
                  </w:r>
                </w:p>
              </w:tc>
              <w:tc>
                <w:tcPr>
                  <w:tcW w:w="1007" w:type="dxa"/>
                  <w:tcBorders>
                    <w:tl2br w:val="nil"/>
                    <w:tr2bl w:val="nil"/>
                  </w:tcBorders>
                  <w:shd w:val="clear" w:color="auto" w:fill="FFFFFF"/>
                  <w:vAlign w:val="center"/>
                </w:tcPr>
                <w:p w14:paraId="7B22AB56">
                  <w:pPr>
                    <w:adjustRightInd w:val="0"/>
                    <w:snapToGrid w:val="0"/>
                    <w:spacing w:line="240" w:lineRule="auto"/>
                    <w:jc w:val="center"/>
                    <w:rPr>
                      <w:rStyle w:val="17"/>
                    </w:rPr>
                  </w:pPr>
                  <w:r>
                    <w:rPr>
                      <w:rStyle w:val="17"/>
                      <w:rFonts w:hint="eastAsia"/>
                    </w:rPr>
                    <w:t>是</w:t>
                  </w:r>
                </w:p>
              </w:tc>
              <w:tc>
                <w:tcPr>
                  <w:tcW w:w="998" w:type="dxa"/>
                  <w:tcBorders>
                    <w:tl2br w:val="nil"/>
                    <w:tr2bl w:val="nil"/>
                  </w:tcBorders>
                  <w:shd w:val="clear" w:color="auto" w:fill="FFFFFF"/>
                  <w:vAlign w:val="center"/>
                </w:tcPr>
                <w:p w14:paraId="7F2D8225">
                  <w:pPr>
                    <w:adjustRightInd w:val="0"/>
                    <w:snapToGrid w:val="0"/>
                    <w:spacing w:line="240" w:lineRule="auto"/>
                    <w:jc w:val="center"/>
                    <w:rPr>
                      <w:sz w:val="21"/>
                    </w:rPr>
                  </w:pPr>
                  <w:r>
                    <w:rPr>
                      <w:sz w:val="21"/>
                    </w:rPr>
                    <w:t>/</w:t>
                  </w:r>
                </w:p>
              </w:tc>
              <w:tc>
                <w:tcPr>
                  <w:tcW w:w="806" w:type="dxa"/>
                  <w:tcBorders>
                    <w:tl2br w:val="nil"/>
                    <w:tr2bl w:val="nil"/>
                  </w:tcBorders>
                  <w:shd w:val="clear" w:color="auto" w:fill="FFFFFF"/>
                  <w:vAlign w:val="center"/>
                </w:tcPr>
                <w:p w14:paraId="4345A13E">
                  <w:pPr>
                    <w:adjustRightInd w:val="0"/>
                    <w:snapToGrid w:val="0"/>
                    <w:spacing w:line="240" w:lineRule="auto"/>
                    <w:jc w:val="center"/>
                    <w:rPr>
                      <w:sz w:val="21"/>
                    </w:rPr>
                  </w:pPr>
                  <w:r>
                    <w:rPr>
                      <w:rFonts w:hint="eastAsia"/>
                      <w:sz w:val="21"/>
                    </w:rPr>
                    <w:t>DA001</w:t>
                  </w:r>
                </w:p>
              </w:tc>
              <w:tc>
                <w:tcPr>
                  <w:tcW w:w="996" w:type="dxa"/>
                  <w:tcBorders>
                    <w:tl2br w:val="nil"/>
                    <w:tr2bl w:val="nil"/>
                  </w:tcBorders>
                  <w:shd w:val="clear" w:color="auto" w:fill="FFFFFF"/>
                  <w:vAlign w:val="center"/>
                </w:tcPr>
                <w:p w14:paraId="0393514A">
                  <w:pPr>
                    <w:adjustRightInd w:val="0"/>
                    <w:snapToGrid w:val="0"/>
                    <w:spacing w:line="240" w:lineRule="auto"/>
                    <w:jc w:val="center"/>
                    <w:rPr>
                      <w:sz w:val="21"/>
                    </w:rPr>
                  </w:pPr>
                  <w:r>
                    <w:rPr>
                      <w:rFonts w:hint="eastAsia"/>
                      <w:color w:val="000000" w:themeColor="text1"/>
                      <w:sz w:val="21"/>
                      <w14:textFill>
                        <w14:solidFill>
                          <w14:schemeClr w14:val="tx1"/>
                        </w14:solidFill>
                      </w14:textFill>
                    </w:rPr>
                    <w:t>尾气吸收塔</w:t>
                  </w:r>
                  <w:r>
                    <w:rPr>
                      <w:rFonts w:hint="eastAsia"/>
                      <w:sz w:val="21"/>
                    </w:rPr>
                    <w:t>废气排放口</w:t>
                  </w:r>
                </w:p>
              </w:tc>
              <w:tc>
                <w:tcPr>
                  <w:tcW w:w="806" w:type="dxa"/>
                  <w:tcBorders>
                    <w:tl2br w:val="nil"/>
                    <w:tr2bl w:val="nil"/>
                  </w:tcBorders>
                  <w:shd w:val="clear" w:color="auto" w:fill="FFFFFF"/>
                  <w:vAlign w:val="center"/>
                </w:tcPr>
                <w:p w14:paraId="023D1FE5">
                  <w:pPr>
                    <w:adjustRightInd w:val="0"/>
                    <w:snapToGrid w:val="0"/>
                    <w:spacing w:line="240" w:lineRule="auto"/>
                    <w:jc w:val="center"/>
                    <w:rPr>
                      <w:sz w:val="21"/>
                    </w:rPr>
                  </w:pPr>
                  <w:r>
                    <w:rPr>
                      <w:rFonts w:hint="eastAsia"/>
                      <w:sz w:val="21"/>
                    </w:rPr>
                    <w:t>是</w:t>
                  </w:r>
                </w:p>
              </w:tc>
              <w:tc>
                <w:tcPr>
                  <w:tcW w:w="809" w:type="dxa"/>
                  <w:tcBorders>
                    <w:tl2br w:val="nil"/>
                    <w:tr2bl w:val="nil"/>
                  </w:tcBorders>
                  <w:shd w:val="clear" w:color="auto" w:fill="FFFFFF"/>
                  <w:vAlign w:val="center"/>
                </w:tcPr>
                <w:p w14:paraId="7BB48FBF">
                  <w:pPr>
                    <w:adjustRightInd w:val="0"/>
                    <w:snapToGrid w:val="0"/>
                    <w:spacing w:line="240" w:lineRule="auto"/>
                    <w:jc w:val="center"/>
                    <w:rPr>
                      <w:sz w:val="21"/>
                    </w:rPr>
                  </w:pPr>
                  <w:r>
                    <w:rPr>
                      <w:rFonts w:hint="eastAsia"/>
                      <w:sz w:val="21"/>
                    </w:rPr>
                    <w:t>一般排放口</w:t>
                  </w:r>
                </w:p>
              </w:tc>
              <w:tc>
                <w:tcPr>
                  <w:tcW w:w="854" w:type="dxa"/>
                  <w:tcBorders>
                    <w:tl2br w:val="nil"/>
                    <w:tr2bl w:val="nil"/>
                  </w:tcBorders>
                  <w:shd w:val="clear" w:color="auto" w:fill="FFFFFF"/>
                  <w:vAlign w:val="center"/>
                </w:tcPr>
                <w:p w14:paraId="16E76F6E">
                  <w:pPr>
                    <w:adjustRightInd w:val="0"/>
                    <w:snapToGrid w:val="0"/>
                    <w:spacing w:line="240" w:lineRule="auto"/>
                    <w:jc w:val="center"/>
                    <w:rPr>
                      <w:sz w:val="21"/>
                    </w:rPr>
                  </w:pPr>
                  <w:r>
                    <w:rPr>
                      <w:rFonts w:hint="eastAsia"/>
                      <w:sz w:val="21"/>
                    </w:rPr>
                    <w:t>15米高排气筒</w:t>
                  </w:r>
                </w:p>
              </w:tc>
            </w:tr>
            <w:tr w14:paraId="362F49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254" w:hRule="atLeast"/>
                <w:jc w:val="center"/>
              </w:trPr>
              <w:tc>
                <w:tcPr>
                  <w:tcW w:w="435" w:type="dxa"/>
                  <w:tcBorders>
                    <w:tl2br w:val="nil"/>
                    <w:tr2bl w:val="nil"/>
                  </w:tcBorders>
                  <w:shd w:val="clear" w:color="auto" w:fill="FFFFFF"/>
                  <w:vAlign w:val="center"/>
                </w:tcPr>
                <w:p w14:paraId="064BDF51">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w:t>
                  </w:r>
                </w:p>
              </w:tc>
              <w:tc>
                <w:tcPr>
                  <w:tcW w:w="1222" w:type="dxa"/>
                  <w:tcBorders>
                    <w:tl2br w:val="nil"/>
                    <w:tr2bl w:val="nil"/>
                  </w:tcBorders>
                  <w:shd w:val="clear" w:color="auto" w:fill="FFFFFF"/>
                  <w:vAlign w:val="center"/>
                </w:tcPr>
                <w:p w14:paraId="5671D56C">
                  <w:pPr>
                    <w:adjustRightInd w:val="0"/>
                    <w:snapToGrid w:val="0"/>
                    <w:spacing w:line="240" w:lineRule="auto"/>
                    <w:jc w:val="center"/>
                    <w:rPr>
                      <w:rFonts w:hint="eastAsia"/>
                      <w:sz w:val="21"/>
                      <w:lang w:eastAsia="zh-CN"/>
                    </w:rPr>
                  </w:pPr>
                  <w:r>
                    <w:rPr>
                      <w:rFonts w:hint="eastAsia"/>
                      <w:sz w:val="21"/>
                      <w:lang w:eastAsia="zh-CN"/>
                    </w:rPr>
                    <w:t>氨水储罐</w:t>
                  </w:r>
                </w:p>
              </w:tc>
              <w:tc>
                <w:tcPr>
                  <w:tcW w:w="1339" w:type="dxa"/>
                  <w:tcBorders>
                    <w:tl2br w:val="nil"/>
                    <w:tr2bl w:val="nil"/>
                  </w:tcBorders>
                  <w:shd w:val="clear" w:color="auto" w:fill="FFFFFF"/>
                  <w:vAlign w:val="center"/>
                </w:tcPr>
                <w:p w14:paraId="19713C02">
                  <w:pPr>
                    <w:adjustRightInd w:val="0"/>
                    <w:snapToGrid w:val="0"/>
                    <w:spacing w:line="240" w:lineRule="auto"/>
                    <w:jc w:val="center"/>
                    <w:rPr>
                      <w:rFonts w:hint="eastAsia"/>
                      <w:sz w:val="21"/>
                      <w:lang w:eastAsia="zh-CN"/>
                    </w:rPr>
                  </w:pPr>
                  <w:r>
                    <w:rPr>
                      <w:rFonts w:hint="eastAsia"/>
                      <w:sz w:val="21"/>
                      <w:lang w:eastAsia="zh-CN"/>
                    </w:rPr>
                    <w:t>大小呼吸</w:t>
                  </w:r>
                </w:p>
              </w:tc>
              <w:tc>
                <w:tcPr>
                  <w:tcW w:w="1293" w:type="dxa"/>
                  <w:tcBorders>
                    <w:tl2br w:val="nil"/>
                    <w:tr2bl w:val="nil"/>
                  </w:tcBorders>
                  <w:shd w:val="clear" w:color="auto" w:fill="FFFFFF"/>
                  <w:vAlign w:val="center"/>
                </w:tcPr>
                <w:p w14:paraId="081ADA3D">
                  <w:pPr>
                    <w:adjustRightInd w:val="0"/>
                    <w:snapToGrid w:val="0"/>
                    <w:spacing w:line="240" w:lineRule="auto"/>
                    <w:jc w:val="center"/>
                    <w:rPr>
                      <w:rFonts w:hint="eastAsia"/>
                      <w:sz w:val="21"/>
                      <w:lang w:eastAsia="zh-CN"/>
                    </w:rPr>
                  </w:pPr>
                  <w:r>
                    <w:rPr>
                      <w:rFonts w:hint="eastAsia"/>
                      <w:sz w:val="21"/>
                      <w:lang w:eastAsia="zh-CN"/>
                    </w:rPr>
                    <w:t>氨</w:t>
                  </w:r>
                </w:p>
              </w:tc>
              <w:tc>
                <w:tcPr>
                  <w:tcW w:w="815" w:type="dxa"/>
                  <w:tcBorders>
                    <w:tl2br w:val="nil"/>
                    <w:tr2bl w:val="nil"/>
                  </w:tcBorders>
                  <w:shd w:val="clear" w:color="auto" w:fill="FFFFFF"/>
                  <w:vAlign w:val="center"/>
                </w:tcPr>
                <w:p w14:paraId="4FFDDF03">
                  <w:pPr>
                    <w:adjustRightInd w:val="0"/>
                    <w:snapToGrid w:val="0"/>
                    <w:spacing w:line="240" w:lineRule="auto"/>
                    <w:jc w:val="center"/>
                    <w:rPr>
                      <w:rFonts w:hint="eastAsia"/>
                      <w:sz w:val="21"/>
                    </w:rPr>
                  </w:pPr>
                  <w:r>
                    <w:rPr>
                      <w:rFonts w:hint="eastAsia"/>
                      <w:sz w:val="21"/>
                    </w:rPr>
                    <w:t>有组织</w:t>
                  </w:r>
                </w:p>
              </w:tc>
              <w:tc>
                <w:tcPr>
                  <w:tcW w:w="1080" w:type="dxa"/>
                  <w:tcBorders>
                    <w:tl2br w:val="nil"/>
                    <w:tr2bl w:val="nil"/>
                  </w:tcBorders>
                  <w:shd w:val="clear" w:color="auto" w:fill="FFFFFF"/>
                  <w:vAlign w:val="center"/>
                </w:tcPr>
                <w:p w14:paraId="2BADB898">
                  <w:pPr>
                    <w:adjustRightInd w:val="0"/>
                    <w:snapToGrid w:val="0"/>
                    <w:spacing w:line="240" w:lineRule="auto"/>
                    <w:jc w:val="center"/>
                    <w:rPr>
                      <w:rFonts w:hint="eastAsia"/>
                      <w:sz w:val="21"/>
                    </w:rPr>
                  </w:pPr>
                  <w:r>
                    <w:rPr>
                      <w:rFonts w:hint="eastAsia"/>
                      <w:sz w:val="21"/>
                    </w:rPr>
                    <w:t>TA001</w:t>
                  </w:r>
                </w:p>
              </w:tc>
              <w:tc>
                <w:tcPr>
                  <w:tcW w:w="1210" w:type="dxa"/>
                  <w:tcBorders>
                    <w:tl2br w:val="nil"/>
                    <w:tr2bl w:val="nil"/>
                  </w:tcBorders>
                  <w:shd w:val="clear" w:color="auto" w:fill="FFFFFF"/>
                  <w:vAlign w:val="center"/>
                </w:tcPr>
                <w:p w14:paraId="14EE180D">
                  <w:pPr>
                    <w:adjustRightInd w:val="0"/>
                    <w:snapToGrid w:val="0"/>
                    <w:spacing w:line="240" w:lineRule="auto"/>
                    <w:jc w:val="center"/>
                    <w:rPr>
                      <w:rFonts w:hint="eastAsia"/>
                      <w:sz w:val="21"/>
                      <w:lang w:eastAsia="zh-CN"/>
                    </w:rPr>
                  </w:pPr>
                  <w:r>
                    <w:rPr>
                      <w:rFonts w:hint="eastAsia"/>
                      <w:sz w:val="21"/>
                      <w:lang w:eastAsia="zh-CN"/>
                    </w:rPr>
                    <w:t>尾气吸收塔</w:t>
                  </w:r>
                </w:p>
              </w:tc>
              <w:tc>
                <w:tcPr>
                  <w:tcW w:w="1017" w:type="dxa"/>
                  <w:tcBorders>
                    <w:tl2br w:val="nil"/>
                    <w:tr2bl w:val="nil"/>
                  </w:tcBorders>
                  <w:shd w:val="clear" w:color="auto" w:fill="FFFFFF"/>
                  <w:vAlign w:val="center"/>
                </w:tcPr>
                <w:p w14:paraId="33E41D80">
                  <w:pPr>
                    <w:adjustRightInd w:val="0"/>
                    <w:snapToGrid w:val="0"/>
                    <w:spacing w:line="240" w:lineRule="auto"/>
                    <w:jc w:val="center"/>
                    <w:rPr>
                      <w:rFonts w:hint="eastAsia"/>
                      <w:sz w:val="21"/>
                      <w:lang w:eastAsia="zh-CN"/>
                    </w:rPr>
                  </w:pPr>
                  <w:r>
                    <w:rPr>
                      <w:rFonts w:hint="eastAsia"/>
                      <w:sz w:val="21"/>
                      <w:lang w:eastAsia="zh-CN"/>
                    </w:rPr>
                    <w:t>水喷淋</w:t>
                  </w:r>
                </w:p>
              </w:tc>
              <w:tc>
                <w:tcPr>
                  <w:tcW w:w="1007" w:type="dxa"/>
                  <w:tcBorders>
                    <w:tl2br w:val="nil"/>
                    <w:tr2bl w:val="nil"/>
                  </w:tcBorders>
                  <w:shd w:val="clear" w:color="auto" w:fill="FFFFFF"/>
                  <w:vAlign w:val="center"/>
                </w:tcPr>
                <w:p w14:paraId="3139934D">
                  <w:pPr>
                    <w:adjustRightInd w:val="0"/>
                    <w:snapToGrid w:val="0"/>
                    <w:spacing w:line="240" w:lineRule="auto"/>
                    <w:jc w:val="center"/>
                    <w:rPr>
                      <w:rStyle w:val="17"/>
                      <w:rFonts w:hint="eastAsia"/>
                    </w:rPr>
                  </w:pPr>
                  <w:r>
                    <w:rPr>
                      <w:rStyle w:val="17"/>
                      <w:rFonts w:hint="eastAsia"/>
                    </w:rPr>
                    <w:t>是</w:t>
                  </w:r>
                </w:p>
              </w:tc>
              <w:tc>
                <w:tcPr>
                  <w:tcW w:w="998" w:type="dxa"/>
                  <w:tcBorders>
                    <w:tl2br w:val="nil"/>
                    <w:tr2bl w:val="nil"/>
                  </w:tcBorders>
                  <w:shd w:val="clear" w:color="auto" w:fill="FFFFFF"/>
                  <w:vAlign w:val="center"/>
                </w:tcPr>
                <w:p w14:paraId="106D07C7">
                  <w:pPr>
                    <w:adjustRightInd w:val="0"/>
                    <w:snapToGrid w:val="0"/>
                    <w:spacing w:line="240" w:lineRule="auto"/>
                    <w:jc w:val="center"/>
                    <w:rPr>
                      <w:sz w:val="21"/>
                    </w:rPr>
                  </w:pPr>
                  <w:r>
                    <w:rPr>
                      <w:sz w:val="21"/>
                    </w:rPr>
                    <w:t>/</w:t>
                  </w:r>
                </w:p>
              </w:tc>
              <w:tc>
                <w:tcPr>
                  <w:tcW w:w="806" w:type="dxa"/>
                  <w:tcBorders>
                    <w:tl2br w:val="nil"/>
                    <w:tr2bl w:val="nil"/>
                  </w:tcBorders>
                  <w:shd w:val="clear" w:color="auto" w:fill="FFFFFF"/>
                  <w:vAlign w:val="center"/>
                </w:tcPr>
                <w:p w14:paraId="381662D3">
                  <w:pPr>
                    <w:adjustRightInd w:val="0"/>
                    <w:snapToGrid w:val="0"/>
                    <w:spacing w:line="240" w:lineRule="auto"/>
                    <w:jc w:val="center"/>
                    <w:rPr>
                      <w:rFonts w:hint="eastAsia"/>
                      <w:sz w:val="21"/>
                    </w:rPr>
                  </w:pPr>
                  <w:r>
                    <w:rPr>
                      <w:rFonts w:hint="eastAsia"/>
                      <w:sz w:val="21"/>
                    </w:rPr>
                    <w:t>DA001</w:t>
                  </w:r>
                </w:p>
              </w:tc>
              <w:tc>
                <w:tcPr>
                  <w:tcW w:w="996" w:type="dxa"/>
                  <w:tcBorders>
                    <w:tl2br w:val="nil"/>
                    <w:tr2bl w:val="nil"/>
                  </w:tcBorders>
                  <w:shd w:val="clear" w:color="auto" w:fill="FFFFFF"/>
                  <w:vAlign w:val="center"/>
                </w:tcPr>
                <w:p w14:paraId="2E71784A">
                  <w:pPr>
                    <w:adjustRightInd w:val="0"/>
                    <w:snapToGrid w:val="0"/>
                    <w:spacing w:line="240" w:lineRule="auto"/>
                    <w:jc w:val="center"/>
                    <w:rPr>
                      <w:rFonts w:hint="eastAsia"/>
                      <w:sz w:val="21"/>
                    </w:rPr>
                  </w:pPr>
                  <w:r>
                    <w:rPr>
                      <w:rFonts w:hint="eastAsia"/>
                      <w:color w:val="000000" w:themeColor="text1"/>
                      <w:sz w:val="21"/>
                      <w14:textFill>
                        <w14:solidFill>
                          <w14:schemeClr w14:val="tx1"/>
                        </w14:solidFill>
                      </w14:textFill>
                    </w:rPr>
                    <w:t>尾气吸收塔</w:t>
                  </w:r>
                  <w:r>
                    <w:rPr>
                      <w:rFonts w:hint="eastAsia"/>
                      <w:sz w:val="21"/>
                    </w:rPr>
                    <w:t>废气排放口</w:t>
                  </w:r>
                </w:p>
              </w:tc>
              <w:tc>
                <w:tcPr>
                  <w:tcW w:w="806" w:type="dxa"/>
                  <w:tcBorders>
                    <w:tl2br w:val="nil"/>
                    <w:tr2bl w:val="nil"/>
                  </w:tcBorders>
                  <w:shd w:val="clear" w:color="auto" w:fill="FFFFFF"/>
                  <w:vAlign w:val="center"/>
                </w:tcPr>
                <w:p w14:paraId="36F0E338">
                  <w:pPr>
                    <w:adjustRightInd w:val="0"/>
                    <w:snapToGrid w:val="0"/>
                    <w:spacing w:line="240" w:lineRule="auto"/>
                    <w:jc w:val="center"/>
                    <w:rPr>
                      <w:rFonts w:hint="eastAsia"/>
                      <w:sz w:val="21"/>
                    </w:rPr>
                  </w:pPr>
                  <w:r>
                    <w:rPr>
                      <w:rFonts w:hint="eastAsia"/>
                      <w:sz w:val="21"/>
                    </w:rPr>
                    <w:t>是</w:t>
                  </w:r>
                </w:p>
              </w:tc>
              <w:tc>
                <w:tcPr>
                  <w:tcW w:w="809" w:type="dxa"/>
                  <w:tcBorders>
                    <w:tl2br w:val="nil"/>
                    <w:tr2bl w:val="nil"/>
                  </w:tcBorders>
                  <w:shd w:val="clear" w:color="auto" w:fill="FFFFFF"/>
                  <w:vAlign w:val="center"/>
                </w:tcPr>
                <w:p w14:paraId="1AD7540E">
                  <w:pPr>
                    <w:adjustRightInd w:val="0"/>
                    <w:snapToGrid w:val="0"/>
                    <w:spacing w:line="240" w:lineRule="auto"/>
                    <w:jc w:val="center"/>
                    <w:rPr>
                      <w:rFonts w:hint="eastAsia"/>
                      <w:sz w:val="21"/>
                    </w:rPr>
                  </w:pPr>
                  <w:r>
                    <w:rPr>
                      <w:rFonts w:hint="eastAsia"/>
                      <w:sz w:val="21"/>
                    </w:rPr>
                    <w:t>一般排放口</w:t>
                  </w:r>
                </w:p>
              </w:tc>
              <w:tc>
                <w:tcPr>
                  <w:tcW w:w="854" w:type="dxa"/>
                  <w:tcBorders>
                    <w:tl2br w:val="nil"/>
                    <w:tr2bl w:val="nil"/>
                  </w:tcBorders>
                  <w:shd w:val="clear" w:color="auto" w:fill="FFFFFF"/>
                  <w:vAlign w:val="center"/>
                </w:tcPr>
                <w:p w14:paraId="66C8779D">
                  <w:pPr>
                    <w:adjustRightInd w:val="0"/>
                    <w:snapToGrid w:val="0"/>
                    <w:spacing w:line="240" w:lineRule="auto"/>
                    <w:jc w:val="center"/>
                    <w:rPr>
                      <w:rFonts w:hint="eastAsia"/>
                      <w:sz w:val="21"/>
                    </w:rPr>
                  </w:pPr>
                  <w:r>
                    <w:rPr>
                      <w:rFonts w:hint="eastAsia"/>
                      <w:sz w:val="21"/>
                    </w:rPr>
                    <w:t>15米高排气筒</w:t>
                  </w:r>
                </w:p>
              </w:tc>
            </w:tr>
            <w:tr w14:paraId="5C0D4E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254" w:hRule="atLeast"/>
                <w:jc w:val="center"/>
              </w:trPr>
              <w:tc>
                <w:tcPr>
                  <w:tcW w:w="435" w:type="dxa"/>
                  <w:tcBorders>
                    <w:tl2br w:val="nil"/>
                    <w:tr2bl w:val="nil"/>
                  </w:tcBorders>
                  <w:shd w:val="clear" w:color="auto" w:fill="FFFFFF"/>
                  <w:vAlign w:val="center"/>
                </w:tcPr>
                <w:p w14:paraId="60861550">
                  <w:pPr>
                    <w:adjustRightInd w:val="0"/>
                    <w:snapToGrid w:val="0"/>
                    <w:spacing w:line="240" w:lineRule="auto"/>
                    <w:jc w:val="center"/>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5、</w:t>
                  </w:r>
                </w:p>
              </w:tc>
              <w:tc>
                <w:tcPr>
                  <w:tcW w:w="1222" w:type="dxa"/>
                  <w:tcBorders>
                    <w:tl2br w:val="nil"/>
                    <w:tr2bl w:val="nil"/>
                  </w:tcBorders>
                  <w:shd w:val="clear" w:color="auto" w:fill="FFFFFF"/>
                  <w:vAlign w:val="center"/>
                </w:tcPr>
                <w:p w14:paraId="4CE85251">
                  <w:pPr>
                    <w:adjustRightInd w:val="0"/>
                    <w:snapToGrid w:val="0"/>
                    <w:spacing w:line="240" w:lineRule="auto"/>
                    <w:jc w:val="center"/>
                    <w:rPr>
                      <w:rFonts w:hint="eastAsia"/>
                      <w:sz w:val="21"/>
                      <w:lang w:eastAsia="zh-CN"/>
                    </w:rPr>
                  </w:pPr>
                  <w:r>
                    <w:rPr>
                      <w:rFonts w:hint="eastAsia"/>
                      <w:sz w:val="21"/>
                      <w:lang w:eastAsia="zh-CN"/>
                    </w:rPr>
                    <w:t>备用发电机</w:t>
                  </w:r>
                </w:p>
              </w:tc>
              <w:tc>
                <w:tcPr>
                  <w:tcW w:w="1339" w:type="dxa"/>
                  <w:tcBorders>
                    <w:tl2br w:val="nil"/>
                    <w:tr2bl w:val="nil"/>
                  </w:tcBorders>
                  <w:shd w:val="clear" w:color="auto" w:fill="FFFFFF"/>
                  <w:vAlign w:val="center"/>
                </w:tcPr>
                <w:p w14:paraId="665EC391">
                  <w:pPr>
                    <w:adjustRightInd w:val="0"/>
                    <w:snapToGrid w:val="0"/>
                    <w:spacing w:line="240" w:lineRule="auto"/>
                    <w:jc w:val="center"/>
                    <w:rPr>
                      <w:rFonts w:hint="eastAsia"/>
                      <w:sz w:val="21"/>
                      <w:lang w:eastAsia="zh-CN"/>
                    </w:rPr>
                  </w:pPr>
                  <w:r>
                    <w:rPr>
                      <w:rFonts w:hint="eastAsia"/>
                      <w:sz w:val="21"/>
                      <w:lang w:eastAsia="zh-CN"/>
                    </w:rPr>
                    <w:t>发电</w:t>
                  </w:r>
                </w:p>
              </w:tc>
              <w:tc>
                <w:tcPr>
                  <w:tcW w:w="1293" w:type="dxa"/>
                  <w:tcBorders>
                    <w:tl2br w:val="nil"/>
                    <w:tr2bl w:val="nil"/>
                  </w:tcBorders>
                  <w:shd w:val="clear" w:color="auto" w:fill="FFFFFF"/>
                  <w:vAlign w:val="center"/>
                </w:tcPr>
                <w:p w14:paraId="44DFEDC7">
                  <w:pPr>
                    <w:adjustRightInd w:val="0"/>
                    <w:snapToGrid w:val="0"/>
                    <w:spacing w:line="240" w:lineRule="auto"/>
                    <w:jc w:val="center"/>
                    <w:rPr>
                      <w:rFonts w:hint="default"/>
                      <w:sz w:val="21"/>
                      <w:lang w:val="en-US" w:eastAsia="zh-CN"/>
                    </w:rPr>
                  </w:pPr>
                  <w:r>
                    <w:rPr>
                      <w:rFonts w:hint="eastAsia"/>
                      <w:sz w:val="21"/>
                      <w:lang w:eastAsia="zh-CN"/>
                    </w:rPr>
                    <w:t>烟尘、</w:t>
                  </w:r>
                  <w:r>
                    <w:rPr>
                      <w:rFonts w:hint="eastAsia"/>
                      <w:sz w:val="21"/>
                      <w:lang w:val="en-US" w:eastAsia="zh-CN"/>
                    </w:rPr>
                    <w:t>SO</w:t>
                  </w:r>
                  <w:r>
                    <w:rPr>
                      <w:rFonts w:hint="eastAsia"/>
                      <w:sz w:val="21"/>
                      <w:vertAlign w:val="subscript"/>
                      <w:lang w:val="en-US" w:eastAsia="zh-CN"/>
                    </w:rPr>
                    <w:t>2</w:t>
                  </w:r>
                  <w:r>
                    <w:rPr>
                      <w:rFonts w:hint="eastAsia"/>
                      <w:sz w:val="21"/>
                      <w:lang w:val="en-US" w:eastAsia="zh-CN"/>
                    </w:rPr>
                    <w:t>、NOx</w:t>
                  </w:r>
                </w:p>
              </w:tc>
              <w:tc>
                <w:tcPr>
                  <w:tcW w:w="815" w:type="dxa"/>
                  <w:tcBorders>
                    <w:tl2br w:val="nil"/>
                    <w:tr2bl w:val="nil"/>
                  </w:tcBorders>
                  <w:shd w:val="clear" w:color="auto" w:fill="FFFFFF"/>
                  <w:vAlign w:val="center"/>
                </w:tcPr>
                <w:p w14:paraId="57FE415B">
                  <w:pPr>
                    <w:adjustRightInd w:val="0"/>
                    <w:snapToGrid w:val="0"/>
                    <w:spacing w:line="240" w:lineRule="auto"/>
                    <w:jc w:val="center"/>
                    <w:rPr>
                      <w:rFonts w:hint="eastAsia" w:eastAsia="宋体"/>
                      <w:sz w:val="21"/>
                      <w:lang w:eastAsia="zh-CN"/>
                    </w:rPr>
                  </w:pPr>
                  <w:r>
                    <w:rPr>
                      <w:rFonts w:hint="eastAsia"/>
                      <w:sz w:val="21"/>
                      <w:lang w:eastAsia="zh-CN"/>
                    </w:rPr>
                    <w:t>无组织</w:t>
                  </w:r>
                </w:p>
              </w:tc>
              <w:tc>
                <w:tcPr>
                  <w:tcW w:w="1080" w:type="dxa"/>
                  <w:tcBorders>
                    <w:tl2br w:val="nil"/>
                    <w:tr2bl w:val="nil"/>
                  </w:tcBorders>
                  <w:shd w:val="clear" w:color="auto" w:fill="FFFFFF"/>
                  <w:vAlign w:val="center"/>
                </w:tcPr>
                <w:p w14:paraId="7777E8B7">
                  <w:pPr>
                    <w:adjustRightInd w:val="0"/>
                    <w:snapToGrid w:val="0"/>
                    <w:spacing w:line="240" w:lineRule="auto"/>
                    <w:jc w:val="center"/>
                    <w:rPr>
                      <w:rFonts w:hint="eastAsia"/>
                      <w:sz w:val="21"/>
                    </w:rPr>
                  </w:pPr>
                  <w:r>
                    <w:rPr>
                      <w:rFonts w:hint="eastAsia"/>
                      <w:sz w:val="21"/>
                    </w:rPr>
                    <w:t>/</w:t>
                  </w:r>
                </w:p>
              </w:tc>
              <w:tc>
                <w:tcPr>
                  <w:tcW w:w="1210" w:type="dxa"/>
                  <w:tcBorders>
                    <w:tl2br w:val="nil"/>
                    <w:tr2bl w:val="nil"/>
                  </w:tcBorders>
                  <w:shd w:val="clear" w:color="auto" w:fill="FFFFFF"/>
                  <w:vAlign w:val="center"/>
                </w:tcPr>
                <w:p w14:paraId="5B362673">
                  <w:pPr>
                    <w:adjustRightInd w:val="0"/>
                    <w:snapToGrid w:val="0"/>
                    <w:spacing w:line="240" w:lineRule="auto"/>
                    <w:jc w:val="center"/>
                    <w:rPr>
                      <w:rFonts w:hint="eastAsia"/>
                      <w:sz w:val="21"/>
                      <w:lang w:eastAsia="zh-CN"/>
                    </w:rPr>
                  </w:pPr>
                  <w:r>
                    <w:rPr>
                      <w:rFonts w:hint="eastAsia"/>
                      <w:sz w:val="21"/>
                      <w:lang w:val="en-US" w:eastAsia="zh-CN"/>
                    </w:rPr>
                    <w:t>/</w:t>
                  </w:r>
                </w:p>
              </w:tc>
              <w:tc>
                <w:tcPr>
                  <w:tcW w:w="1017" w:type="dxa"/>
                  <w:tcBorders>
                    <w:tl2br w:val="nil"/>
                    <w:tr2bl w:val="nil"/>
                  </w:tcBorders>
                  <w:shd w:val="clear" w:color="auto" w:fill="FFFFFF"/>
                  <w:vAlign w:val="center"/>
                </w:tcPr>
                <w:p w14:paraId="22F35936">
                  <w:pPr>
                    <w:adjustRightInd w:val="0"/>
                    <w:snapToGrid w:val="0"/>
                    <w:spacing w:line="240" w:lineRule="auto"/>
                    <w:jc w:val="center"/>
                    <w:rPr>
                      <w:rFonts w:hint="eastAsia"/>
                      <w:sz w:val="21"/>
                      <w:lang w:eastAsia="zh-CN"/>
                    </w:rPr>
                  </w:pPr>
                  <w:r>
                    <w:rPr>
                      <w:rFonts w:hint="eastAsia"/>
                      <w:sz w:val="21"/>
                      <w:lang w:val="en-US" w:eastAsia="zh-CN"/>
                    </w:rPr>
                    <w:t>/</w:t>
                  </w:r>
                </w:p>
              </w:tc>
              <w:tc>
                <w:tcPr>
                  <w:tcW w:w="1007" w:type="dxa"/>
                  <w:tcBorders>
                    <w:tl2br w:val="nil"/>
                    <w:tr2bl w:val="nil"/>
                  </w:tcBorders>
                  <w:shd w:val="clear" w:color="auto" w:fill="FFFFFF"/>
                  <w:vAlign w:val="center"/>
                </w:tcPr>
                <w:p w14:paraId="2D09D214">
                  <w:pPr>
                    <w:adjustRightInd w:val="0"/>
                    <w:snapToGrid w:val="0"/>
                    <w:spacing w:line="240" w:lineRule="auto"/>
                    <w:jc w:val="center"/>
                    <w:rPr>
                      <w:rStyle w:val="17"/>
                      <w:rFonts w:hint="eastAsia"/>
                    </w:rPr>
                  </w:pPr>
                  <w:r>
                    <w:rPr>
                      <w:rFonts w:hint="eastAsia"/>
                      <w:sz w:val="21"/>
                      <w:lang w:val="en-US" w:eastAsia="zh-CN"/>
                    </w:rPr>
                    <w:t>/</w:t>
                  </w:r>
                </w:p>
              </w:tc>
              <w:tc>
                <w:tcPr>
                  <w:tcW w:w="998" w:type="dxa"/>
                  <w:tcBorders>
                    <w:tl2br w:val="nil"/>
                    <w:tr2bl w:val="nil"/>
                  </w:tcBorders>
                  <w:shd w:val="clear" w:color="auto" w:fill="FFFFFF"/>
                  <w:vAlign w:val="center"/>
                </w:tcPr>
                <w:p w14:paraId="1C1DC013">
                  <w:pPr>
                    <w:adjustRightInd w:val="0"/>
                    <w:snapToGrid w:val="0"/>
                    <w:spacing w:line="240" w:lineRule="auto"/>
                    <w:jc w:val="center"/>
                    <w:rPr>
                      <w:sz w:val="21"/>
                    </w:rPr>
                  </w:pPr>
                  <w:r>
                    <w:rPr>
                      <w:sz w:val="21"/>
                    </w:rPr>
                    <w:t>/</w:t>
                  </w:r>
                </w:p>
              </w:tc>
              <w:tc>
                <w:tcPr>
                  <w:tcW w:w="806" w:type="dxa"/>
                  <w:tcBorders>
                    <w:tl2br w:val="nil"/>
                    <w:tr2bl w:val="nil"/>
                  </w:tcBorders>
                  <w:shd w:val="clear" w:color="auto" w:fill="FFFFFF"/>
                  <w:vAlign w:val="center"/>
                </w:tcPr>
                <w:p w14:paraId="7D7D5A71">
                  <w:pPr>
                    <w:adjustRightInd w:val="0"/>
                    <w:snapToGrid w:val="0"/>
                    <w:spacing w:line="240" w:lineRule="auto"/>
                    <w:jc w:val="center"/>
                    <w:rPr>
                      <w:rFonts w:hint="eastAsia"/>
                      <w:sz w:val="21"/>
                    </w:rPr>
                  </w:pPr>
                  <w:r>
                    <w:rPr>
                      <w:rFonts w:hint="eastAsia"/>
                      <w:sz w:val="21"/>
                    </w:rPr>
                    <w:t>/</w:t>
                  </w:r>
                </w:p>
              </w:tc>
              <w:tc>
                <w:tcPr>
                  <w:tcW w:w="996" w:type="dxa"/>
                  <w:tcBorders>
                    <w:tl2br w:val="nil"/>
                    <w:tr2bl w:val="nil"/>
                  </w:tcBorders>
                  <w:shd w:val="clear" w:color="auto" w:fill="FFFFFF"/>
                  <w:vAlign w:val="center"/>
                </w:tcPr>
                <w:p w14:paraId="625387B8">
                  <w:pPr>
                    <w:adjustRightInd w:val="0"/>
                    <w:snapToGrid w:val="0"/>
                    <w:spacing w:line="240" w:lineRule="auto"/>
                    <w:jc w:val="center"/>
                    <w:rPr>
                      <w:rFonts w:hint="eastAsia"/>
                      <w:sz w:val="21"/>
                    </w:rPr>
                  </w:pPr>
                  <w:r>
                    <w:rPr>
                      <w:rFonts w:hint="eastAsia"/>
                      <w:sz w:val="21"/>
                    </w:rPr>
                    <w:t>/</w:t>
                  </w:r>
                </w:p>
              </w:tc>
              <w:tc>
                <w:tcPr>
                  <w:tcW w:w="806" w:type="dxa"/>
                  <w:tcBorders>
                    <w:tl2br w:val="nil"/>
                    <w:tr2bl w:val="nil"/>
                  </w:tcBorders>
                  <w:shd w:val="clear" w:color="auto" w:fill="FFFFFF"/>
                  <w:vAlign w:val="center"/>
                </w:tcPr>
                <w:p w14:paraId="76558C74">
                  <w:pPr>
                    <w:adjustRightInd w:val="0"/>
                    <w:snapToGrid w:val="0"/>
                    <w:spacing w:line="240" w:lineRule="auto"/>
                    <w:jc w:val="center"/>
                    <w:rPr>
                      <w:rFonts w:hint="eastAsia"/>
                      <w:sz w:val="21"/>
                    </w:rPr>
                  </w:pPr>
                  <w:r>
                    <w:rPr>
                      <w:rFonts w:hint="eastAsia"/>
                      <w:sz w:val="21"/>
                    </w:rPr>
                    <w:t>/</w:t>
                  </w:r>
                </w:p>
              </w:tc>
              <w:tc>
                <w:tcPr>
                  <w:tcW w:w="809" w:type="dxa"/>
                  <w:tcBorders>
                    <w:tl2br w:val="nil"/>
                    <w:tr2bl w:val="nil"/>
                  </w:tcBorders>
                  <w:shd w:val="clear" w:color="auto" w:fill="FFFFFF"/>
                  <w:vAlign w:val="center"/>
                </w:tcPr>
                <w:p w14:paraId="5AF56CE5">
                  <w:pPr>
                    <w:adjustRightInd w:val="0"/>
                    <w:snapToGrid w:val="0"/>
                    <w:spacing w:line="240" w:lineRule="auto"/>
                    <w:jc w:val="center"/>
                    <w:rPr>
                      <w:rFonts w:hint="eastAsia"/>
                      <w:sz w:val="21"/>
                    </w:rPr>
                  </w:pPr>
                  <w:r>
                    <w:rPr>
                      <w:rFonts w:hint="eastAsia"/>
                      <w:sz w:val="21"/>
                    </w:rPr>
                    <w:t>/</w:t>
                  </w:r>
                </w:p>
              </w:tc>
              <w:tc>
                <w:tcPr>
                  <w:tcW w:w="854" w:type="dxa"/>
                  <w:tcBorders>
                    <w:tl2br w:val="nil"/>
                    <w:tr2bl w:val="nil"/>
                  </w:tcBorders>
                  <w:shd w:val="clear" w:color="auto" w:fill="FFFFFF"/>
                  <w:vAlign w:val="center"/>
                </w:tcPr>
                <w:p w14:paraId="7DB95EDC">
                  <w:pPr>
                    <w:adjustRightInd w:val="0"/>
                    <w:snapToGrid w:val="0"/>
                    <w:spacing w:line="240" w:lineRule="auto"/>
                    <w:jc w:val="center"/>
                    <w:rPr>
                      <w:rFonts w:hint="eastAsia"/>
                      <w:sz w:val="21"/>
                    </w:rPr>
                  </w:pPr>
                  <w:r>
                    <w:rPr>
                      <w:rFonts w:hint="eastAsia"/>
                      <w:sz w:val="21"/>
                    </w:rPr>
                    <w:t>/</w:t>
                  </w:r>
                </w:p>
              </w:tc>
            </w:tr>
          </w:tbl>
          <w:p w14:paraId="25BBE1D5">
            <w:pPr>
              <w:autoSpaceDE w:val="0"/>
              <w:autoSpaceDN w:val="0"/>
              <w:adjustRightInd w:val="0"/>
              <w:snapToGrid w:val="0"/>
              <w:spacing w:line="240" w:lineRule="auto"/>
              <w:jc w:val="center"/>
              <w:textAlignment w:val="baseline"/>
              <w:rPr>
                <w:b/>
                <w:kern w:val="24"/>
                <w:szCs w:val="20"/>
              </w:rPr>
            </w:pPr>
          </w:p>
          <w:p w14:paraId="2BDD7253">
            <w:pPr>
              <w:adjustRightInd w:val="0"/>
              <w:snapToGrid w:val="0"/>
              <w:ind w:firstLine="480" w:firstLineChars="200"/>
              <w:rPr>
                <w:rFonts w:hint="eastAsia"/>
              </w:rPr>
            </w:pPr>
          </w:p>
          <w:p w14:paraId="2A5A0051">
            <w:pPr>
              <w:adjustRightInd w:val="0"/>
              <w:snapToGrid w:val="0"/>
              <w:ind w:firstLine="480" w:firstLineChars="200"/>
              <w:rPr>
                <w:rFonts w:hint="eastAsia"/>
              </w:rPr>
            </w:pPr>
          </w:p>
          <w:p w14:paraId="15C050EA">
            <w:pPr>
              <w:adjustRightInd w:val="0"/>
              <w:snapToGrid w:val="0"/>
              <w:ind w:firstLine="480" w:firstLineChars="200"/>
              <w:rPr>
                <w:rFonts w:hint="eastAsia"/>
              </w:rPr>
            </w:pPr>
          </w:p>
          <w:p w14:paraId="6CCEBE6A">
            <w:pPr>
              <w:adjustRightInd w:val="0"/>
              <w:snapToGrid w:val="0"/>
              <w:ind w:firstLine="480" w:firstLineChars="200"/>
              <w:rPr>
                <w:rFonts w:hint="eastAsia"/>
              </w:rPr>
            </w:pPr>
          </w:p>
          <w:p w14:paraId="7141E8BC">
            <w:pPr>
              <w:adjustRightInd w:val="0"/>
              <w:snapToGrid w:val="0"/>
              <w:ind w:firstLine="480" w:firstLineChars="200"/>
            </w:pPr>
            <w:r>
              <w:rPr>
                <w:rFonts w:hint="eastAsia"/>
              </w:rPr>
              <w:t>2、</w:t>
            </w:r>
            <w:r>
              <w:t>污染物产排情况</w:t>
            </w:r>
          </w:p>
          <w:p w14:paraId="0A2907DC">
            <w:pPr>
              <w:adjustRightInd w:val="0"/>
              <w:snapToGrid w:val="0"/>
              <w:ind w:firstLine="480" w:firstLineChars="200"/>
            </w:pPr>
            <w:r>
              <w:t>项目废气的产排情况见下表：</w:t>
            </w:r>
          </w:p>
          <w:p w14:paraId="5704CC67">
            <w:pPr>
              <w:autoSpaceDE w:val="0"/>
              <w:autoSpaceDN w:val="0"/>
              <w:adjustRightInd w:val="0"/>
              <w:snapToGrid w:val="0"/>
              <w:spacing w:line="240" w:lineRule="auto"/>
              <w:jc w:val="center"/>
              <w:textAlignment w:val="baseline"/>
              <w:rPr>
                <w:b/>
                <w:kern w:val="24"/>
                <w:szCs w:val="20"/>
              </w:rPr>
            </w:pPr>
            <w:r>
              <w:rPr>
                <w:b/>
                <w:kern w:val="24"/>
                <w:szCs w:val="20"/>
              </w:rPr>
              <w:t>表4-</w:t>
            </w:r>
            <w:r>
              <w:rPr>
                <w:rFonts w:hint="eastAsia"/>
                <w:b/>
                <w:kern w:val="24"/>
                <w:szCs w:val="20"/>
                <w:lang w:val="en-US" w:eastAsia="zh-CN"/>
              </w:rPr>
              <w:t>3</w:t>
            </w:r>
            <w:r>
              <w:rPr>
                <w:b/>
                <w:kern w:val="24"/>
                <w:szCs w:val="20"/>
              </w:rPr>
              <w:t xml:space="preserve"> </w:t>
            </w:r>
            <w:r>
              <w:rPr>
                <w:rFonts w:hint="eastAsia"/>
                <w:b/>
                <w:kern w:val="24"/>
                <w:szCs w:val="20"/>
              </w:rPr>
              <w:t>本</w:t>
            </w:r>
            <w:r>
              <w:rPr>
                <w:b/>
                <w:kern w:val="24"/>
                <w:szCs w:val="20"/>
              </w:rPr>
              <w:t>项目废气产排情况一览表</w:t>
            </w:r>
          </w:p>
          <w:tbl>
            <w:tblPr>
              <w:tblStyle w:val="11"/>
              <w:tblW w:w="1498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0" w:type="dxa"/>
                <w:left w:w="57" w:type="dxa"/>
                <w:bottom w:w="0" w:type="dxa"/>
                <w:right w:w="57" w:type="dxa"/>
              </w:tblCellMar>
            </w:tblPr>
            <w:tblGrid>
              <w:gridCol w:w="1082"/>
              <w:gridCol w:w="1171"/>
              <w:gridCol w:w="763"/>
              <w:gridCol w:w="855"/>
              <w:gridCol w:w="618"/>
              <w:gridCol w:w="1053"/>
              <w:gridCol w:w="921"/>
              <w:gridCol w:w="1000"/>
              <w:gridCol w:w="1000"/>
              <w:gridCol w:w="750"/>
              <w:gridCol w:w="605"/>
              <w:gridCol w:w="566"/>
              <w:gridCol w:w="1000"/>
              <w:gridCol w:w="1040"/>
              <w:gridCol w:w="1014"/>
              <w:gridCol w:w="969"/>
              <w:gridCol w:w="581"/>
            </w:tblGrid>
            <w:tr w14:paraId="660C0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trHeight w:val="329" w:hRule="atLeast"/>
                <w:jc w:val="center"/>
              </w:trPr>
              <w:tc>
                <w:tcPr>
                  <w:tcW w:w="1082" w:type="dxa"/>
                  <w:vMerge w:val="restart"/>
                  <w:tcBorders>
                    <w:tl2br w:val="nil"/>
                    <w:tr2bl w:val="nil"/>
                  </w:tcBorders>
                  <w:shd w:val="clear" w:color="auto" w:fill="auto"/>
                  <w:vAlign w:val="center"/>
                </w:tcPr>
                <w:p w14:paraId="18156279">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工序</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位置</w:t>
                  </w:r>
                </w:p>
              </w:tc>
              <w:tc>
                <w:tcPr>
                  <w:tcW w:w="1171" w:type="dxa"/>
                  <w:vMerge w:val="restart"/>
                  <w:tcBorders>
                    <w:tl2br w:val="nil"/>
                    <w:tr2bl w:val="nil"/>
                  </w:tcBorders>
                  <w:shd w:val="clear" w:color="auto" w:fill="auto"/>
                  <w:vAlign w:val="center"/>
                </w:tcPr>
                <w:p w14:paraId="564A3235">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装置</w:t>
                  </w:r>
                </w:p>
              </w:tc>
              <w:tc>
                <w:tcPr>
                  <w:tcW w:w="763" w:type="dxa"/>
                  <w:vMerge w:val="restart"/>
                  <w:tcBorders>
                    <w:tl2br w:val="nil"/>
                    <w:tr2bl w:val="nil"/>
                  </w:tcBorders>
                  <w:shd w:val="clear" w:color="auto" w:fill="auto"/>
                  <w:vAlign w:val="center"/>
                </w:tcPr>
                <w:p w14:paraId="675C55C9">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排放形式</w:t>
                  </w:r>
                </w:p>
              </w:tc>
              <w:tc>
                <w:tcPr>
                  <w:tcW w:w="855" w:type="dxa"/>
                  <w:vMerge w:val="restart"/>
                  <w:tcBorders>
                    <w:tl2br w:val="nil"/>
                    <w:tr2bl w:val="nil"/>
                  </w:tcBorders>
                  <w:shd w:val="clear" w:color="auto" w:fill="auto"/>
                  <w:vAlign w:val="center"/>
                </w:tcPr>
                <w:p w14:paraId="518A4042">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4592" w:type="dxa"/>
                  <w:gridSpan w:val="5"/>
                  <w:tcBorders>
                    <w:tl2br w:val="nil"/>
                    <w:tr2bl w:val="nil"/>
                  </w:tcBorders>
                  <w:shd w:val="clear" w:color="auto" w:fill="auto"/>
                  <w:vAlign w:val="center"/>
                </w:tcPr>
                <w:p w14:paraId="764C5D44">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污染物产生</w:t>
                  </w:r>
                </w:p>
              </w:tc>
              <w:tc>
                <w:tcPr>
                  <w:tcW w:w="1355" w:type="dxa"/>
                  <w:gridSpan w:val="2"/>
                  <w:tcBorders>
                    <w:tl2br w:val="nil"/>
                    <w:tr2bl w:val="nil"/>
                  </w:tcBorders>
                  <w:shd w:val="clear" w:color="auto" w:fill="auto"/>
                  <w:vAlign w:val="center"/>
                </w:tcPr>
                <w:p w14:paraId="1CBB3C45">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治理措施</w:t>
                  </w:r>
                </w:p>
              </w:tc>
              <w:tc>
                <w:tcPr>
                  <w:tcW w:w="4589" w:type="dxa"/>
                  <w:gridSpan w:val="5"/>
                  <w:tcBorders>
                    <w:tl2br w:val="nil"/>
                    <w:tr2bl w:val="nil"/>
                  </w:tcBorders>
                  <w:shd w:val="clear" w:color="auto" w:fill="auto"/>
                  <w:vAlign w:val="center"/>
                </w:tcPr>
                <w:p w14:paraId="5B2F1FBB">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污染物排放</w:t>
                  </w:r>
                </w:p>
              </w:tc>
              <w:tc>
                <w:tcPr>
                  <w:tcW w:w="581" w:type="dxa"/>
                  <w:vMerge w:val="restart"/>
                  <w:tcBorders>
                    <w:tl2br w:val="nil"/>
                    <w:tr2bl w:val="nil"/>
                  </w:tcBorders>
                  <w:shd w:val="clear" w:color="auto" w:fill="auto"/>
                  <w:vAlign w:val="center"/>
                </w:tcPr>
                <w:p w14:paraId="1EF9F5AE">
                  <w:pPr>
                    <w:pStyle w:val="14"/>
                    <w:rPr>
                      <w:color w:val="000000" w:themeColor="text1"/>
                      <w14:textFill>
                        <w14:solidFill>
                          <w14:schemeClr w14:val="tx1"/>
                        </w14:solidFill>
                      </w14:textFill>
                    </w:rPr>
                  </w:pPr>
                  <w:r>
                    <w:rPr>
                      <w:rFonts w:hint="eastAsia"/>
                      <w:b/>
                      <w:bCs/>
                      <w:color w:val="000000" w:themeColor="text1"/>
                      <w14:textFill>
                        <w14:solidFill>
                          <w14:schemeClr w14:val="tx1"/>
                        </w14:solidFill>
                      </w14:textFill>
                    </w:rPr>
                    <w:t>排放时间</w:t>
                  </w:r>
                  <w:r>
                    <w:rPr>
                      <w:b/>
                      <w:bCs/>
                      <w:color w:val="000000" w:themeColor="text1"/>
                      <w14:textFill>
                        <w14:solidFill>
                          <w14:schemeClr w14:val="tx1"/>
                        </w14:solidFill>
                      </w14:textFill>
                    </w:rPr>
                    <w:t>/h</w:t>
                  </w:r>
                </w:p>
              </w:tc>
            </w:tr>
            <w:tr w14:paraId="56C21B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trHeight w:val="540" w:hRule="atLeast"/>
                <w:jc w:val="center"/>
              </w:trPr>
              <w:tc>
                <w:tcPr>
                  <w:tcW w:w="1082" w:type="dxa"/>
                  <w:vMerge w:val="continue"/>
                  <w:tcBorders>
                    <w:tl2br w:val="nil"/>
                    <w:tr2bl w:val="nil"/>
                  </w:tcBorders>
                  <w:shd w:val="clear" w:color="auto" w:fill="auto"/>
                  <w:vAlign w:val="center"/>
                </w:tcPr>
                <w:p w14:paraId="24A5B83F">
                  <w:pPr>
                    <w:pStyle w:val="14"/>
                    <w:rPr>
                      <w:b/>
                      <w:bCs/>
                      <w:color w:val="000000" w:themeColor="text1"/>
                      <w:highlight w:val="none"/>
                      <w:rPrChange w:id="0" w:author="A" w:date="2025-08-06T16:13:00Z">
                        <w:rPr>
                          <w:b/>
                          <w:bCs/>
                          <w:color w:val="000000" w:themeColor="text1"/>
                          <w14:textFill>
                            <w14:solidFill>
                              <w14:schemeClr w14:val="tx1"/>
                            </w14:solidFill>
                          </w14:textFill>
                        </w:rPr>
                      </w:rPrChange>
                      <w14:textFill>
                        <w14:solidFill>
                          <w14:schemeClr w14:val="tx1"/>
                        </w14:solidFill>
                      </w14:textFill>
                    </w:rPr>
                  </w:pPr>
                </w:p>
              </w:tc>
              <w:tc>
                <w:tcPr>
                  <w:tcW w:w="1171" w:type="dxa"/>
                  <w:vMerge w:val="continue"/>
                  <w:tcBorders>
                    <w:tl2br w:val="nil"/>
                    <w:tr2bl w:val="nil"/>
                  </w:tcBorders>
                  <w:shd w:val="clear" w:color="auto" w:fill="auto"/>
                  <w:vAlign w:val="center"/>
                </w:tcPr>
                <w:p w14:paraId="7AB0F30C">
                  <w:pPr>
                    <w:pStyle w:val="14"/>
                    <w:rPr>
                      <w:b/>
                      <w:bCs/>
                      <w:color w:val="000000" w:themeColor="text1"/>
                      <w:highlight w:val="none"/>
                      <w:rPrChange w:id="1" w:author="A" w:date="2025-08-06T16:13:00Z">
                        <w:rPr>
                          <w:b/>
                          <w:bCs/>
                          <w:color w:val="000000" w:themeColor="text1"/>
                          <w14:textFill>
                            <w14:solidFill>
                              <w14:schemeClr w14:val="tx1"/>
                            </w14:solidFill>
                          </w14:textFill>
                        </w:rPr>
                      </w:rPrChange>
                      <w14:textFill>
                        <w14:solidFill>
                          <w14:schemeClr w14:val="tx1"/>
                        </w14:solidFill>
                      </w14:textFill>
                    </w:rPr>
                  </w:pPr>
                </w:p>
              </w:tc>
              <w:tc>
                <w:tcPr>
                  <w:tcW w:w="763" w:type="dxa"/>
                  <w:vMerge w:val="continue"/>
                  <w:tcBorders>
                    <w:tl2br w:val="nil"/>
                    <w:tr2bl w:val="nil"/>
                  </w:tcBorders>
                  <w:shd w:val="clear" w:color="auto" w:fill="auto"/>
                  <w:vAlign w:val="center"/>
                </w:tcPr>
                <w:p w14:paraId="1321E2EE">
                  <w:pPr>
                    <w:pStyle w:val="14"/>
                    <w:rPr>
                      <w:b/>
                      <w:bCs/>
                      <w:color w:val="000000" w:themeColor="text1"/>
                      <w:highlight w:val="none"/>
                      <w:rPrChange w:id="2" w:author="A" w:date="2025-08-06T16:13:00Z">
                        <w:rPr>
                          <w:b/>
                          <w:bCs/>
                          <w:color w:val="000000" w:themeColor="text1"/>
                          <w14:textFill>
                            <w14:solidFill>
                              <w14:schemeClr w14:val="tx1"/>
                            </w14:solidFill>
                          </w14:textFill>
                        </w:rPr>
                      </w:rPrChange>
                      <w14:textFill>
                        <w14:solidFill>
                          <w14:schemeClr w14:val="tx1"/>
                        </w14:solidFill>
                      </w14:textFill>
                    </w:rPr>
                  </w:pPr>
                </w:p>
              </w:tc>
              <w:tc>
                <w:tcPr>
                  <w:tcW w:w="855" w:type="dxa"/>
                  <w:vMerge w:val="continue"/>
                  <w:tcBorders>
                    <w:tl2br w:val="nil"/>
                    <w:tr2bl w:val="nil"/>
                  </w:tcBorders>
                  <w:shd w:val="clear" w:color="auto" w:fill="auto"/>
                  <w:vAlign w:val="center"/>
                </w:tcPr>
                <w:p w14:paraId="002C51C6">
                  <w:pPr>
                    <w:pStyle w:val="14"/>
                    <w:rPr>
                      <w:b/>
                      <w:bCs/>
                      <w:color w:val="000000" w:themeColor="text1"/>
                      <w:highlight w:val="none"/>
                      <w:rPrChange w:id="3" w:author="A" w:date="2025-08-06T16:13:00Z">
                        <w:rPr>
                          <w:b/>
                          <w:bCs/>
                          <w:color w:val="000000" w:themeColor="text1"/>
                          <w14:textFill>
                            <w14:solidFill>
                              <w14:schemeClr w14:val="tx1"/>
                            </w14:solidFill>
                          </w14:textFill>
                        </w:rPr>
                      </w:rPrChange>
                      <w14:textFill>
                        <w14:solidFill>
                          <w14:schemeClr w14:val="tx1"/>
                        </w14:solidFill>
                      </w14:textFill>
                    </w:rPr>
                  </w:pPr>
                </w:p>
              </w:tc>
              <w:tc>
                <w:tcPr>
                  <w:tcW w:w="618" w:type="dxa"/>
                  <w:tcBorders>
                    <w:tl2br w:val="nil"/>
                    <w:tr2bl w:val="nil"/>
                  </w:tcBorders>
                  <w:shd w:val="clear" w:color="auto" w:fill="auto"/>
                  <w:vAlign w:val="center"/>
                </w:tcPr>
                <w:p w14:paraId="15601B1C">
                  <w:pPr>
                    <w:pStyle w:val="14"/>
                    <w:rPr>
                      <w:b/>
                      <w:bCs/>
                      <w:color w:val="000000" w:themeColor="text1"/>
                      <w:highlight w:val="none"/>
                      <w:rPrChange w:id="4"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5" w:author="A" w:date="2025-08-06T16:13:00Z">
                        <w:rPr>
                          <w:rFonts w:hint="eastAsia"/>
                          <w:b/>
                          <w:bCs/>
                          <w:color w:val="000000" w:themeColor="text1"/>
                          <w14:textFill>
                            <w14:solidFill>
                              <w14:schemeClr w14:val="tx1"/>
                            </w14:solidFill>
                          </w14:textFill>
                        </w:rPr>
                      </w:rPrChange>
                      <w14:textFill>
                        <w14:solidFill>
                          <w14:schemeClr w14:val="tx1"/>
                        </w14:solidFill>
                      </w14:textFill>
                    </w:rPr>
                    <w:t>核算方法</w:t>
                  </w:r>
                </w:p>
              </w:tc>
              <w:tc>
                <w:tcPr>
                  <w:tcW w:w="1053" w:type="dxa"/>
                  <w:tcBorders>
                    <w:tl2br w:val="nil"/>
                    <w:tr2bl w:val="nil"/>
                  </w:tcBorders>
                  <w:shd w:val="clear" w:color="auto" w:fill="auto"/>
                  <w:vAlign w:val="center"/>
                </w:tcPr>
                <w:p w14:paraId="427966EC">
                  <w:pPr>
                    <w:pStyle w:val="14"/>
                    <w:rPr>
                      <w:b/>
                      <w:bCs/>
                      <w:color w:val="000000" w:themeColor="text1"/>
                      <w:highlight w:val="none"/>
                      <w:rPrChange w:id="6"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7" w:author="A" w:date="2025-08-06T16:13:00Z">
                        <w:rPr>
                          <w:rFonts w:hint="eastAsia"/>
                          <w:b/>
                          <w:bCs/>
                          <w:color w:val="000000" w:themeColor="text1"/>
                          <w14:textFill>
                            <w14:solidFill>
                              <w14:schemeClr w14:val="tx1"/>
                            </w14:solidFill>
                          </w14:textFill>
                        </w:rPr>
                      </w:rPrChange>
                      <w14:textFill>
                        <w14:solidFill>
                          <w14:schemeClr w14:val="tx1"/>
                        </w14:solidFill>
                      </w14:textFill>
                    </w:rPr>
                    <w:t>废气产生量</w:t>
                  </w:r>
                  <w:r>
                    <w:rPr>
                      <w:b/>
                      <w:bCs/>
                      <w:color w:val="000000" w:themeColor="text1"/>
                      <w:highlight w:val="none"/>
                      <w:rPrChange w:id="8" w:author="A" w:date="2025-08-06T16:13:00Z">
                        <w:rPr>
                          <w:b/>
                          <w:bCs/>
                          <w:color w:val="000000" w:themeColor="text1"/>
                          <w14:textFill>
                            <w14:solidFill>
                              <w14:schemeClr w14:val="tx1"/>
                            </w14:solidFill>
                          </w14:textFill>
                        </w:rPr>
                      </w:rPrChange>
                      <w14:textFill>
                        <w14:solidFill>
                          <w14:schemeClr w14:val="tx1"/>
                        </w14:solidFill>
                      </w14:textFill>
                    </w:rPr>
                    <w:t>/m</w:t>
                  </w:r>
                  <w:r>
                    <w:rPr>
                      <w:b/>
                      <w:bCs/>
                      <w:color w:val="000000" w:themeColor="text1"/>
                      <w:highlight w:val="none"/>
                      <w:vertAlign w:val="superscript"/>
                      <w:rPrChange w:id="9" w:author="A" w:date="2025-08-06T16:13:00Z">
                        <w:rPr>
                          <w:b/>
                          <w:bCs/>
                          <w:color w:val="000000" w:themeColor="text1"/>
                          <w:vertAlign w:val="superscript"/>
                          <w14:textFill>
                            <w14:solidFill>
                              <w14:schemeClr w14:val="tx1"/>
                            </w14:solidFill>
                          </w14:textFill>
                        </w:rPr>
                      </w:rPrChange>
                      <w14:textFill>
                        <w14:solidFill>
                          <w14:schemeClr w14:val="tx1"/>
                        </w14:solidFill>
                      </w14:textFill>
                    </w:rPr>
                    <w:t>3</w:t>
                  </w:r>
                  <w:r>
                    <w:rPr>
                      <w:b/>
                      <w:bCs/>
                      <w:color w:val="000000" w:themeColor="text1"/>
                      <w:highlight w:val="none"/>
                      <w:rPrChange w:id="10" w:author="A" w:date="2025-08-06T16:13:00Z">
                        <w:rPr>
                          <w:b/>
                          <w:bCs/>
                          <w:color w:val="000000" w:themeColor="text1"/>
                          <w14:textFill>
                            <w14:solidFill>
                              <w14:schemeClr w14:val="tx1"/>
                            </w14:solidFill>
                          </w14:textFill>
                        </w:rPr>
                      </w:rPrChange>
                      <w14:textFill>
                        <w14:solidFill>
                          <w14:schemeClr w14:val="tx1"/>
                        </w14:solidFill>
                      </w14:textFill>
                    </w:rPr>
                    <w:t>/h</w:t>
                  </w:r>
                </w:p>
              </w:tc>
              <w:tc>
                <w:tcPr>
                  <w:tcW w:w="921" w:type="dxa"/>
                  <w:tcBorders>
                    <w:tl2br w:val="nil"/>
                    <w:tr2bl w:val="nil"/>
                  </w:tcBorders>
                  <w:shd w:val="clear" w:color="auto" w:fill="auto"/>
                  <w:vAlign w:val="center"/>
                </w:tcPr>
                <w:p w14:paraId="168CACD3">
                  <w:pPr>
                    <w:pStyle w:val="14"/>
                    <w:rPr>
                      <w:b/>
                      <w:bCs/>
                      <w:color w:val="000000" w:themeColor="text1"/>
                      <w:highlight w:val="none"/>
                      <w:rPrChange w:id="11"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12" w:author="A" w:date="2025-08-06T16:13:00Z">
                        <w:rPr>
                          <w:rFonts w:hint="eastAsia"/>
                          <w:b/>
                          <w:bCs/>
                          <w:color w:val="000000" w:themeColor="text1"/>
                          <w14:textFill>
                            <w14:solidFill>
                              <w14:schemeClr w14:val="tx1"/>
                            </w14:solidFill>
                          </w14:textFill>
                        </w:rPr>
                      </w:rPrChange>
                      <w14:textFill>
                        <w14:solidFill>
                          <w14:schemeClr w14:val="tx1"/>
                        </w14:solidFill>
                      </w14:textFill>
                    </w:rPr>
                    <w:t>产生量</w:t>
                  </w:r>
                  <w:r>
                    <w:rPr>
                      <w:b/>
                      <w:bCs/>
                      <w:color w:val="000000" w:themeColor="text1"/>
                      <w:highlight w:val="none"/>
                      <w:rPrChange w:id="13" w:author="A" w:date="2025-08-06T16:13:00Z">
                        <w:rPr>
                          <w:b/>
                          <w:bCs/>
                          <w:color w:val="000000" w:themeColor="text1"/>
                          <w14:textFill>
                            <w14:solidFill>
                              <w14:schemeClr w14:val="tx1"/>
                            </w14:solidFill>
                          </w14:textFill>
                        </w:rPr>
                      </w:rPrChange>
                      <w14:textFill>
                        <w14:solidFill>
                          <w14:schemeClr w14:val="tx1"/>
                        </w14:solidFill>
                      </w14:textFill>
                    </w:rPr>
                    <w:t>/t/a</w:t>
                  </w:r>
                </w:p>
              </w:tc>
              <w:tc>
                <w:tcPr>
                  <w:tcW w:w="1000" w:type="dxa"/>
                  <w:tcBorders>
                    <w:tl2br w:val="nil"/>
                    <w:tr2bl w:val="nil"/>
                  </w:tcBorders>
                  <w:shd w:val="clear" w:color="auto" w:fill="auto"/>
                  <w:vAlign w:val="center"/>
                </w:tcPr>
                <w:p w14:paraId="6A8A7812">
                  <w:pPr>
                    <w:pStyle w:val="14"/>
                    <w:rPr>
                      <w:b/>
                      <w:bCs/>
                      <w:color w:val="000000" w:themeColor="text1"/>
                      <w:highlight w:val="none"/>
                      <w:rPrChange w:id="14"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15" w:author="A" w:date="2025-08-06T16:13:00Z">
                        <w:rPr>
                          <w:rFonts w:hint="eastAsia"/>
                          <w:b/>
                          <w:bCs/>
                          <w:color w:val="000000" w:themeColor="text1"/>
                          <w14:textFill>
                            <w14:solidFill>
                              <w14:schemeClr w14:val="tx1"/>
                            </w14:solidFill>
                          </w14:textFill>
                        </w:rPr>
                      </w:rPrChange>
                      <w14:textFill>
                        <w14:solidFill>
                          <w14:schemeClr w14:val="tx1"/>
                        </w14:solidFill>
                      </w14:textFill>
                    </w:rPr>
                    <w:t>产生速率</w:t>
                  </w:r>
                  <w:r>
                    <w:rPr>
                      <w:b/>
                      <w:bCs/>
                      <w:color w:val="000000" w:themeColor="text1"/>
                      <w:highlight w:val="none"/>
                      <w:rPrChange w:id="16" w:author="A" w:date="2025-08-06T16:13:00Z">
                        <w:rPr>
                          <w:b/>
                          <w:bCs/>
                          <w:color w:val="000000" w:themeColor="text1"/>
                          <w14:textFill>
                            <w14:solidFill>
                              <w14:schemeClr w14:val="tx1"/>
                            </w14:solidFill>
                          </w14:textFill>
                        </w:rPr>
                      </w:rPrChange>
                      <w14:textFill>
                        <w14:solidFill>
                          <w14:schemeClr w14:val="tx1"/>
                        </w14:solidFill>
                      </w14:textFill>
                    </w:rPr>
                    <w:t>/kg/h</w:t>
                  </w:r>
                </w:p>
              </w:tc>
              <w:tc>
                <w:tcPr>
                  <w:tcW w:w="1000" w:type="dxa"/>
                  <w:tcBorders>
                    <w:tl2br w:val="nil"/>
                    <w:tr2bl w:val="nil"/>
                  </w:tcBorders>
                  <w:shd w:val="clear" w:color="auto" w:fill="auto"/>
                  <w:vAlign w:val="center"/>
                </w:tcPr>
                <w:p w14:paraId="5D24F19B">
                  <w:pPr>
                    <w:pStyle w:val="14"/>
                    <w:rPr>
                      <w:b/>
                      <w:bCs/>
                      <w:color w:val="000000" w:themeColor="text1"/>
                      <w:highlight w:val="none"/>
                      <w:rPrChange w:id="17"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18" w:author="A" w:date="2025-08-06T16:13:00Z">
                        <w:rPr>
                          <w:rFonts w:hint="eastAsia"/>
                          <w:b/>
                          <w:bCs/>
                          <w:color w:val="000000" w:themeColor="text1"/>
                          <w14:textFill>
                            <w14:solidFill>
                              <w14:schemeClr w14:val="tx1"/>
                            </w14:solidFill>
                          </w14:textFill>
                        </w:rPr>
                      </w:rPrChange>
                      <w14:textFill>
                        <w14:solidFill>
                          <w14:schemeClr w14:val="tx1"/>
                        </w14:solidFill>
                      </w14:textFill>
                    </w:rPr>
                    <w:t>产生浓度</w:t>
                  </w:r>
                  <w:r>
                    <w:rPr>
                      <w:b/>
                      <w:bCs/>
                      <w:color w:val="000000" w:themeColor="text1"/>
                      <w:highlight w:val="none"/>
                      <w:rPrChange w:id="19" w:author="A" w:date="2025-08-06T16:13:00Z">
                        <w:rPr>
                          <w:b/>
                          <w:bCs/>
                          <w:color w:val="000000" w:themeColor="text1"/>
                          <w14:textFill>
                            <w14:solidFill>
                              <w14:schemeClr w14:val="tx1"/>
                            </w14:solidFill>
                          </w14:textFill>
                        </w:rPr>
                      </w:rPrChange>
                      <w14:textFill>
                        <w14:solidFill>
                          <w14:schemeClr w14:val="tx1"/>
                        </w14:solidFill>
                      </w14:textFill>
                    </w:rPr>
                    <w:t>/mg/m</w:t>
                  </w:r>
                  <w:r>
                    <w:rPr>
                      <w:b/>
                      <w:bCs/>
                      <w:color w:val="000000" w:themeColor="text1"/>
                      <w:highlight w:val="none"/>
                      <w:vertAlign w:val="superscript"/>
                      <w:rPrChange w:id="20" w:author="A" w:date="2025-08-06T16:13:00Z">
                        <w:rPr>
                          <w:b/>
                          <w:bCs/>
                          <w:color w:val="000000" w:themeColor="text1"/>
                          <w:vertAlign w:val="superscript"/>
                          <w14:textFill>
                            <w14:solidFill>
                              <w14:schemeClr w14:val="tx1"/>
                            </w14:solidFill>
                          </w14:textFill>
                        </w:rPr>
                      </w:rPrChange>
                      <w14:textFill>
                        <w14:solidFill>
                          <w14:schemeClr w14:val="tx1"/>
                        </w14:solidFill>
                      </w14:textFill>
                    </w:rPr>
                    <w:t>3</w:t>
                  </w:r>
                </w:p>
              </w:tc>
              <w:tc>
                <w:tcPr>
                  <w:tcW w:w="750" w:type="dxa"/>
                  <w:tcBorders>
                    <w:tl2br w:val="nil"/>
                    <w:tr2bl w:val="nil"/>
                  </w:tcBorders>
                  <w:shd w:val="clear" w:color="auto" w:fill="auto"/>
                  <w:vAlign w:val="center"/>
                </w:tcPr>
                <w:p w14:paraId="799D1F81">
                  <w:pPr>
                    <w:pStyle w:val="14"/>
                    <w:rPr>
                      <w:b/>
                      <w:bCs/>
                      <w:color w:val="000000" w:themeColor="text1"/>
                      <w:highlight w:val="none"/>
                      <w:rPrChange w:id="21"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22" w:author="A" w:date="2025-08-06T16:13:00Z">
                        <w:rPr>
                          <w:rFonts w:hint="eastAsia"/>
                          <w:b/>
                          <w:bCs/>
                          <w:color w:val="000000" w:themeColor="text1"/>
                          <w14:textFill>
                            <w14:solidFill>
                              <w14:schemeClr w14:val="tx1"/>
                            </w14:solidFill>
                          </w14:textFill>
                        </w:rPr>
                      </w:rPrChange>
                      <w14:textFill>
                        <w14:solidFill>
                          <w14:schemeClr w14:val="tx1"/>
                        </w14:solidFill>
                      </w14:textFill>
                    </w:rPr>
                    <w:t>工艺</w:t>
                  </w:r>
                </w:p>
              </w:tc>
              <w:tc>
                <w:tcPr>
                  <w:tcW w:w="605" w:type="dxa"/>
                  <w:tcBorders>
                    <w:tl2br w:val="nil"/>
                    <w:tr2bl w:val="nil"/>
                  </w:tcBorders>
                  <w:shd w:val="clear" w:color="auto" w:fill="auto"/>
                  <w:vAlign w:val="center"/>
                </w:tcPr>
                <w:p w14:paraId="1CA8907F">
                  <w:pPr>
                    <w:pStyle w:val="14"/>
                    <w:rPr>
                      <w:b/>
                      <w:bCs/>
                      <w:color w:val="000000" w:themeColor="text1"/>
                      <w:highlight w:val="none"/>
                      <w:rPrChange w:id="23"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24" w:author="A" w:date="2025-08-06T16:13:00Z">
                        <w:rPr>
                          <w:rFonts w:hint="eastAsia"/>
                          <w:b/>
                          <w:bCs/>
                          <w:color w:val="000000" w:themeColor="text1"/>
                          <w14:textFill>
                            <w14:solidFill>
                              <w14:schemeClr w14:val="tx1"/>
                            </w14:solidFill>
                          </w14:textFill>
                        </w:rPr>
                      </w:rPrChange>
                      <w14:textFill>
                        <w14:solidFill>
                          <w14:schemeClr w14:val="tx1"/>
                        </w14:solidFill>
                      </w14:textFill>
                    </w:rPr>
                    <w:t>效率</w:t>
                  </w:r>
                  <w:r>
                    <w:rPr>
                      <w:b/>
                      <w:bCs/>
                      <w:color w:val="000000" w:themeColor="text1"/>
                      <w:highlight w:val="none"/>
                      <w:rPrChange w:id="25" w:author="A" w:date="2025-08-06T16:13:00Z">
                        <w:rPr>
                          <w:b/>
                          <w:bCs/>
                          <w:color w:val="000000" w:themeColor="text1"/>
                          <w14:textFill>
                            <w14:solidFill>
                              <w14:schemeClr w14:val="tx1"/>
                            </w14:solidFill>
                          </w14:textFill>
                        </w:rPr>
                      </w:rPrChange>
                      <w14:textFill>
                        <w14:solidFill>
                          <w14:schemeClr w14:val="tx1"/>
                        </w14:solidFill>
                      </w14:textFill>
                    </w:rPr>
                    <w:t>/%</w:t>
                  </w:r>
                </w:p>
              </w:tc>
              <w:tc>
                <w:tcPr>
                  <w:tcW w:w="566" w:type="dxa"/>
                  <w:tcBorders>
                    <w:tl2br w:val="nil"/>
                    <w:tr2bl w:val="nil"/>
                  </w:tcBorders>
                  <w:shd w:val="clear" w:color="auto" w:fill="auto"/>
                  <w:vAlign w:val="center"/>
                </w:tcPr>
                <w:p w14:paraId="6A3F6B1D">
                  <w:pPr>
                    <w:pStyle w:val="14"/>
                    <w:rPr>
                      <w:b/>
                      <w:bCs/>
                      <w:color w:val="000000" w:themeColor="text1"/>
                      <w:highlight w:val="none"/>
                      <w:rPrChange w:id="26"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27" w:author="A" w:date="2025-08-06T16:13:00Z">
                        <w:rPr>
                          <w:rFonts w:hint="eastAsia"/>
                          <w:b/>
                          <w:bCs/>
                          <w:color w:val="000000" w:themeColor="text1"/>
                          <w14:textFill>
                            <w14:solidFill>
                              <w14:schemeClr w14:val="tx1"/>
                            </w14:solidFill>
                          </w14:textFill>
                        </w:rPr>
                      </w:rPrChange>
                      <w14:textFill>
                        <w14:solidFill>
                          <w14:schemeClr w14:val="tx1"/>
                        </w14:solidFill>
                      </w14:textFill>
                    </w:rPr>
                    <w:t>核算方法</w:t>
                  </w:r>
                </w:p>
              </w:tc>
              <w:tc>
                <w:tcPr>
                  <w:tcW w:w="1000" w:type="dxa"/>
                  <w:tcBorders>
                    <w:tl2br w:val="nil"/>
                    <w:tr2bl w:val="nil"/>
                  </w:tcBorders>
                  <w:shd w:val="clear" w:color="auto" w:fill="auto"/>
                  <w:vAlign w:val="center"/>
                </w:tcPr>
                <w:p w14:paraId="6526A050">
                  <w:pPr>
                    <w:pStyle w:val="14"/>
                    <w:rPr>
                      <w:b/>
                      <w:bCs/>
                      <w:color w:val="000000" w:themeColor="text1"/>
                      <w:highlight w:val="none"/>
                      <w:rPrChange w:id="28"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29" w:author="A" w:date="2025-08-06T16:13:00Z">
                        <w:rPr>
                          <w:rFonts w:hint="eastAsia"/>
                          <w:b/>
                          <w:bCs/>
                          <w:color w:val="000000" w:themeColor="text1"/>
                          <w14:textFill>
                            <w14:solidFill>
                              <w14:schemeClr w14:val="tx1"/>
                            </w14:solidFill>
                          </w14:textFill>
                        </w:rPr>
                      </w:rPrChange>
                      <w14:textFill>
                        <w14:solidFill>
                          <w14:schemeClr w14:val="tx1"/>
                        </w14:solidFill>
                      </w14:textFill>
                    </w:rPr>
                    <w:t>废气排放量</w:t>
                  </w:r>
                  <w:r>
                    <w:rPr>
                      <w:b/>
                      <w:bCs/>
                      <w:color w:val="000000" w:themeColor="text1"/>
                      <w:highlight w:val="none"/>
                      <w:rPrChange w:id="30" w:author="A" w:date="2025-08-06T16:13:00Z">
                        <w:rPr>
                          <w:b/>
                          <w:bCs/>
                          <w:color w:val="000000" w:themeColor="text1"/>
                          <w14:textFill>
                            <w14:solidFill>
                              <w14:schemeClr w14:val="tx1"/>
                            </w14:solidFill>
                          </w14:textFill>
                        </w:rPr>
                      </w:rPrChange>
                      <w14:textFill>
                        <w14:solidFill>
                          <w14:schemeClr w14:val="tx1"/>
                        </w14:solidFill>
                      </w14:textFill>
                    </w:rPr>
                    <w:t>/m</w:t>
                  </w:r>
                  <w:r>
                    <w:rPr>
                      <w:b/>
                      <w:bCs/>
                      <w:color w:val="000000" w:themeColor="text1"/>
                      <w:highlight w:val="none"/>
                      <w:vertAlign w:val="superscript"/>
                      <w:rPrChange w:id="31" w:author="A" w:date="2025-08-06T16:13:00Z">
                        <w:rPr>
                          <w:b/>
                          <w:bCs/>
                          <w:color w:val="000000" w:themeColor="text1"/>
                          <w:vertAlign w:val="superscript"/>
                          <w14:textFill>
                            <w14:solidFill>
                              <w14:schemeClr w14:val="tx1"/>
                            </w14:solidFill>
                          </w14:textFill>
                        </w:rPr>
                      </w:rPrChange>
                      <w14:textFill>
                        <w14:solidFill>
                          <w14:schemeClr w14:val="tx1"/>
                        </w14:solidFill>
                      </w14:textFill>
                    </w:rPr>
                    <w:t>3</w:t>
                  </w:r>
                  <w:r>
                    <w:rPr>
                      <w:b/>
                      <w:bCs/>
                      <w:color w:val="000000" w:themeColor="text1"/>
                      <w:highlight w:val="none"/>
                      <w:rPrChange w:id="32" w:author="A" w:date="2025-08-06T16:13:00Z">
                        <w:rPr>
                          <w:b/>
                          <w:bCs/>
                          <w:color w:val="000000" w:themeColor="text1"/>
                          <w14:textFill>
                            <w14:solidFill>
                              <w14:schemeClr w14:val="tx1"/>
                            </w14:solidFill>
                          </w14:textFill>
                        </w:rPr>
                      </w:rPrChange>
                      <w14:textFill>
                        <w14:solidFill>
                          <w14:schemeClr w14:val="tx1"/>
                        </w14:solidFill>
                      </w14:textFill>
                    </w:rPr>
                    <w:t>/h</w:t>
                  </w:r>
                </w:p>
              </w:tc>
              <w:tc>
                <w:tcPr>
                  <w:tcW w:w="1040" w:type="dxa"/>
                  <w:tcBorders>
                    <w:tl2br w:val="nil"/>
                    <w:tr2bl w:val="nil"/>
                  </w:tcBorders>
                  <w:shd w:val="clear" w:color="auto" w:fill="auto"/>
                  <w:vAlign w:val="center"/>
                </w:tcPr>
                <w:p w14:paraId="58188B58">
                  <w:pPr>
                    <w:pStyle w:val="14"/>
                    <w:rPr>
                      <w:b/>
                      <w:bCs/>
                      <w:color w:val="000000" w:themeColor="text1"/>
                      <w:highlight w:val="none"/>
                      <w:rPrChange w:id="33"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34" w:author="A" w:date="2025-08-06T16:13:00Z">
                        <w:rPr>
                          <w:rFonts w:hint="eastAsia"/>
                          <w:b/>
                          <w:bCs/>
                          <w:color w:val="000000" w:themeColor="text1"/>
                          <w14:textFill>
                            <w14:solidFill>
                              <w14:schemeClr w14:val="tx1"/>
                            </w14:solidFill>
                          </w14:textFill>
                        </w:rPr>
                      </w:rPrChange>
                      <w14:textFill>
                        <w14:solidFill>
                          <w14:schemeClr w14:val="tx1"/>
                        </w14:solidFill>
                      </w14:textFill>
                    </w:rPr>
                    <w:t>排放量</w:t>
                  </w:r>
                  <w:r>
                    <w:rPr>
                      <w:b/>
                      <w:bCs/>
                      <w:color w:val="000000" w:themeColor="text1"/>
                      <w:highlight w:val="none"/>
                      <w:rPrChange w:id="35" w:author="A" w:date="2025-08-06T16:13:00Z">
                        <w:rPr>
                          <w:b/>
                          <w:bCs/>
                          <w:color w:val="000000" w:themeColor="text1"/>
                          <w14:textFill>
                            <w14:solidFill>
                              <w14:schemeClr w14:val="tx1"/>
                            </w14:solidFill>
                          </w14:textFill>
                        </w:rPr>
                      </w:rPrChange>
                      <w14:textFill>
                        <w14:solidFill>
                          <w14:schemeClr w14:val="tx1"/>
                        </w14:solidFill>
                      </w14:textFill>
                    </w:rPr>
                    <w:t>/t/a</w:t>
                  </w:r>
                </w:p>
              </w:tc>
              <w:tc>
                <w:tcPr>
                  <w:tcW w:w="1014" w:type="dxa"/>
                  <w:tcBorders>
                    <w:tl2br w:val="nil"/>
                    <w:tr2bl w:val="nil"/>
                  </w:tcBorders>
                  <w:shd w:val="clear" w:color="auto" w:fill="auto"/>
                  <w:vAlign w:val="center"/>
                </w:tcPr>
                <w:p w14:paraId="70B8BAD7">
                  <w:pPr>
                    <w:pStyle w:val="14"/>
                    <w:rPr>
                      <w:b/>
                      <w:bCs/>
                      <w:color w:val="000000" w:themeColor="text1"/>
                      <w:highlight w:val="none"/>
                      <w:rPrChange w:id="36"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37" w:author="A" w:date="2025-08-06T16:13:00Z">
                        <w:rPr>
                          <w:rFonts w:hint="eastAsia"/>
                          <w:b/>
                          <w:bCs/>
                          <w:color w:val="000000" w:themeColor="text1"/>
                          <w14:textFill>
                            <w14:solidFill>
                              <w14:schemeClr w14:val="tx1"/>
                            </w14:solidFill>
                          </w14:textFill>
                        </w:rPr>
                      </w:rPrChange>
                      <w14:textFill>
                        <w14:solidFill>
                          <w14:schemeClr w14:val="tx1"/>
                        </w14:solidFill>
                      </w14:textFill>
                    </w:rPr>
                    <w:t>排放速率</w:t>
                  </w:r>
                  <w:r>
                    <w:rPr>
                      <w:b/>
                      <w:bCs/>
                      <w:color w:val="000000" w:themeColor="text1"/>
                      <w:highlight w:val="none"/>
                      <w:rPrChange w:id="38" w:author="A" w:date="2025-08-06T16:13:00Z">
                        <w:rPr>
                          <w:b/>
                          <w:bCs/>
                          <w:color w:val="000000" w:themeColor="text1"/>
                          <w14:textFill>
                            <w14:solidFill>
                              <w14:schemeClr w14:val="tx1"/>
                            </w14:solidFill>
                          </w14:textFill>
                        </w:rPr>
                      </w:rPrChange>
                      <w14:textFill>
                        <w14:solidFill>
                          <w14:schemeClr w14:val="tx1"/>
                        </w14:solidFill>
                      </w14:textFill>
                    </w:rPr>
                    <w:t>/kg/h</w:t>
                  </w:r>
                </w:p>
              </w:tc>
              <w:tc>
                <w:tcPr>
                  <w:tcW w:w="969" w:type="dxa"/>
                  <w:tcBorders>
                    <w:tl2br w:val="nil"/>
                    <w:tr2bl w:val="nil"/>
                  </w:tcBorders>
                  <w:shd w:val="clear" w:color="auto" w:fill="auto"/>
                  <w:vAlign w:val="center"/>
                </w:tcPr>
                <w:p w14:paraId="152DC507">
                  <w:pPr>
                    <w:pStyle w:val="14"/>
                    <w:rPr>
                      <w:b/>
                      <w:bCs/>
                      <w:color w:val="000000" w:themeColor="text1"/>
                      <w:highlight w:val="none"/>
                      <w:rPrChange w:id="39" w:author="A" w:date="2025-08-06T16:13:00Z">
                        <w:rPr>
                          <w:b/>
                          <w:bCs/>
                          <w:color w:val="000000" w:themeColor="text1"/>
                          <w14:textFill>
                            <w14:solidFill>
                              <w14:schemeClr w14:val="tx1"/>
                            </w14:solidFill>
                          </w14:textFill>
                        </w:rPr>
                      </w:rPrChange>
                      <w14:textFill>
                        <w14:solidFill>
                          <w14:schemeClr w14:val="tx1"/>
                        </w14:solidFill>
                      </w14:textFill>
                    </w:rPr>
                  </w:pPr>
                  <w:r>
                    <w:rPr>
                      <w:rFonts w:hint="eastAsia"/>
                      <w:b/>
                      <w:bCs/>
                      <w:color w:val="000000" w:themeColor="text1"/>
                      <w:highlight w:val="none"/>
                      <w:rPrChange w:id="40" w:author="A" w:date="2025-08-06T16:13:00Z">
                        <w:rPr>
                          <w:rFonts w:hint="eastAsia"/>
                          <w:b/>
                          <w:bCs/>
                          <w:color w:val="000000" w:themeColor="text1"/>
                          <w14:textFill>
                            <w14:solidFill>
                              <w14:schemeClr w14:val="tx1"/>
                            </w14:solidFill>
                          </w14:textFill>
                        </w:rPr>
                      </w:rPrChange>
                      <w14:textFill>
                        <w14:solidFill>
                          <w14:schemeClr w14:val="tx1"/>
                        </w14:solidFill>
                      </w14:textFill>
                    </w:rPr>
                    <w:t>排放浓度</w:t>
                  </w:r>
                  <w:r>
                    <w:rPr>
                      <w:b/>
                      <w:bCs/>
                      <w:color w:val="000000" w:themeColor="text1"/>
                      <w:highlight w:val="none"/>
                      <w:rPrChange w:id="41" w:author="A" w:date="2025-08-06T16:13:00Z">
                        <w:rPr>
                          <w:b/>
                          <w:bCs/>
                          <w:color w:val="000000" w:themeColor="text1"/>
                          <w14:textFill>
                            <w14:solidFill>
                              <w14:schemeClr w14:val="tx1"/>
                            </w14:solidFill>
                          </w14:textFill>
                        </w:rPr>
                      </w:rPrChange>
                      <w14:textFill>
                        <w14:solidFill>
                          <w14:schemeClr w14:val="tx1"/>
                        </w14:solidFill>
                      </w14:textFill>
                    </w:rPr>
                    <w:t>/mg/m</w:t>
                  </w:r>
                  <w:r>
                    <w:rPr>
                      <w:b/>
                      <w:bCs/>
                      <w:color w:val="000000" w:themeColor="text1"/>
                      <w:highlight w:val="none"/>
                      <w:vertAlign w:val="superscript"/>
                      <w:rPrChange w:id="42" w:author="A" w:date="2025-08-06T16:13:00Z">
                        <w:rPr>
                          <w:b/>
                          <w:bCs/>
                          <w:color w:val="000000" w:themeColor="text1"/>
                          <w:vertAlign w:val="superscript"/>
                          <w14:textFill>
                            <w14:solidFill>
                              <w14:schemeClr w14:val="tx1"/>
                            </w14:solidFill>
                          </w14:textFill>
                        </w:rPr>
                      </w:rPrChange>
                      <w14:textFill>
                        <w14:solidFill>
                          <w14:schemeClr w14:val="tx1"/>
                        </w14:solidFill>
                      </w14:textFill>
                    </w:rPr>
                    <w:t>3</w:t>
                  </w:r>
                </w:p>
              </w:tc>
              <w:tc>
                <w:tcPr>
                  <w:tcW w:w="581" w:type="dxa"/>
                  <w:vMerge w:val="continue"/>
                  <w:tcBorders>
                    <w:tl2br w:val="nil"/>
                    <w:tr2bl w:val="nil"/>
                  </w:tcBorders>
                  <w:shd w:val="clear" w:color="auto" w:fill="auto"/>
                  <w:vAlign w:val="center"/>
                </w:tcPr>
                <w:p w14:paraId="67A4F857">
                  <w:pPr>
                    <w:pStyle w:val="14"/>
                    <w:rPr>
                      <w:color w:val="000000" w:themeColor="text1"/>
                      <w:highlight w:val="none"/>
                      <w:rPrChange w:id="43" w:author="A" w:date="2025-08-06T16:13:00Z">
                        <w:rPr>
                          <w:color w:val="000000" w:themeColor="text1"/>
                          <w14:textFill>
                            <w14:solidFill>
                              <w14:schemeClr w14:val="tx1"/>
                            </w14:solidFill>
                          </w14:textFill>
                        </w:rPr>
                      </w:rPrChange>
                      <w14:textFill>
                        <w14:solidFill>
                          <w14:schemeClr w14:val="tx1"/>
                        </w14:solidFill>
                      </w14:textFill>
                    </w:rPr>
                  </w:pPr>
                </w:p>
              </w:tc>
            </w:tr>
            <w:tr w14:paraId="59995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trHeight w:val="307" w:hRule="atLeast"/>
                <w:jc w:val="center"/>
              </w:trPr>
              <w:tc>
                <w:tcPr>
                  <w:tcW w:w="1082" w:type="dxa"/>
                  <w:tcBorders>
                    <w:tl2br w:val="nil"/>
                    <w:tr2bl w:val="nil"/>
                  </w:tcBorders>
                  <w:shd w:val="clear" w:color="auto" w:fill="auto"/>
                  <w:vAlign w:val="center"/>
                </w:tcPr>
                <w:p w14:paraId="05AC33D1">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氨水装卸车</w:t>
                  </w:r>
                </w:p>
              </w:tc>
              <w:tc>
                <w:tcPr>
                  <w:tcW w:w="1171" w:type="dxa"/>
                  <w:tcBorders>
                    <w:tl2br w:val="nil"/>
                    <w:tr2bl w:val="nil"/>
                  </w:tcBorders>
                  <w:shd w:val="clear" w:color="auto" w:fill="auto"/>
                  <w:vAlign w:val="center"/>
                </w:tcPr>
                <w:p w14:paraId="12E543AA">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鹤管</w:t>
                  </w:r>
                </w:p>
              </w:tc>
              <w:tc>
                <w:tcPr>
                  <w:tcW w:w="763" w:type="dxa"/>
                  <w:tcBorders>
                    <w:tl2br w:val="nil"/>
                    <w:tr2bl w:val="nil"/>
                  </w:tcBorders>
                  <w:shd w:val="clear" w:color="auto" w:fill="auto"/>
                  <w:vAlign w:val="center"/>
                </w:tcPr>
                <w:p w14:paraId="3CC13B53">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无组织</w:t>
                  </w:r>
                </w:p>
              </w:tc>
              <w:tc>
                <w:tcPr>
                  <w:tcW w:w="855" w:type="dxa"/>
                  <w:tcBorders>
                    <w:tl2br w:val="nil"/>
                    <w:tr2bl w:val="nil"/>
                  </w:tcBorders>
                  <w:shd w:val="clear" w:color="auto" w:fill="auto"/>
                  <w:vAlign w:val="center"/>
                </w:tcPr>
                <w:p w14:paraId="5789D1AC">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氨</w:t>
                  </w:r>
                </w:p>
              </w:tc>
              <w:tc>
                <w:tcPr>
                  <w:tcW w:w="618" w:type="dxa"/>
                  <w:tcBorders>
                    <w:tl2br w:val="nil"/>
                    <w:tr2bl w:val="nil"/>
                  </w:tcBorders>
                  <w:shd w:val="clear" w:color="auto" w:fill="auto"/>
                  <w:vAlign w:val="center"/>
                </w:tcPr>
                <w:p w14:paraId="2BD5B2A2">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物料衡算法</w:t>
                  </w:r>
                </w:p>
              </w:tc>
              <w:tc>
                <w:tcPr>
                  <w:tcW w:w="1053" w:type="dxa"/>
                  <w:tcBorders>
                    <w:tl2br w:val="nil"/>
                    <w:tr2bl w:val="nil"/>
                  </w:tcBorders>
                  <w:shd w:val="clear" w:color="auto" w:fill="auto"/>
                  <w:vAlign w:val="center"/>
                </w:tcPr>
                <w:p w14:paraId="158B06EB">
                  <w:pPr>
                    <w:adjustRightInd w:val="0"/>
                    <w:snapToGrid w:val="0"/>
                    <w:spacing w:line="240" w:lineRule="auto"/>
                    <w:jc w:val="center"/>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w:t>
                  </w:r>
                </w:p>
              </w:tc>
              <w:tc>
                <w:tcPr>
                  <w:tcW w:w="921" w:type="dxa"/>
                  <w:tcBorders>
                    <w:tl2br w:val="nil"/>
                    <w:tr2bl w:val="nil"/>
                  </w:tcBorders>
                  <w:shd w:val="clear" w:color="auto" w:fill="auto"/>
                  <w:vAlign w:val="center"/>
                </w:tcPr>
                <w:p w14:paraId="24A67881">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0.0277</w:t>
                  </w:r>
                </w:p>
              </w:tc>
              <w:tc>
                <w:tcPr>
                  <w:tcW w:w="1000" w:type="dxa"/>
                  <w:tcBorders>
                    <w:tl2br w:val="nil"/>
                    <w:tr2bl w:val="nil"/>
                  </w:tcBorders>
                  <w:shd w:val="clear" w:color="auto" w:fill="auto"/>
                  <w:vAlign w:val="center"/>
                </w:tcPr>
                <w:p w14:paraId="4E567CE0">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0.0032</w:t>
                  </w:r>
                </w:p>
              </w:tc>
              <w:tc>
                <w:tcPr>
                  <w:tcW w:w="1000" w:type="dxa"/>
                  <w:tcBorders>
                    <w:tl2br w:val="nil"/>
                    <w:tr2bl w:val="nil"/>
                  </w:tcBorders>
                  <w:shd w:val="clear" w:color="auto" w:fill="auto"/>
                  <w:vAlign w:val="center"/>
                </w:tcPr>
                <w:p w14:paraId="6EBF748B">
                  <w:pPr>
                    <w:adjustRightInd w:val="0"/>
                    <w:snapToGrid w:val="0"/>
                    <w:spacing w:line="240" w:lineRule="auto"/>
                    <w:jc w:val="center"/>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w:t>
                  </w:r>
                </w:p>
              </w:tc>
              <w:tc>
                <w:tcPr>
                  <w:tcW w:w="750" w:type="dxa"/>
                  <w:tcBorders>
                    <w:tl2br w:val="nil"/>
                    <w:tr2bl w:val="nil"/>
                  </w:tcBorders>
                  <w:shd w:val="clear" w:color="auto" w:fill="auto"/>
                  <w:vAlign w:val="center"/>
                </w:tcPr>
                <w:p w14:paraId="086A344B">
                  <w:pPr>
                    <w:adjustRightInd w:val="0"/>
                    <w:snapToGrid w:val="0"/>
                    <w:spacing w:line="240" w:lineRule="auto"/>
                    <w:jc w:val="center"/>
                    <w:rPr>
                      <w:rFonts w:hint="eastAsia"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605" w:type="dxa"/>
                  <w:tcBorders>
                    <w:tl2br w:val="nil"/>
                    <w:tr2bl w:val="nil"/>
                  </w:tcBorders>
                  <w:shd w:val="clear" w:color="auto" w:fill="auto"/>
                  <w:vAlign w:val="center"/>
                </w:tcPr>
                <w:p w14:paraId="66E00F3A">
                  <w:pPr>
                    <w:adjustRightInd w:val="0"/>
                    <w:snapToGrid w:val="0"/>
                    <w:spacing w:line="240" w:lineRule="auto"/>
                    <w:jc w:val="center"/>
                    <w:rPr>
                      <w:rFonts w:hint="eastAsia"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566" w:type="dxa"/>
                  <w:tcBorders>
                    <w:tl2br w:val="nil"/>
                    <w:tr2bl w:val="nil"/>
                  </w:tcBorders>
                  <w:shd w:val="clear" w:color="auto" w:fill="auto"/>
                  <w:vAlign w:val="center"/>
                </w:tcPr>
                <w:p w14:paraId="7B6DB639">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物料衡算法</w:t>
                  </w:r>
                </w:p>
              </w:tc>
              <w:tc>
                <w:tcPr>
                  <w:tcW w:w="1000" w:type="dxa"/>
                  <w:tcBorders>
                    <w:tl2br w:val="nil"/>
                    <w:tr2bl w:val="nil"/>
                  </w:tcBorders>
                  <w:shd w:val="clear" w:color="auto" w:fill="auto"/>
                  <w:vAlign w:val="center"/>
                </w:tcPr>
                <w:p w14:paraId="165808CE">
                  <w:pPr>
                    <w:adjustRightInd w:val="0"/>
                    <w:snapToGrid w:val="0"/>
                    <w:spacing w:line="240" w:lineRule="auto"/>
                    <w:jc w:val="center"/>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w:t>
                  </w:r>
                </w:p>
              </w:tc>
              <w:tc>
                <w:tcPr>
                  <w:tcW w:w="1040" w:type="dxa"/>
                  <w:tcBorders>
                    <w:tl2br w:val="nil"/>
                    <w:tr2bl w:val="nil"/>
                  </w:tcBorders>
                  <w:shd w:val="clear" w:color="auto" w:fill="auto"/>
                  <w:vAlign w:val="center"/>
                </w:tcPr>
                <w:p w14:paraId="320B8A5C">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0.0277</w:t>
                  </w:r>
                </w:p>
              </w:tc>
              <w:tc>
                <w:tcPr>
                  <w:tcW w:w="1014" w:type="dxa"/>
                  <w:tcBorders>
                    <w:tl2br w:val="nil"/>
                    <w:tr2bl w:val="nil"/>
                  </w:tcBorders>
                  <w:shd w:val="clear" w:color="auto" w:fill="auto"/>
                  <w:vAlign w:val="center"/>
                </w:tcPr>
                <w:p w14:paraId="260B4151">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0.0032</w:t>
                  </w:r>
                </w:p>
              </w:tc>
              <w:tc>
                <w:tcPr>
                  <w:tcW w:w="969" w:type="dxa"/>
                  <w:tcBorders>
                    <w:tl2br w:val="nil"/>
                    <w:tr2bl w:val="nil"/>
                  </w:tcBorders>
                  <w:shd w:val="clear" w:color="auto" w:fill="auto"/>
                  <w:vAlign w:val="center"/>
                </w:tcPr>
                <w:p w14:paraId="4F14D545">
                  <w:pPr>
                    <w:adjustRightInd w:val="0"/>
                    <w:snapToGrid w:val="0"/>
                    <w:spacing w:line="240" w:lineRule="auto"/>
                    <w:jc w:val="center"/>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w:t>
                  </w:r>
                </w:p>
              </w:tc>
              <w:tc>
                <w:tcPr>
                  <w:tcW w:w="581" w:type="dxa"/>
                  <w:tcBorders>
                    <w:tl2br w:val="nil"/>
                    <w:tr2bl w:val="nil"/>
                  </w:tcBorders>
                  <w:shd w:val="clear" w:color="auto" w:fill="auto"/>
                  <w:vAlign w:val="center"/>
                </w:tcPr>
                <w:p w14:paraId="4EB056EC">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720</w:t>
                  </w:r>
                  <w:r>
                    <w:rPr>
                      <w:color w:val="000000" w:themeColor="text1"/>
                      <w:kern w:val="0"/>
                      <w:sz w:val="21"/>
                      <w:szCs w:val="20"/>
                      <w14:textFill>
                        <w14:solidFill>
                          <w14:schemeClr w14:val="tx1"/>
                        </w14:solidFill>
                      </w14:textFill>
                    </w:rPr>
                    <w:t>0</w:t>
                  </w:r>
                </w:p>
              </w:tc>
            </w:tr>
            <w:tr w14:paraId="2253C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trHeight w:val="236" w:hRule="atLeast"/>
                <w:jc w:val="center"/>
              </w:trPr>
              <w:tc>
                <w:tcPr>
                  <w:tcW w:w="1082" w:type="dxa"/>
                  <w:tcBorders>
                    <w:tl2br w:val="nil"/>
                    <w:tr2bl w:val="nil"/>
                  </w:tcBorders>
                  <w:shd w:val="clear" w:color="auto" w:fill="auto"/>
                  <w:vAlign w:val="center"/>
                </w:tcPr>
                <w:p w14:paraId="36E34C03">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液氨、氨水储存</w:t>
                  </w:r>
                </w:p>
              </w:tc>
              <w:tc>
                <w:tcPr>
                  <w:tcW w:w="1171" w:type="dxa"/>
                  <w:tcBorders>
                    <w:tl2br w:val="nil"/>
                    <w:tr2bl w:val="nil"/>
                  </w:tcBorders>
                  <w:shd w:val="clear" w:color="auto" w:fill="auto"/>
                  <w:vAlign w:val="center"/>
                </w:tcPr>
                <w:p w14:paraId="4765CA79">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液氨球罐、氨水中间罐、氨水储罐</w:t>
                  </w:r>
                </w:p>
              </w:tc>
              <w:tc>
                <w:tcPr>
                  <w:tcW w:w="763" w:type="dxa"/>
                  <w:tcBorders>
                    <w:tl2br w:val="nil"/>
                    <w:tr2bl w:val="nil"/>
                  </w:tcBorders>
                  <w:shd w:val="clear" w:color="auto" w:fill="auto"/>
                  <w:vAlign w:val="center"/>
                </w:tcPr>
                <w:p w14:paraId="4E1DA25A">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有组织</w:t>
                  </w:r>
                </w:p>
              </w:tc>
              <w:tc>
                <w:tcPr>
                  <w:tcW w:w="855" w:type="dxa"/>
                  <w:tcBorders>
                    <w:tl2br w:val="nil"/>
                    <w:tr2bl w:val="nil"/>
                  </w:tcBorders>
                  <w:shd w:val="clear" w:color="auto" w:fill="auto"/>
                  <w:vAlign w:val="center"/>
                </w:tcPr>
                <w:p w14:paraId="0558DD36">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氨</w:t>
                  </w:r>
                </w:p>
              </w:tc>
              <w:tc>
                <w:tcPr>
                  <w:tcW w:w="618" w:type="dxa"/>
                  <w:tcBorders>
                    <w:tl2br w:val="nil"/>
                    <w:tr2bl w:val="nil"/>
                  </w:tcBorders>
                  <w:shd w:val="clear" w:color="auto" w:fill="auto"/>
                  <w:vAlign w:val="center"/>
                </w:tcPr>
                <w:p w14:paraId="3397C366">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物料衡算法</w:t>
                  </w:r>
                </w:p>
              </w:tc>
              <w:tc>
                <w:tcPr>
                  <w:tcW w:w="1053" w:type="dxa"/>
                  <w:tcBorders>
                    <w:tl2br w:val="nil"/>
                    <w:tr2bl w:val="nil"/>
                  </w:tcBorders>
                  <w:shd w:val="clear" w:color="auto" w:fill="auto"/>
                  <w:vAlign w:val="center"/>
                </w:tcPr>
                <w:p w14:paraId="32CA9D0A">
                  <w:pPr>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500</w:t>
                  </w:r>
                </w:p>
              </w:tc>
              <w:tc>
                <w:tcPr>
                  <w:tcW w:w="921" w:type="dxa"/>
                  <w:tcBorders>
                    <w:tl2br w:val="nil"/>
                    <w:tr2bl w:val="nil"/>
                  </w:tcBorders>
                  <w:shd w:val="clear" w:color="auto" w:fill="auto"/>
                  <w:vAlign w:val="center"/>
                </w:tcPr>
                <w:p w14:paraId="51FB7A98">
                  <w:pPr>
                    <w:widowControl w:val="0"/>
                    <w:adjustRightInd w:val="0"/>
                    <w:snapToGrid w:val="0"/>
                    <w:spacing w:line="240" w:lineRule="auto"/>
                    <w:jc w:val="center"/>
                    <w:rPr>
                      <w:rFonts w:hint="default"/>
                      <w:color w:val="000000" w:themeColor="text1"/>
                      <w:kern w:val="0"/>
                      <w:sz w:val="21"/>
                      <w:szCs w:val="20"/>
                      <w:lang w:val="en-US"/>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21.0852</w:t>
                  </w:r>
                </w:p>
              </w:tc>
              <w:tc>
                <w:tcPr>
                  <w:tcW w:w="1000" w:type="dxa"/>
                  <w:tcBorders>
                    <w:tl2br w:val="nil"/>
                    <w:tr2bl w:val="nil"/>
                  </w:tcBorders>
                  <w:shd w:val="clear" w:color="auto" w:fill="auto"/>
                  <w:vAlign w:val="center"/>
                </w:tcPr>
                <w:p w14:paraId="7A401556">
                  <w:pPr>
                    <w:widowControl w:val="0"/>
                    <w:adjustRightInd w:val="0"/>
                    <w:snapToGrid w:val="0"/>
                    <w:spacing w:line="240" w:lineRule="auto"/>
                    <w:jc w:val="center"/>
                    <w:rPr>
                      <w:rFonts w:hint="default"/>
                      <w:color w:val="000000" w:themeColor="text1"/>
                      <w:kern w:val="0"/>
                      <w:sz w:val="21"/>
                      <w:szCs w:val="20"/>
                      <w:lang w:val="en-US"/>
                      <w14:textFill>
                        <w14:solidFill>
                          <w14:schemeClr w14:val="tx1"/>
                        </w14:solidFill>
                      </w14:textFill>
                    </w:rPr>
                  </w:pPr>
                  <w:r>
                    <w:rPr>
                      <w:rFonts w:hint="eastAsia" w:cs="Times New Roman"/>
                      <w:color w:val="000000" w:themeColor="text1"/>
                      <w:kern w:val="0"/>
                      <w:sz w:val="21"/>
                      <w:szCs w:val="20"/>
                      <w:lang w:val="en-US" w:eastAsia="zh-CN" w:bidi="ar-SA"/>
                      <w14:textFill>
                        <w14:solidFill>
                          <w14:schemeClr w14:val="tx1"/>
                        </w14:solidFill>
                      </w14:textFill>
                    </w:rPr>
                    <w:t>2.9285</w:t>
                  </w:r>
                </w:p>
              </w:tc>
              <w:tc>
                <w:tcPr>
                  <w:tcW w:w="1000" w:type="dxa"/>
                  <w:tcBorders>
                    <w:tl2br w:val="nil"/>
                    <w:tr2bl w:val="nil"/>
                  </w:tcBorders>
                  <w:shd w:val="clear" w:color="auto" w:fill="auto"/>
                  <w:vAlign w:val="center"/>
                </w:tcPr>
                <w:p w14:paraId="1961837F">
                  <w:pPr>
                    <w:widowControl w:val="0"/>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5857</w:t>
                  </w:r>
                </w:p>
              </w:tc>
              <w:tc>
                <w:tcPr>
                  <w:tcW w:w="750" w:type="dxa"/>
                  <w:tcBorders>
                    <w:tl2br w:val="nil"/>
                    <w:tr2bl w:val="nil"/>
                  </w:tcBorders>
                  <w:shd w:val="clear" w:color="auto" w:fill="auto"/>
                  <w:vAlign w:val="center"/>
                </w:tcPr>
                <w:p w14:paraId="1DA236DB">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水喷淋</w:t>
                  </w:r>
                </w:p>
              </w:tc>
              <w:tc>
                <w:tcPr>
                  <w:tcW w:w="605" w:type="dxa"/>
                  <w:tcBorders>
                    <w:tl2br w:val="nil"/>
                    <w:tr2bl w:val="nil"/>
                  </w:tcBorders>
                  <w:shd w:val="clear" w:color="auto" w:fill="auto"/>
                  <w:vAlign w:val="center"/>
                </w:tcPr>
                <w:p w14:paraId="63D6D248">
                  <w:pPr>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95</w:t>
                  </w:r>
                </w:p>
              </w:tc>
              <w:tc>
                <w:tcPr>
                  <w:tcW w:w="566" w:type="dxa"/>
                  <w:tcBorders>
                    <w:tl2br w:val="nil"/>
                    <w:tr2bl w:val="nil"/>
                  </w:tcBorders>
                  <w:shd w:val="clear" w:color="auto" w:fill="auto"/>
                  <w:vAlign w:val="center"/>
                </w:tcPr>
                <w:p w14:paraId="3A1AEE23">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物料衡算法</w:t>
                  </w:r>
                </w:p>
              </w:tc>
              <w:tc>
                <w:tcPr>
                  <w:tcW w:w="1000" w:type="dxa"/>
                  <w:tcBorders>
                    <w:tl2br w:val="nil"/>
                    <w:tr2bl w:val="nil"/>
                  </w:tcBorders>
                  <w:shd w:val="clear" w:color="auto" w:fill="auto"/>
                  <w:vAlign w:val="center"/>
                </w:tcPr>
                <w:p w14:paraId="408DB06A">
                  <w:pPr>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500</w:t>
                  </w:r>
                </w:p>
              </w:tc>
              <w:tc>
                <w:tcPr>
                  <w:tcW w:w="1040" w:type="dxa"/>
                  <w:tcBorders>
                    <w:tl2br w:val="nil"/>
                    <w:tr2bl w:val="nil"/>
                  </w:tcBorders>
                  <w:shd w:val="clear" w:color="auto" w:fill="auto"/>
                  <w:vAlign w:val="center"/>
                </w:tcPr>
                <w:p w14:paraId="06AD92A9">
                  <w:pPr>
                    <w:widowControl w:val="0"/>
                    <w:adjustRightInd w:val="0"/>
                    <w:snapToGrid w:val="0"/>
                    <w:spacing w:line="240" w:lineRule="auto"/>
                    <w:jc w:val="center"/>
                    <w:rPr>
                      <w:rFonts w:hint="default"/>
                      <w:color w:val="000000" w:themeColor="text1"/>
                      <w:kern w:val="0"/>
                      <w:sz w:val="21"/>
                      <w:szCs w:val="20"/>
                      <w:lang w:val="en-US"/>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1.</w:t>
                  </w:r>
                  <w:r>
                    <w:rPr>
                      <w:rFonts w:hint="eastAsia" w:cs="Times New Roman"/>
                      <w:color w:val="000000" w:themeColor="text1"/>
                      <w:kern w:val="0"/>
                      <w:sz w:val="21"/>
                      <w:szCs w:val="20"/>
                      <w:lang w:val="en-US" w:eastAsia="zh-CN" w:bidi="ar-SA"/>
                      <w14:textFill>
                        <w14:solidFill>
                          <w14:schemeClr w14:val="tx1"/>
                        </w14:solidFill>
                      </w14:textFill>
                    </w:rPr>
                    <w:t>0543</w:t>
                  </w:r>
                </w:p>
              </w:tc>
              <w:tc>
                <w:tcPr>
                  <w:tcW w:w="1014" w:type="dxa"/>
                  <w:tcBorders>
                    <w:tl2br w:val="nil"/>
                    <w:tr2bl w:val="nil"/>
                  </w:tcBorders>
                  <w:shd w:val="clear" w:color="auto" w:fill="auto"/>
                  <w:vAlign w:val="center"/>
                </w:tcPr>
                <w:p w14:paraId="6E04680E">
                  <w:pPr>
                    <w:widowControl w:val="0"/>
                    <w:adjustRightInd w:val="0"/>
                    <w:snapToGrid w:val="0"/>
                    <w:spacing w:line="240" w:lineRule="auto"/>
                    <w:jc w:val="center"/>
                    <w:rPr>
                      <w:rFonts w:hint="default"/>
                      <w:color w:val="000000" w:themeColor="text1"/>
                      <w:kern w:val="0"/>
                      <w:sz w:val="21"/>
                      <w:szCs w:val="20"/>
                      <w:lang w:val="en-US"/>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0.</w:t>
                  </w:r>
                  <w:r>
                    <w:rPr>
                      <w:rFonts w:hint="eastAsia" w:cs="Times New Roman"/>
                      <w:color w:val="000000" w:themeColor="text1"/>
                      <w:kern w:val="0"/>
                      <w:sz w:val="21"/>
                      <w:szCs w:val="20"/>
                      <w:lang w:val="en-US" w:eastAsia="zh-CN" w:bidi="ar-SA"/>
                      <w14:textFill>
                        <w14:solidFill>
                          <w14:schemeClr w14:val="tx1"/>
                        </w14:solidFill>
                      </w14:textFill>
                    </w:rPr>
                    <w:t>1465</w:t>
                  </w:r>
                </w:p>
              </w:tc>
              <w:tc>
                <w:tcPr>
                  <w:tcW w:w="969" w:type="dxa"/>
                  <w:tcBorders>
                    <w:tl2br w:val="nil"/>
                    <w:tr2bl w:val="nil"/>
                  </w:tcBorders>
                  <w:shd w:val="clear" w:color="auto" w:fill="auto"/>
                  <w:vAlign w:val="center"/>
                </w:tcPr>
                <w:p w14:paraId="057DB84F">
                  <w:pPr>
                    <w:widowControl w:val="0"/>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293</w:t>
                  </w:r>
                </w:p>
              </w:tc>
              <w:tc>
                <w:tcPr>
                  <w:tcW w:w="581" w:type="dxa"/>
                  <w:tcBorders>
                    <w:tl2br w:val="nil"/>
                    <w:tr2bl w:val="nil"/>
                  </w:tcBorders>
                  <w:shd w:val="clear" w:color="auto" w:fill="auto"/>
                  <w:vAlign w:val="center"/>
                </w:tcPr>
                <w:p w14:paraId="780DA07A">
                  <w:pPr>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7200</w:t>
                  </w:r>
                </w:p>
              </w:tc>
            </w:tr>
            <w:tr w14:paraId="7383E0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trHeight w:val="90" w:hRule="atLeast"/>
                <w:jc w:val="center"/>
              </w:trPr>
              <w:tc>
                <w:tcPr>
                  <w:tcW w:w="1082" w:type="dxa"/>
                  <w:vMerge w:val="restart"/>
                  <w:tcBorders>
                    <w:tl2br w:val="nil"/>
                    <w:tr2bl w:val="nil"/>
                  </w:tcBorders>
                  <w:shd w:val="clear" w:color="auto" w:fill="auto"/>
                  <w:vAlign w:val="center"/>
                </w:tcPr>
                <w:p w14:paraId="4BD493E4">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应急发电</w:t>
                  </w:r>
                </w:p>
              </w:tc>
              <w:tc>
                <w:tcPr>
                  <w:tcW w:w="1171" w:type="dxa"/>
                  <w:vMerge w:val="restart"/>
                  <w:tcBorders>
                    <w:tl2br w:val="nil"/>
                    <w:tr2bl w:val="nil"/>
                  </w:tcBorders>
                  <w:shd w:val="clear" w:color="auto" w:fill="auto"/>
                  <w:vAlign w:val="center"/>
                </w:tcPr>
                <w:p w14:paraId="18A3AAB9">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备用发电机</w:t>
                  </w:r>
                </w:p>
              </w:tc>
              <w:tc>
                <w:tcPr>
                  <w:tcW w:w="763" w:type="dxa"/>
                  <w:vMerge w:val="restart"/>
                  <w:tcBorders>
                    <w:tl2br w:val="nil"/>
                    <w:tr2bl w:val="nil"/>
                  </w:tcBorders>
                  <w:shd w:val="clear" w:color="auto" w:fill="auto"/>
                  <w:vAlign w:val="center"/>
                </w:tcPr>
                <w:p w14:paraId="092C1D3C">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无组织</w:t>
                  </w:r>
                </w:p>
              </w:tc>
              <w:tc>
                <w:tcPr>
                  <w:tcW w:w="855" w:type="dxa"/>
                  <w:tcBorders>
                    <w:tl2br w:val="nil"/>
                    <w:tr2bl w:val="nil"/>
                  </w:tcBorders>
                  <w:shd w:val="clear" w:color="auto" w:fill="auto"/>
                  <w:vAlign w:val="center"/>
                </w:tcPr>
                <w:p w14:paraId="2BD95683">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烟尘</w:t>
                  </w:r>
                </w:p>
              </w:tc>
              <w:tc>
                <w:tcPr>
                  <w:tcW w:w="618" w:type="dxa"/>
                  <w:vMerge w:val="restart"/>
                  <w:tcBorders>
                    <w:tl2br w:val="nil"/>
                    <w:tr2bl w:val="nil"/>
                  </w:tcBorders>
                  <w:shd w:val="clear" w:color="auto" w:fill="auto"/>
                  <w:vAlign w:val="center"/>
                </w:tcPr>
                <w:p w14:paraId="48D702C6">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物料衡算法</w:t>
                  </w:r>
                </w:p>
              </w:tc>
              <w:tc>
                <w:tcPr>
                  <w:tcW w:w="1053" w:type="dxa"/>
                  <w:vMerge w:val="restart"/>
                  <w:tcBorders>
                    <w:tl2br w:val="nil"/>
                    <w:tr2bl w:val="nil"/>
                  </w:tcBorders>
                  <w:shd w:val="clear" w:color="auto" w:fill="auto"/>
                  <w:vAlign w:val="center"/>
                </w:tcPr>
                <w:p w14:paraId="3769C0FB">
                  <w:pPr>
                    <w:adjustRightInd w:val="0"/>
                    <w:snapToGrid w:val="0"/>
                    <w:spacing w:line="240" w:lineRule="auto"/>
                    <w:jc w:val="center"/>
                    <w:rPr>
                      <w:rFonts w:hint="default"/>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3520</w:t>
                  </w:r>
                </w:p>
              </w:tc>
              <w:tc>
                <w:tcPr>
                  <w:tcW w:w="921" w:type="dxa"/>
                  <w:tcBorders>
                    <w:tl2br w:val="nil"/>
                    <w:tr2bl w:val="nil"/>
                  </w:tcBorders>
                  <w:shd w:val="clear" w:color="auto" w:fill="auto"/>
                  <w:vAlign w:val="center"/>
                </w:tcPr>
                <w:p w14:paraId="4CAC02B5">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0.4224</w:t>
                  </w:r>
                </w:p>
              </w:tc>
              <w:tc>
                <w:tcPr>
                  <w:tcW w:w="1000" w:type="dxa"/>
                  <w:tcBorders>
                    <w:tl2br w:val="nil"/>
                    <w:tr2bl w:val="nil"/>
                  </w:tcBorders>
                  <w:shd w:val="clear" w:color="auto" w:fill="auto"/>
                  <w:vAlign w:val="center"/>
                </w:tcPr>
                <w:p w14:paraId="64292ECA">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0.0176</w:t>
                  </w:r>
                </w:p>
              </w:tc>
              <w:tc>
                <w:tcPr>
                  <w:tcW w:w="1000" w:type="dxa"/>
                  <w:tcBorders>
                    <w:tl2br w:val="nil"/>
                    <w:tr2bl w:val="nil"/>
                  </w:tcBorders>
                  <w:shd w:val="clear" w:color="auto" w:fill="auto"/>
                  <w:vAlign w:val="center"/>
                </w:tcPr>
                <w:p w14:paraId="3C5F1147">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5</w:t>
                  </w:r>
                </w:p>
              </w:tc>
              <w:tc>
                <w:tcPr>
                  <w:tcW w:w="750" w:type="dxa"/>
                  <w:vMerge w:val="restart"/>
                  <w:tcBorders>
                    <w:tl2br w:val="nil"/>
                    <w:tr2bl w:val="nil"/>
                  </w:tcBorders>
                  <w:shd w:val="clear" w:color="auto" w:fill="auto"/>
                  <w:vAlign w:val="center"/>
                </w:tcPr>
                <w:p w14:paraId="4B96D043">
                  <w:pPr>
                    <w:adjustRightInd w:val="0"/>
                    <w:snapToGrid w:val="0"/>
                    <w:spacing w:line="240" w:lineRule="auto"/>
                    <w:jc w:val="center"/>
                    <w:rPr>
                      <w:rFonts w:hint="default"/>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605" w:type="dxa"/>
                  <w:vMerge w:val="restart"/>
                  <w:tcBorders>
                    <w:tl2br w:val="nil"/>
                    <w:tr2bl w:val="nil"/>
                  </w:tcBorders>
                  <w:shd w:val="clear" w:color="auto" w:fill="auto"/>
                  <w:vAlign w:val="center"/>
                </w:tcPr>
                <w:p w14:paraId="7D210137">
                  <w:pPr>
                    <w:adjustRightInd w:val="0"/>
                    <w:snapToGrid w:val="0"/>
                    <w:spacing w:line="240" w:lineRule="auto"/>
                    <w:jc w:val="center"/>
                    <w:rPr>
                      <w:rFonts w:hint="default"/>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566" w:type="dxa"/>
                  <w:vMerge w:val="restart"/>
                  <w:tcBorders>
                    <w:tl2br w:val="nil"/>
                    <w:tr2bl w:val="nil"/>
                  </w:tcBorders>
                  <w:shd w:val="clear" w:color="auto" w:fill="auto"/>
                  <w:vAlign w:val="center"/>
                </w:tcPr>
                <w:p w14:paraId="2F3DBDC1">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物料衡算法</w:t>
                  </w:r>
                </w:p>
              </w:tc>
              <w:tc>
                <w:tcPr>
                  <w:tcW w:w="1000" w:type="dxa"/>
                  <w:vMerge w:val="restart"/>
                  <w:tcBorders>
                    <w:tl2br w:val="nil"/>
                    <w:tr2bl w:val="nil"/>
                  </w:tcBorders>
                  <w:shd w:val="clear" w:color="auto" w:fill="auto"/>
                  <w:vAlign w:val="center"/>
                </w:tcPr>
                <w:p w14:paraId="6AB4C05C">
                  <w:pPr>
                    <w:adjustRightInd w:val="0"/>
                    <w:snapToGrid w:val="0"/>
                    <w:spacing w:line="240" w:lineRule="auto"/>
                    <w:jc w:val="center"/>
                    <w:rPr>
                      <w:rFonts w:hint="eastAsia"/>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3520</w:t>
                  </w:r>
                </w:p>
              </w:tc>
              <w:tc>
                <w:tcPr>
                  <w:tcW w:w="1040" w:type="dxa"/>
                  <w:tcBorders>
                    <w:tl2br w:val="nil"/>
                    <w:tr2bl w:val="nil"/>
                  </w:tcBorders>
                  <w:shd w:val="clear" w:color="auto" w:fill="auto"/>
                  <w:vAlign w:val="center"/>
                </w:tcPr>
                <w:p w14:paraId="39D68349">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0.4224</w:t>
                  </w:r>
                </w:p>
              </w:tc>
              <w:tc>
                <w:tcPr>
                  <w:tcW w:w="1014" w:type="dxa"/>
                  <w:tcBorders>
                    <w:tl2br w:val="nil"/>
                    <w:tr2bl w:val="nil"/>
                  </w:tcBorders>
                  <w:shd w:val="clear" w:color="auto" w:fill="auto"/>
                  <w:vAlign w:val="center"/>
                </w:tcPr>
                <w:p w14:paraId="0EEAE1D4">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0.0176</w:t>
                  </w:r>
                </w:p>
              </w:tc>
              <w:tc>
                <w:tcPr>
                  <w:tcW w:w="969" w:type="dxa"/>
                  <w:tcBorders>
                    <w:tl2br w:val="nil"/>
                    <w:tr2bl w:val="nil"/>
                  </w:tcBorders>
                  <w:shd w:val="clear" w:color="auto" w:fill="auto"/>
                  <w:vAlign w:val="center"/>
                </w:tcPr>
                <w:p w14:paraId="76F144D2">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5</w:t>
                  </w:r>
                </w:p>
              </w:tc>
              <w:tc>
                <w:tcPr>
                  <w:tcW w:w="581" w:type="dxa"/>
                  <w:vMerge w:val="restart"/>
                  <w:tcBorders>
                    <w:tl2br w:val="nil"/>
                    <w:tr2bl w:val="nil"/>
                  </w:tcBorders>
                  <w:shd w:val="clear" w:color="auto" w:fill="auto"/>
                  <w:vAlign w:val="center"/>
                </w:tcPr>
                <w:p w14:paraId="1F1CABBF">
                  <w:pPr>
                    <w:adjustRightInd w:val="0"/>
                    <w:snapToGrid w:val="0"/>
                    <w:spacing w:line="240" w:lineRule="auto"/>
                    <w:jc w:val="center"/>
                    <w:rPr>
                      <w:rFonts w:hint="default"/>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24</w:t>
                  </w:r>
                </w:p>
              </w:tc>
            </w:tr>
            <w:tr w14:paraId="291DBD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trHeight w:val="90" w:hRule="atLeast"/>
                <w:jc w:val="center"/>
              </w:trPr>
              <w:tc>
                <w:tcPr>
                  <w:tcW w:w="1082" w:type="dxa"/>
                  <w:vMerge w:val="continue"/>
                  <w:tcBorders>
                    <w:tl2br w:val="nil"/>
                    <w:tr2bl w:val="nil"/>
                  </w:tcBorders>
                  <w:shd w:val="clear" w:color="auto" w:fill="auto"/>
                  <w:vAlign w:val="center"/>
                </w:tcPr>
                <w:p w14:paraId="397C5928">
                  <w:pPr>
                    <w:adjustRightInd w:val="0"/>
                    <w:snapToGrid w:val="0"/>
                    <w:spacing w:line="240" w:lineRule="auto"/>
                    <w:jc w:val="center"/>
                  </w:pPr>
                </w:p>
              </w:tc>
              <w:tc>
                <w:tcPr>
                  <w:tcW w:w="1171" w:type="dxa"/>
                  <w:vMerge w:val="continue"/>
                  <w:tcBorders>
                    <w:tl2br w:val="nil"/>
                    <w:tr2bl w:val="nil"/>
                  </w:tcBorders>
                  <w:shd w:val="clear" w:color="auto" w:fill="auto"/>
                  <w:vAlign w:val="center"/>
                </w:tcPr>
                <w:p w14:paraId="0B5F1B9E">
                  <w:pPr>
                    <w:adjustRightInd w:val="0"/>
                    <w:snapToGrid w:val="0"/>
                    <w:spacing w:line="240" w:lineRule="auto"/>
                    <w:jc w:val="center"/>
                  </w:pPr>
                </w:p>
              </w:tc>
              <w:tc>
                <w:tcPr>
                  <w:tcW w:w="763" w:type="dxa"/>
                  <w:vMerge w:val="continue"/>
                  <w:tcBorders>
                    <w:tl2br w:val="nil"/>
                    <w:tr2bl w:val="nil"/>
                  </w:tcBorders>
                  <w:shd w:val="clear" w:color="auto" w:fill="auto"/>
                  <w:vAlign w:val="center"/>
                </w:tcPr>
                <w:p w14:paraId="04BBE99B">
                  <w:pPr>
                    <w:adjustRightInd w:val="0"/>
                    <w:snapToGrid w:val="0"/>
                    <w:spacing w:line="240" w:lineRule="auto"/>
                    <w:jc w:val="center"/>
                  </w:pPr>
                </w:p>
              </w:tc>
              <w:tc>
                <w:tcPr>
                  <w:tcW w:w="855" w:type="dxa"/>
                  <w:tcBorders>
                    <w:tl2br w:val="nil"/>
                    <w:tr2bl w:val="nil"/>
                  </w:tcBorders>
                  <w:shd w:val="clear" w:color="auto" w:fill="auto"/>
                  <w:vAlign w:val="center"/>
                </w:tcPr>
                <w:p w14:paraId="4322E0D5">
                  <w:pPr>
                    <w:adjustRightInd w:val="0"/>
                    <w:snapToGrid w:val="0"/>
                    <w:spacing w:line="240" w:lineRule="auto"/>
                    <w:jc w:val="center"/>
                    <w:rPr>
                      <w:rFonts w:hint="default"/>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SO</w:t>
                  </w:r>
                  <w:r>
                    <w:rPr>
                      <w:rFonts w:hint="eastAsia"/>
                      <w:color w:val="000000" w:themeColor="text1"/>
                      <w:kern w:val="0"/>
                      <w:sz w:val="21"/>
                      <w:szCs w:val="20"/>
                      <w:vertAlign w:val="subscript"/>
                      <w:lang w:val="en-US" w:eastAsia="zh-CN"/>
                      <w14:textFill>
                        <w14:solidFill>
                          <w14:schemeClr w14:val="tx1"/>
                        </w14:solidFill>
                      </w14:textFill>
                    </w:rPr>
                    <w:t>2</w:t>
                  </w:r>
                </w:p>
              </w:tc>
              <w:tc>
                <w:tcPr>
                  <w:tcW w:w="618" w:type="dxa"/>
                  <w:vMerge w:val="continue"/>
                  <w:tcBorders>
                    <w:tl2br w:val="nil"/>
                    <w:tr2bl w:val="nil"/>
                  </w:tcBorders>
                  <w:shd w:val="clear" w:color="auto" w:fill="auto"/>
                  <w:vAlign w:val="center"/>
                </w:tcPr>
                <w:p w14:paraId="0CF09E5B">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053" w:type="dxa"/>
                  <w:vMerge w:val="continue"/>
                  <w:tcBorders>
                    <w:tl2br w:val="nil"/>
                    <w:tr2bl w:val="nil"/>
                  </w:tcBorders>
                  <w:shd w:val="clear" w:color="auto" w:fill="auto"/>
                  <w:vAlign w:val="center"/>
                </w:tcPr>
                <w:p w14:paraId="61F9A021">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921" w:type="dxa"/>
                  <w:tcBorders>
                    <w:tl2br w:val="nil"/>
                    <w:tr2bl w:val="nil"/>
                  </w:tcBorders>
                  <w:shd w:val="clear" w:color="auto" w:fill="auto"/>
                  <w:vAlign w:val="center"/>
                </w:tcPr>
                <w:p w14:paraId="55C67AD9">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0.0845</w:t>
                  </w:r>
                </w:p>
              </w:tc>
              <w:tc>
                <w:tcPr>
                  <w:tcW w:w="1000" w:type="dxa"/>
                  <w:tcBorders>
                    <w:tl2br w:val="nil"/>
                    <w:tr2bl w:val="nil"/>
                  </w:tcBorders>
                  <w:shd w:val="clear" w:color="auto" w:fill="auto"/>
                  <w:vAlign w:val="center"/>
                </w:tcPr>
                <w:p w14:paraId="4726BED6">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0.0036</w:t>
                  </w:r>
                </w:p>
              </w:tc>
              <w:tc>
                <w:tcPr>
                  <w:tcW w:w="1000" w:type="dxa"/>
                  <w:tcBorders>
                    <w:tl2br w:val="nil"/>
                    <w:tr2bl w:val="nil"/>
                  </w:tcBorders>
                  <w:shd w:val="clear" w:color="auto" w:fill="auto"/>
                  <w:vAlign w:val="center"/>
                </w:tcPr>
                <w:p w14:paraId="35550C44">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1.0228</w:t>
                  </w:r>
                </w:p>
              </w:tc>
              <w:tc>
                <w:tcPr>
                  <w:tcW w:w="750" w:type="dxa"/>
                  <w:vMerge w:val="continue"/>
                  <w:tcBorders>
                    <w:tl2br w:val="nil"/>
                    <w:tr2bl w:val="nil"/>
                  </w:tcBorders>
                  <w:shd w:val="clear" w:color="auto" w:fill="auto"/>
                  <w:vAlign w:val="center"/>
                </w:tcPr>
                <w:p w14:paraId="6F4F0AB4">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605" w:type="dxa"/>
                  <w:vMerge w:val="continue"/>
                  <w:tcBorders>
                    <w:tl2br w:val="nil"/>
                    <w:tr2bl w:val="nil"/>
                  </w:tcBorders>
                  <w:shd w:val="clear" w:color="auto" w:fill="auto"/>
                  <w:vAlign w:val="center"/>
                </w:tcPr>
                <w:p w14:paraId="228EF1DD">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566" w:type="dxa"/>
                  <w:vMerge w:val="continue"/>
                  <w:tcBorders>
                    <w:tl2br w:val="nil"/>
                    <w:tr2bl w:val="nil"/>
                  </w:tcBorders>
                  <w:shd w:val="clear" w:color="auto" w:fill="auto"/>
                  <w:vAlign w:val="center"/>
                </w:tcPr>
                <w:p w14:paraId="7C4D7DFE">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000" w:type="dxa"/>
                  <w:vMerge w:val="continue"/>
                  <w:tcBorders>
                    <w:tl2br w:val="nil"/>
                    <w:tr2bl w:val="nil"/>
                  </w:tcBorders>
                  <w:shd w:val="clear" w:color="auto" w:fill="auto"/>
                  <w:vAlign w:val="center"/>
                </w:tcPr>
                <w:p w14:paraId="1617CF83">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040" w:type="dxa"/>
                  <w:tcBorders>
                    <w:tl2br w:val="nil"/>
                    <w:tr2bl w:val="nil"/>
                  </w:tcBorders>
                  <w:shd w:val="clear" w:color="auto" w:fill="auto"/>
                  <w:vAlign w:val="center"/>
                </w:tcPr>
                <w:p w14:paraId="0481B732">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0.0845</w:t>
                  </w:r>
                </w:p>
              </w:tc>
              <w:tc>
                <w:tcPr>
                  <w:tcW w:w="1014" w:type="dxa"/>
                  <w:tcBorders>
                    <w:tl2br w:val="nil"/>
                    <w:tr2bl w:val="nil"/>
                  </w:tcBorders>
                  <w:shd w:val="clear" w:color="auto" w:fill="auto"/>
                  <w:vAlign w:val="center"/>
                </w:tcPr>
                <w:p w14:paraId="790A18A3">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0.0036</w:t>
                  </w:r>
                </w:p>
              </w:tc>
              <w:tc>
                <w:tcPr>
                  <w:tcW w:w="969" w:type="dxa"/>
                  <w:tcBorders>
                    <w:tl2br w:val="nil"/>
                    <w:tr2bl w:val="nil"/>
                  </w:tcBorders>
                  <w:shd w:val="clear" w:color="auto" w:fill="auto"/>
                  <w:vAlign w:val="center"/>
                </w:tcPr>
                <w:p w14:paraId="76D0320F">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1.0228</w:t>
                  </w:r>
                </w:p>
              </w:tc>
              <w:tc>
                <w:tcPr>
                  <w:tcW w:w="581" w:type="dxa"/>
                  <w:vMerge w:val="continue"/>
                  <w:tcBorders>
                    <w:tl2br w:val="nil"/>
                    <w:tr2bl w:val="nil"/>
                  </w:tcBorders>
                  <w:shd w:val="clear" w:color="auto" w:fill="auto"/>
                  <w:vAlign w:val="center"/>
                </w:tcPr>
                <w:p w14:paraId="707B297E">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r>
            <w:tr w14:paraId="03F82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1082" w:type="dxa"/>
                  <w:vMerge w:val="continue"/>
                  <w:tcBorders>
                    <w:tl2br w:val="nil"/>
                    <w:tr2bl w:val="nil"/>
                  </w:tcBorders>
                  <w:shd w:val="clear" w:color="auto" w:fill="auto"/>
                  <w:vAlign w:val="center"/>
                </w:tcPr>
                <w:p w14:paraId="4B523185">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171" w:type="dxa"/>
                  <w:vMerge w:val="continue"/>
                  <w:tcBorders>
                    <w:tl2br w:val="nil"/>
                    <w:tr2bl w:val="nil"/>
                  </w:tcBorders>
                  <w:shd w:val="clear" w:color="auto" w:fill="auto"/>
                  <w:vAlign w:val="center"/>
                </w:tcPr>
                <w:p w14:paraId="61530B01">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763" w:type="dxa"/>
                  <w:vMerge w:val="continue"/>
                  <w:tcBorders>
                    <w:tl2br w:val="nil"/>
                    <w:tr2bl w:val="nil"/>
                  </w:tcBorders>
                  <w:shd w:val="clear" w:color="auto" w:fill="auto"/>
                  <w:vAlign w:val="center"/>
                </w:tcPr>
                <w:p w14:paraId="3BB2CF4A">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855" w:type="dxa"/>
                  <w:tcBorders>
                    <w:tl2br w:val="nil"/>
                    <w:tr2bl w:val="nil"/>
                  </w:tcBorders>
                  <w:shd w:val="clear" w:color="auto" w:fill="auto"/>
                  <w:vAlign w:val="center"/>
                </w:tcPr>
                <w:p w14:paraId="65C9D69D">
                  <w:pPr>
                    <w:adjustRightInd w:val="0"/>
                    <w:snapToGrid w:val="0"/>
                    <w:spacing w:line="240" w:lineRule="auto"/>
                    <w:jc w:val="center"/>
                    <w:rPr>
                      <w:rFonts w:hint="default"/>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NOx</w:t>
                  </w:r>
                </w:p>
              </w:tc>
              <w:tc>
                <w:tcPr>
                  <w:tcW w:w="618" w:type="dxa"/>
                  <w:vMerge w:val="continue"/>
                  <w:tcBorders>
                    <w:tl2br w:val="nil"/>
                    <w:tr2bl w:val="nil"/>
                  </w:tcBorders>
                  <w:shd w:val="clear" w:color="auto" w:fill="auto"/>
                  <w:vAlign w:val="center"/>
                </w:tcPr>
                <w:p w14:paraId="41D2FA8B">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053" w:type="dxa"/>
                  <w:vMerge w:val="continue"/>
                  <w:tcBorders>
                    <w:tl2br w:val="nil"/>
                    <w:tr2bl w:val="nil"/>
                  </w:tcBorders>
                  <w:shd w:val="clear" w:color="auto" w:fill="auto"/>
                  <w:vAlign w:val="center"/>
                </w:tcPr>
                <w:p w14:paraId="2A6FE122">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921" w:type="dxa"/>
                  <w:tcBorders>
                    <w:tl2br w:val="nil"/>
                    <w:tr2bl w:val="nil"/>
                  </w:tcBorders>
                  <w:shd w:val="clear" w:color="auto" w:fill="auto"/>
                  <w:vAlign w:val="center"/>
                </w:tcPr>
                <w:p w14:paraId="3C03A919">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9.7631</w:t>
                  </w:r>
                </w:p>
              </w:tc>
              <w:tc>
                <w:tcPr>
                  <w:tcW w:w="1000" w:type="dxa"/>
                  <w:tcBorders>
                    <w:tl2br w:val="nil"/>
                    <w:tr2bl w:val="nil"/>
                  </w:tcBorders>
                  <w:shd w:val="clear" w:color="auto" w:fill="auto"/>
                  <w:vAlign w:val="center"/>
                </w:tcPr>
                <w:p w14:paraId="68058A92">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0.4068</w:t>
                  </w:r>
                </w:p>
              </w:tc>
              <w:tc>
                <w:tcPr>
                  <w:tcW w:w="1000" w:type="dxa"/>
                  <w:tcBorders>
                    <w:tl2br w:val="nil"/>
                    <w:tr2bl w:val="nil"/>
                  </w:tcBorders>
                  <w:shd w:val="clear" w:color="auto" w:fill="auto"/>
                  <w:vAlign w:val="center"/>
                </w:tcPr>
                <w:p w14:paraId="7867E26F">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115.5682</w:t>
                  </w:r>
                </w:p>
              </w:tc>
              <w:tc>
                <w:tcPr>
                  <w:tcW w:w="750" w:type="dxa"/>
                  <w:vMerge w:val="continue"/>
                  <w:tcBorders>
                    <w:tl2br w:val="nil"/>
                    <w:tr2bl w:val="nil"/>
                  </w:tcBorders>
                  <w:shd w:val="clear" w:color="auto" w:fill="auto"/>
                  <w:vAlign w:val="center"/>
                </w:tcPr>
                <w:p w14:paraId="52962D44">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605" w:type="dxa"/>
                  <w:vMerge w:val="continue"/>
                  <w:tcBorders>
                    <w:tl2br w:val="nil"/>
                    <w:tr2bl w:val="nil"/>
                  </w:tcBorders>
                  <w:shd w:val="clear" w:color="auto" w:fill="auto"/>
                  <w:vAlign w:val="center"/>
                </w:tcPr>
                <w:p w14:paraId="6698BE68">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566" w:type="dxa"/>
                  <w:vMerge w:val="continue"/>
                  <w:tcBorders>
                    <w:tl2br w:val="nil"/>
                    <w:tr2bl w:val="nil"/>
                  </w:tcBorders>
                  <w:shd w:val="clear" w:color="auto" w:fill="auto"/>
                  <w:vAlign w:val="center"/>
                </w:tcPr>
                <w:p w14:paraId="1AD615D3">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000" w:type="dxa"/>
                  <w:vMerge w:val="continue"/>
                  <w:tcBorders>
                    <w:tl2br w:val="nil"/>
                    <w:tr2bl w:val="nil"/>
                  </w:tcBorders>
                  <w:shd w:val="clear" w:color="auto" w:fill="auto"/>
                  <w:vAlign w:val="center"/>
                </w:tcPr>
                <w:p w14:paraId="6242D001">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c>
                <w:tcPr>
                  <w:tcW w:w="1040" w:type="dxa"/>
                  <w:tcBorders>
                    <w:tl2br w:val="nil"/>
                    <w:tr2bl w:val="nil"/>
                  </w:tcBorders>
                  <w:shd w:val="clear" w:color="auto" w:fill="auto"/>
                  <w:vAlign w:val="center"/>
                </w:tcPr>
                <w:p w14:paraId="67758AFC">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9.7631</w:t>
                  </w:r>
                </w:p>
              </w:tc>
              <w:tc>
                <w:tcPr>
                  <w:tcW w:w="1014" w:type="dxa"/>
                  <w:tcBorders>
                    <w:tl2br w:val="nil"/>
                    <w:tr2bl w:val="nil"/>
                  </w:tcBorders>
                  <w:shd w:val="clear" w:color="auto" w:fill="auto"/>
                  <w:vAlign w:val="center"/>
                </w:tcPr>
                <w:p w14:paraId="363A2541">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0.4068</w:t>
                  </w:r>
                </w:p>
              </w:tc>
              <w:tc>
                <w:tcPr>
                  <w:tcW w:w="969" w:type="dxa"/>
                  <w:tcBorders>
                    <w:tl2br w:val="nil"/>
                    <w:tr2bl w:val="nil"/>
                  </w:tcBorders>
                  <w:shd w:val="clear" w:color="auto" w:fill="auto"/>
                  <w:vAlign w:val="center"/>
                </w:tcPr>
                <w:p w14:paraId="67905E8A">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115.5682</w:t>
                  </w:r>
                </w:p>
              </w:tc>
              <w:tc>
                <w:tcPr>
                  <w:tcW w:w="581" w:type="dxa"/>
                  <w:vMerge w:val="continue"/>
                  <w:tcBorders>
                    <w:tl2br w:val="nil"/>
                    <w:tr2bl w:val="nil"/>
                  </w:tcBorders>
                  <w:shd w:val="clear" w:color="auto" w:fill="auto"/>
                  <w:vAlign w:val="center"/>
                </w:tcPr>
                <w:p w14:paraId="6FF750DF">
                  <w:pPr>
                    <w:adjustRightInd w:val="0"/>
                    <w:snapToGrid w:val="0"/>
                    <w:spacing w:line="240" w:lineRule="auto"/>
                    <w:jc w:val="center"/>
                    <w:rPr>
                      <w:rFonts w:hint="eastAsia"/>
                      <w:color w:val="000000" w:themeColor="text1"/>
                      <w:kern w:val="0"/>
                      <w:sz w:val="21"/>
                      <w:szCs w:val="20"/>
                      <w:lang w:eastAsia="zh-CN"/>
                      <w14:textFill>
                        <w14:solidFill>
                          <w14:schemeClr w14:val="tx1"/>
                        </w14:solidFill>
                      </w14:textFill>
                    </w:rPr>
                  </w:pPr>
                </w:p>
              </w:tc>
            </w:tr>
          </w:tbl>
          <w:p w14:paraId="3F7B09AB"/>
        </w:tc>
      </w:tr>
    </w:tbl>
    <w:p w14:paraId="141CC500">
      <w:pPr>
        <w:tabs>
          <w:tab w:val="left" w:pos="649"/>
        </w:tabs>
        <w:adjustRightInd w:val="0"/>
        <w:snapToGrid w:val="0"/>
        <w:ind w:firstLine="480" w:firstLineChars="200"/>
        <w:rPr>
          <w:rFonts w:cs="宋体"/>
        </w:rPr>
        <w:sectPr>
          <w:pgSz w:w="16840" w:h="11907" w:orient="landscape"/>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101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9674"/>
      </w:tblGrid>
      <w:tr w14:paraId="44E3C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48" w:hRule="atLeast"/>
          <w:jc w:val="center"/>
        </w:trPr>
        <w:tc>
          <w:tcPr>
            <w:tcW w:w="428" w:type="dxa"/>
            <w:vAlign w:val="center"/>
          </w:tcPr>
          <w:p w14:paraId="57449A3F">
            <w:pPr>
              <w:adjustRightInd w:val="0"/>
              <w:snapToGrid w:val="0"/>
              <w:jc w:val="center"/>
              <w:rPr>
                <w:rFonts w:ascii="宋体" w:hAnsi="宋体" w:cs="宋体"/>
                <w:kern w:val="0"/>
                <w:szCs w:val="21"/>
              </w:rPr>
            </w:pPr>
          </w:p>
        </w:tc>
        <w:tc>
          <w:tcPr>
            <w:tcW w:w="9674" w:type="dxa"/>
            <w:vAlign w:val="center"/>
          </w:tcPr>
          <w:p w14:paraId="4245BC8F">
            <w:pPr>
              <w:adjustRightInd w:val="0"/>
              <w:snapToGrid w:val="0"/>
              <w:ind w:firstLine="482" w:firstLineChars="200"/>
              <w:rPr>
                <w:b/>
                <w:bCs/>
              </w:rPr>
            </w:pPr>
            <w:r>
              <w:rPr>
                <w:b/>
                <w:bCs/>
              </w:rPr>
              <w:t>源强核算说明：</w:t>
            </w:r>
          </w:p>
          <w:p w14:paraId="1C8B26F1">
            <w:pPr>
              <w:adjustRightInd w:val="0"/>
              <w:snapToGrid w:val="0"/>
              <w:ind w:firstLine="482" w:firstLineChars="200"/>
              <w:rPr>
                <w:b/>
                <w:bCs/>
              </w:rPr>
            </w:pPr>
            <w:r>
              <w:rPr>
                <w:rFonts w:hint="eastAsia"/>
                <w:b/>
                <w:bCs/>
              </w:rPr>
              <w:t>1、废气污染物源强核算</w:t>
            </w:r>
          </w:p>
          <w:p w14:paraId="350A40D7">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吸氨器为全密闭式，氨水制备过程中不会有氨气排出。</w:t>
            </w:r>
          </w:p>
          <w:p w14:paraId="7A8FE492">
            <w:pPr>
              <w:adjustRightInd w:val="0"/>
              <w:snapToGrid w:val="0"/>
              <w:ind w:firstLine="482" w:firstLineChars="200"/>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w:t>
            </w: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lang w:eastAsia="zh-CN"/>
              </w:rPr>
              <w:t>）有组织废气</w:t>
            </w:r>
          </w:p>
          <w:p w14:paraId="44505FDC">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本项目氨水储罐包括</w:t>
            </w:r>
            <w:r>
              <w:rPr>
                <w:rFonts w:hint="eastAsia" w:ascii="Times New Roman" w:hAnsi="Times New Roman" w:eastAsia="宋体" w:cs="Times New Roman"/>
                <w:lang w:val="en-US" w:eastAsia="zh-CN"/>
              </w:rPr>
              <w:t>8</w:t>
            </w:r>
            <w:r>
              <w:rPr>
                <w:rFonts w:hint="eastAsia" w:ascii="Times New Roman" w:hAnsi="Times New Roman" w:eastAsia="宋体" w:cs="Times New Roman"/>
                <w:lang w:eastAsia="zh-CN"/>
              </w:rPr>
              <w:t>个氨水罐、1个氨水中间罐。常温常压下，氨水饱和浓度为35%，本项目氨水浓度为2</w:t>
            </w:r>
            <w:r>
              <w:rPr>
                <w:rFonts w:hint="eastAsia" w:ascii="Times New Roman" w:hAnsi="Times New Roman" w:eastAsia="宋体" w:cs="Times New Roman"/>
                <w:lang w:val="en-US" w:eastAsia="zh-CN"/>
              </w:rPr>
              <w:t>5</w:t>
            </w:r>
            <w:r>
              <w:rPr>
                <w:rFonts w:hint="eastAsia" w:ascii="Times New Roman" w:hAnsi="Times New Roman" w:eastAsia="宋体" w:cs="Times New Roman"/>
                <w:lang w:eastAsia="zh-CN"/>
              </w:rPr>
              <w:t>%，挥发量较小。储罐为固定顶罐，环境温度和大气压力变化，物料装卸过程等均会产生一定量储罐呼吸气，包括小呼吸和大呼吸。小呼吸即呼吸排放，是由于温度和大气压力的变化引起蒸气的膨胀和收缩而产生的蒸气排出，它出现在罐内液面无任何变化的情况，是非人为干扰的自然排放方式。大呼吸即工作排放，是由于人为的装料与卸料而产生的损失。</w:t>
            </w:r>
          </w:p>
          <w:p w14:paraId="11A3205D">
            <w:pPr>
              <w:adjustRightInd w:val="0"/>
              <w:snapToGrid w:val="0"/>
              <w:ind w:firstLine="482" w:firstLineChars="200"/>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1）储罐小呼吸废气</w:t>
            </w:r>
          </w:p>
          <w:p w14:paraId="2CB9C3E1">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本项目采用《环境统计手册》中储罐呼吸公式计算储罐呼吸量，固定顶罐的呼吸排放可用下式估算其污染物的排放量：</w:t>
            </w:r>
          </w:p>
          <w:p w14:paraId="2142950B">
            <w:pPr>
              <w:adjustRightInd w:val="0"/>
              <w:snapToGrid w:val="0"/>
              <w:ind w:firstLine="482" w:firstLineChars="200"/>
              <w:jc w:val="center"/>
              <w:rPr>
                <w:rFonts w:ascii="Times New Roman" w:hAnsi="Times New Roman" w:eastAsia="宋体" w:cs="Times New Roman"/>
                <w:b/>
                <w:bCs/>
              </w:rPr>
            </w:pPr>
            <w:r>
              <w:rPr>
                <w:rFonts w:hint="eastAsia" w:ascii="Times New Roman" w:hAnsi="Times New Roman" w:eastAsia="宋体" w:cs="Times New Roman"/>
                <w:b/>
                <w:bCs/>
              </w:rPr>
              <w:t>L</w:t>
            </w:r>
            <w:r>
              <w:rPr>
                <w:rFonts w:hint="eastAsia" w:ascii="Times New Roman" w:hAnsi="Times New Roman" w:eastAsia="宋体" w:cs="Times New Roman"/>
                <w:b/>
                <w:bCs/>
                <w:vertAlign w:val="subscript"/>
              </w:rPr>
              <w:t>B</w:t>
            </w:r>
            <w:r>
              <w:rPr>
                <w:rFonts w:hint="eastAsia" w:ascii="Times New Roman" w:hAnsi="Times New Roman" w:eastAsia="宋体" w:cs="Times New Roman"/>
                <w:b/>
                <w:bCs/>
              </w:rPr>
              <w:t>=0.191×M（P/（100910-P））</w:t>
            </w:r>
            <w:r>
              <w:rPr>
                <w:rFonts w:hint="eastAsia" w:ascii="Times New Roman" w:hAnsi="Times New Roman" w:eastAsia="宋体" w:cs="Times New Roman"/>
                <w:b/>
                <w:bCs/>
                <w:vertAlign w:val="superscript"/>
              </w:rPr>
              <w:t>0.68</w:t>
            </w:r>
            <w:r>
              <w:rPr>
                <w:rFonts w:hint="eastAsia" w:ascii="Times New Roman" w:hAnsi="Times New Roman" w:eastAsia="宋体" w:cs="Times New Roman"/>
                <w:b/>
                <w:bCs/>
              </w:rPr>
              <w:t>×D</w:t>
            </w:r>
            <w:r>
              <w:rPr>
                <w:rFonts w:hint="eastAsia" w:ascii="Times New Roman" w:hAnsi="Times New Roman" w:eastAsia="宋体" w:cs="Times New Roman"/>
                <w:b/>
                <w:bCs/>
                <w:vertAlign w:val="superscript"/>
              </w:rPr>
              <w:t>1.73</w:t>
            </w:r>
            <w:r>
              <w:rPr>
                <w:rFonts w:hint="eastAsia" w:ascii="Times New Roman" w:hAnsi="Times New Roman" w:eastAsia="宋体" w:cs="Times New Roman"/>
                <w:b/>
                <w:bCs/>
              </w:rPr>
              <w:t>×H</w:t>
            </w:r>
            <w:r>
              <w:rPr>
                <w:rFonts w:hint="eastAsia" w:ascii="Times New Roman" w:hAnsi="Times New Roman" w:eastAsia="宋体" w:cs="Times New Roman"/>
                <w:b/>
                <w:bCs/>
                <w:vertAlign w:val="superscript"/>
              </w:rPr>
              <w:t>0.51</w:t>
            </w:r>
            <w:r>
              <w:rPr>
                <w:rFonts w:hint="eastAsia" w:ascii="Times New Roman" w:hAnsi="Times New Roman" w:eastAsia="宋体" w:cs="Times New Roman"/>
                <w:b/>
                <w:bCs/>
              </w:rPr>
              <w:t>×△T</w:t>
            </w:r>
            <w:r>
              <w:rPr>
                <w:rFonts w:hint="eastAsia" w:ascii="Times New Roman" w:hAnsi="Times New Roman" w:eastAsia="宋体" w:cs="Times New Roman"/>
                <w:b/>
                <w:bCs/>
                <w:vertAlign w:val="superscript"/>
              </w:rPr>
              <w:t>0.45</w:t>
            </w:r>
            <w:r>
              <w:rPr>
                <w:rFonts w:hint="eastAsia" w:ascii="Times New Roman" w:hAnsi="Times New Roman" w:eastAsia="宋体" w:cs="Times New Roman"/>
                <w:b/>
                <w:bCs/>
              </w:rPr>
              <w:t>×F</w:t>
            </w:r>
            <w:r>
              <w:rPr>
                <w:rFonts w:hint="eastAsia" w:ascii="Times New Roman" w:hAnsi="Times New Roman" w:eastAsia="宋体" w:cs="Times New Roman"/>
                <w:b/>
                <w:bCs/>
                <w:vertAlign w:val="subscript"/>
              </w:rPr>
              <w:t>P</w:t>
            </w:r>
            <w:r>
              <w:rPr>
                <w:rFonts w:hint="eastAsia" w:ascii="Times New Roman" w:hAnsi="Times New Roman" w:eastAsia="宋体" w:cs="Times New Roman"/>
                <w:b/>
                <w:bCs/>
              </w:rPr>
              <w:t>×C×K</w:t>
            </w:r>
            <w:r>
              <w:rPr>
                <w:rFonts w:hint="eastAsia" w:ascii="Times New Roman" w:hAnsi="Times New Roman" w:eastAsia="宋体" w:cs="Times New Roman"/>
                <w:b/>
                <w:bCs/>
                <w:vertAlign w:val="subscript"/>
              </w:rPr>
              <w:t>C</w:t>
            </w:r>
          </w:p>
          <w:p w14:paraId="1FC79E7E">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式中：L</w:t>
            </w:r>
            <w:r>
              <w:rPr>
                <w:rFonts w:hint="eastAsia" w:ascii="Times New Roman" w:hAnsi="Times New Roman" w:eastAsia="宋体" w:cs="Times New Roman"/>
                <w:vertAlign w:val="subscript"/>
              </w:rPr>
              <w:t>B</w:t>
            </w:r>
            <w:r>
              <w:rPr>
                <w:rFonts w:hint="eastAsia" w:ascii="Times New Roman" w:hAnsi="Times New Roman" w:eastAsia="宋体" w:cs="Times New Roman"/>
              </w:rPr>
              <w:t>—固定顶罐的呼吸排放量（kg/a）；</w:t>
            </w:r>
          </w:p>
          <w:p w14:paraId="3BEF2FDB">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M—储罐内蒸气的分子量</w:t>
            </w:r>
            <w:r>
              <w:rPr>
                <w:rFonts w:hint="eastAsia" w:ascii="Times New Roman" w:hAnsi="Times New Roman" w:eastAsia="宋体" w:cs="Times New Roman"/>
                <w:lang w:eastAsia="zh-CN"/>
              </w:rPr>
              <w:t>，取氨分子量17</w:t>
            </w:r>
            <w:r>
              <w:rPr>
                <w:rFonts w:hint="eastAsia" w:ascii="Times New Roman" w:hAnsi="Times New Roman" w:eastAsia="宋体" w:cs="Times New Roman"/>
              </w:rPr>
              <w:t>；</w:t>
            </w:r>
          </w:p>
          <w:p w14:paraId="68BED183">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P—在大量液体状态下，真实的蒸气压力（Pa），根据《化学化工物性数据手册 无机卷》，氨水的氨蒸气压力为30400Pa；</w:t>
            </w:r>
          </w:p>
          <w:p w14:paraId="7E5A43D2">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D—罐的直径（m）；</w:t>
            </w:r>
          </w:p>
          <w:p w14:paraId="0F87A12F">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H—平均蒸气空间高度（m），本评价取10%高度（0.9的充装率）；</w:t>
            </w:r>
          </w:p>
          <w:p w14:paraId="304BB8B9">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△T—一天之内的平均温度差（℃），取8℃；</w:t>
            </w:r>
          </w:p>
          <w:p w14:paraId="6E9B5D87">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Fp—涂层因子（无量纲），根据罐表层刷漆状况取值在1-1.5之间，本评价取1.25；</w:t>
            </w:r>
          </w:p>
          <w:p w14:paraId="2208D27F">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C—用于小直径罐的调节因子(无量纲)；直径在0-9m之间的罐体，C=1-0.0123(D-9)</w:t>
            </w:r>
            <w:r>
              <w:rPr>
                <w:rFonts w:hint="eastAsia" w:ascii="Times New Roman" w:hAnsi="Times New Roman" w:eastAsia="宋体" w:cs="Times New Roman"/>
                <w:vertAlign w:val="superscript"/>
              </w:rPr>
              <w:t>2</w:t>
            </w:r>
            <w:r>
              <w:rPr>
                <w:rFonts w:hint="eastAsia" w:ascii="Times New Roman" w:hAnsi="Times New Roman" w:eastAsia="宋体" w:cs="Times New Roman"/>
              </w:rPr>
              <w:t>；罐径大于9m的C=1；</w:t>
            </w:r>
          </w:p>
          <w:p w14:paraId="1F2C1A83">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Kc—产品因子（石油原油Kc取0.65，其他的有机液体取1.0）。</w:t>
            </w:r>
          </w:p>
          <w:p w14:paraId="306F7656">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储罐小呼吸排放量一览表如下：</w:t>
            </w:r>
          </w:p>
          <w:p w14:paraId="1CC0783D">
            <w:pPr>
              <w:autoSpaceDE w:val="0"/>
              <w:autoSpaceDN w:val="0"/>
              <w:adjustRightInd w:val="0"/>
              <w:snapToGrid w:val="0"/>
              <w:spacing w:line="240" w:lineRule="auto"/>
              <w:jc w:val="center"/>
              <w:textAlignment w:val="baseline"/>
              <w:rPr>
                <w:rFonts w:ascii="Times New Roman" w:hAnsi="Times New Roman" w:eastAsia="宋体" w:cs="Times New Roman"/>
                <w:b/>
                <w:kern w:val="24"/>
                <w:szCs w:val="20"/>
              </w:rPr>
            </w:pPr>
            <w:r>
              <w:rPr>
                <w:rFonts w:hint="eastAsia" w:ascii="Times New Roman" w:hAnsi="Times New Roman" w:eastAsia="宋体" w:cs="Times New Roman"/>
                <w:b/>
                <w:kern w:val="24"/>
                <w:szCs w:val="20"/>
              </w:rPr>
              <w:t>表</w:t>
            </w:r>
            <w:r>
              <w:rPr>
                <w:rFonts w:hint="eastAsia" w:cs="Times New Roman"/>
                <w:b/>
                <w:kern w:val="24"/>
                <w:szCs w:val="20"/>
                <w:lang w:val="en-US" w:eastAsia="zh-CN"/>
              </w:rPr>
              <w:t>4-4</w:t>
            </w:r>
            <w:r>
              <w:rPr>
                <w:rFonts w:hint="eastAsia" w:ascii="Times New Roman" w:hAnsi="Times New Roman" w:eastAsia="宋体" w:cs="Times New Roman"/>
                <w:b/>
                <w:kern w:val="24"/>
                <w:szCs w:val="20"/>
              </w:rPr>
              <w:t xml:space="preserve"> </w:t>
            </w:r>
            <w:r>
              <w:rPr>
                <w:rFonts w:hint="eastAsia" w:ascii="Times New Roman" w:hAnsi="Times New Roman" w:eastAsia="宋体" w:cs="Times New Roman"/>
                <w:b/>
                <w:kern w:val="24"/>
                <w:szCs w:val="20"/>
                <w:lang w:eastAsia="zh-CN"/>
              </w:rPr>
              <w:t>单个储罐</w:t>
            </w:r>
            <w:r>
              <w:rPr>
                <w:rFonts w:hint="eastAsia" w:ascii="Times New Roman" w:hAnsi="Times New Roman" w:eastAsia="宋体" w:cs="Times New Roman"/>
                <w:b/>
                <w:kern w:val="24"/>
                <w:szCs w:val="20"/>
              </w:rPr>
              <w:t>储料过程小呼吸量参数及计算结果</w:t>
            </w:r>
          </w:p>
          <w:tbl>
            <w:tblPr>
              <w:tblStyle w:val="11"/>
              <w:tblW w:w="923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418"/>
              <w:gridCol w:w="677"/>
              <w:gridCol w:w="797"/>
              <w:gridCol w:w="664"/>
              <w:gridCol w:w="650"/>
              <w:gridCol w:w="731"/>
              <w:gridCol w:w="743"/>
              <w:gridCol w:w="1222"/>
              <w:gridCol w:w="917"/>
              <w:gridCol w:w="1416"/>
            </w:tblGrid>
            <w:tr w14:paraId="64F45F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4" w:hRule="atLeast"/>
                <w:tblHeader/>
                <w:jc w:val="center"/>
              </w:trPr>
              <w:tc>
                <w:tcPr>
                  <w:tcW w:w="1418" w:type="dxa"/>
                  <w:tcBorders>
                    <w:tl2br w:val="nil"/>
                    <w:tr2bl w:val="nil"/>
                  </w:tcBorders>
                  <w:vAlign w:val="center"/>
                </w:tcPr>
                <w:p w14:paraId="4E091299">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lang w:eastAsia="zh-CN"/>
                    </w:rPr>
                    <w:t>储罐</w:t>
                  </w:r>
                  <w:r>
                    <w:rPr>
                      <w:rFonts w:hint="eastAsia" w:ascii="Times New Roman" w:hAnsi="Times New Roman" w:eastAsia="宋体" w:cs="Times New Roman"/>
                      <w:b/>
                      <w:bCs/>
                      <w:color w:val="000000"/>
                      <w:sz w:val="21"/>
                    </w:rPr>
                    <w:t>名称</w:t>
                  </w:r>
                </w:p>
              </w:tc>
              <w:tc>
                <w:tcPr>
                  <w:tcW w:w="677" w:type="dxa"/>
                  <w:tcBorders>
                    <w:tl2br w:val="nil"/>
                    <w:tr2bl w:val="nil"/>
                  </w:tcBorders>
                  <w:vAlign w:val="center"/>
                </w:tcPr>
                <w:p w14:paraId="2D13B47A">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M</w:t>
                  </w:r>
                </w:p>
              </w:tc>
              <w:tc>
                <w:tcPr>
                  <w:tcW w:w="797" w:type="dxa"/>
                  <w:tcBorders>
                    <w:tl2br w:val="nil"/>
                    <w:tr2bl w:val="nil"/>
                  </w:tcBorders>
                  <w:vAlign w:val="center"/>
                </w:tcPr>
                <w:p w14:paraId="0B249D77">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P</w:t>
                  </w:r>
                </w:p>
              </w:tc>
              <w:tc>
                <w:tcPr>
                  <w:tcW w:w="664" w:type="dxa"/>
                  <w:tcBorders>
                    <w:tl2br w:val="nil"/>
                    <w:tr2bl w:val="nil"/>
                  </w:tcBorders>
                  <w:vAlign w:val="center"/>
                </w:tcPr>
                <w:p w14:paraId="32D0ABBE">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D</w:t>
                  </w:r>
                </w:p>
              </w:tc>
              <w:tc>
                <w:tcPr>
                  <w:tcW w:w="650" w:type="dxa"/>
                  <w:tcBorders>
                    <w:tl2br w:val="nil"/>
                    <w:tr2bl w:val="nil"/>
                  </w:tcBorders>
                  <w:vAlign w:val="center"/>
                </w:tcPr>
                <w:p w14:paraId="58F78F0F">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H</w:t>
                  </w:r>
                </w:p>
              </w:tc>
              <w:tc>
                <w:tcPr>
                  <w:tcW w:w="731" w:type="dxa"/>
                  <w:tcBorders>
                    <w:tl2br w:val="nil"/>
                    <w:tr2bl w:val="nil"/>
                  </w:tcBorders>
                  <w:vAlign w:val="center"/>
                </w:tcPr>
                <w:p w14:paraId="79271107">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△T</w:t>
                  </w:r>
                </w:p>
              </w:tc>
              <w:tc>
                <w:tcPr>
                  <w:tcW w:w="743" w:type="dxa"/>
                  <w:tcBorders>
                    <w:tl2br w:val="nil"/>
                    <w:tr2bl w:val="nil"/>
                  </w:tcBorders>
                  <w:vAlign w:val="center"/>
                </w:tcPr>
                <w:p w14:paraId="764BC0BD">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Fp</w:t>
                  </w:r>
                </w:p>
              </w:tc>
              <w:tc>
                <w:tcPr>
                  <w:tcW w:w="1222" w:type="dxa"/>
                  <w:tcBorders>
                    <w:tl2br w:val="nil"/>
                    <w:tr2bl w:val="nil"/>
                  </w:tcBorders>
                  <w:vAlign w:val="center"/>
                </w:tcPr>
                <w:p w14:paraId="639E793B">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C</w:t>
                  </w:r>
                </w:p>
              </w:tc>
              <w:tc>
                <w:tcPr>
                  <w:tcW w:w="917" w:type="dxa"/>
                  <w:tcBorders>
                    <w:tl2br w:val="nil"/>
                    <w:tr2bl w:val="nil"/>
                  </w:tcBorders>
                  <w:vAlign w:val="center"/>
                </w:tcPr>
                <w:p w14:paraId="04944A78">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K</w:t>
                  </w:r>
                  <w:r>
                    <w:rPr>
                      <w:rFonts w:hint="eastAsia" w:ascii="Times New Roman" w:hAnsi="Times New Roman" w:eastAsia="宋体" w:cs="Times New Roman"/>
                      <w:color w:val="000000"/>
                      <w:kern w:val="2"/>
                      <w:sz w:val="21"/>
                      <w:szCs w:val="24"/>
                      <w:lang w:val="en-US" w:eastAsia="zh-CN" w:bidi="ar-SA"/>
                    </w:rPr>
                    <w:t>c</w:t>
                  </w:r>
                </w:p>
              </w:tc>
              <w:tc>
                <w:tcPr>
                  <w:tcW w:w="1416" w:type="dxa"/>
                  <w:tcBorders>
                    <w:tl2br w:val="nil"/>
                    <w:tr2bl w:val="nil"/>
                  </w:tcBorders>
                  <w:vAlign w:val="center"/>
                </w:tcPr>
                <w:p w14:paraId="39F63E6E">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L</w:t>
                  </w:r>
                  <w:r>
                    <w:rPr>
                      <w:rFonts w:hint="eastAsia" w:ascii="Times New Roman" w:hAnsi="Times New Roman" w:eastAsia="宋体" w:cs="Times New Roman"/>
                      <w:b/>
                      <w:bCs/>
                      <w:color w:val="000000"/>
                      <w:sz w:val="21"/>
                      <w:vertAlign w:val="subscript"/>
                    </w:rPr>
                    <w:t>B</w:t>
                  </w:r>
                </w:p>
              </w:tc>
            </w:tr>
            <w:tr w14:paraId="4D2CCF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07" w:hRule="atLeast"/>
                <w:jc w:val="center"/>
              </w:trPr>
              <w:tc>
                <w:tcPr>
                  <w:tcW w:w="1418" w:type="dxa"/>
                  <w:tcBorders>
                    <w:tl2br w:val="nil"/>
                    <w:tr2bl w:val="nil"/>
                  </w:tcBorders>
                  <w:vAlign w:val="center"/>
                </w:tcPr>
                <w:p w14:paraId="70941409">
                  <w:pPr>
                    <w:pStyle w:val="14"/>
                    <w:bidi w:val="0"/>
                    <w:rPr>
                      <w:rFonts w:hint="default"/>
                      <w:lang w:val="en-US" w:eastAsia="zh-CN"/>
                    </w:rPr>
                  </w:pPr>
                  <w:r>
                    <w:rPr>
                      <w:rFonts w:hint="eastAsia"/>
                      <w:lang w:val="en-US" w:eastAsia="zh-CN"/>
                    </w:rPr>
                    <w:t>液氨球罐*</w:t>
                  </w:r>
                </w:p>
              </w:tc>
              <w:tc>
                <w:tcPr>
                  <w:tcW w:w="677" w:type="dxa"/>
                  <w:tcBorders>
                    <w:tl2br w:val="nil"/>
                    <w:tr2bl w:val="nil"/>
                  </w:tcBorders>
                  <w:vAlign w:val="center"/>
                </w:tcPr>
                <w:p w14:paraId="6FE8EA02">
                  <w:pPr>
                    <w:pStyle w:val="14"/>
                    <w:bidi w:val="0"/>
                    <w:rPr>
                      <w:rFonts w:hint="eastAsia"/>
                      <w:lang w:val="en-US" w:eastAsia="zh-CN"/>
                    </w:rPr>
                  </w:pPr>
                  <w:r>
                    <w:rPr>
                      <w:rFonts w:hint="default"/>
                      <w:lang w:val="en-US" w:eastAsia="zh-CN"/>
                    </w:rPr>
                    <w:t>17</w:t>
                  </w:r>
                </w:p>
              </w:tc>
              <w:tc>
                <w:tcPr>
                  <w:tcW w:w="797" w:type="dxa"/>
                  <w:tcBorders>
                    <w:tl2br w:val="nil"/>
                    <w:tr2bl w:val="nil"/>
                  </w:tcBorders>
                  <w:vAlign w:val="center"/>
                </w:tcPr>
                <w:p w14:paraId="5EC7C449">
                  <w:pPr>
                    <w:pStyle w:val="14"/>
                    <w:bidi w:val="0"/>
                    <w:rPr>
                      <w:rFonts w:hint="eastAsia"/>
                      <w:lang w:val="en-US" w:eastAsia="zh-CN"/>
                    </w:rPr>
                  </w:pPr>
                  <w:r>
                    <w:rPr>
                      <w:rFonts w:hint="default"/>
                      <w:lang w:val="en-US" w:eastAsia="zh-CN"/>
                    </w:rPr>
                    <w:t>30400</w:t>
                  </w:r>
                </w:p>
              </w:tc>
              <w:tc>
                <w:tcPr>
                  <w:tcW w:w="664" w:type="dxa"/>
                  <w:tcBorders>
                    <w:tl2br w:val="nil"/>
                    <w:tr2bl w:val="nil"/>
                  </w:tcBorders>
                  <w:vAlign w:val="center"/>
                </w:tcPr>
                <w:p w14:paraId="5E60950A">
                  <w:pPr>
                    <w:pStyle w:val="14"/>
                    <w:bidi w:val="0"/>
                    <w:rPr>
                      <w:rFonts w:hint="default"/>
                      <w:lang w:val="en-US" w:eastAsia="zh-CN"/>
                    </w:rPr>
                  </w:pPr>
                  <w:r>
                    <w:rPr>
                      <w:rFonts w:hint="eastAsia"/>
                      <w:lang w:val="en-US" w:eastAsia="zh-CN"/>
                    </w:rPr>
                    <w:t>5.5</w:t>
                  </w:r>
                </w:p>
              </w:tc>
              <w:tc>
                <w:tcPr>
                  <w:tcW w:w="650" w:type="dxa"/>
                  <w:tcBorders>
                    <w:tl2br w:val="nil"/>
                    <w:tr2bl w:val="nil"/>
                  </w:tcBorders>
                  <w:vAlign w:val="center"/>
                </w:tcPr>
                <w:p w14:paraId="347A4F41">
                  <w:pPr>
                    <w:pStyle w:val="14"/>
                    <w:bidi w:val="0"/>
                    <w:rPr>
                      <w:rFonts w:hint="eastAsia"/>
                      <w:lang w:val="en-US" w:eastAsia="zh-CN"/>
                    </w:rPr>
                  </w:pPr>
                  <w:r>
                    <w:rPr>
                      <w:rFonts w:hint="default"/>
                      <w:lang w:val="en-US" w:eastAsia="zh-CN"/>
                    </w:rPr>
                    <w:t>1.25</w:t>
                  </w:r>
                </w:p>
              </w:tc>
              <w:tc>
                <w:tcPr>
                  <w:tcW w:w="731" w:type="dxa"/>
                  <w:tcBorders>
                    <w:tl2br w:val="nil"/>
                    <w:tr2bl w:val="nil"/>
                  </w:tcBorders>
                  <w:vAlign w:val="center"/>
                </w:tcPr>
                <w:p w14:paraId="2AD24C95">
                  <w:pPr>
                    <w:pStyle w:val="14"/>
                    <w:bidi w:val="0"/>
                    <w:rPr>
                      <w:rFonts w:hint="eastAsia"/>
                    </w:rPr>
                  </w:pPr>
                  <w:r>
                    <w:rPr>
                      <w:rFonts w:hint="default"/>
                      <w:lang w:val="en-US" w:eastAsia="zh-CN"/>
                    </w:rPr>
                    <w:t>8</w:t>
                  </w:r>
                </w:p>
              </w:tc>
              <w:tc>
                <w:tcPr>
                  <w:tcW w:w="743" w:type="dxa"/>
                  <w:tcBorders>
                    <w:tl2br w:val="nil"/>
                    <w:tr2bl w:val="nil"/>
                  </w:tcBorders>
                  <w:vAlign w:val="center"/>
                </w:tcPr>
                <w:p w14:paraId="05B8A5CD">
                  <w:pPr>
                    <w:pStyle w:val="14"/>
                    <w:bidi w:val="0"/>
                    <w:rPr>
                      <w:rFonts w:hint="eastAsia"/>
                    </w:rPr>
                  </w:pPr>
                  <w:r>
                    <w:rPr>
                      <w:rFonts w:hint="default"/>
                      <w:lang w:val="en-US" w:eastAsia="zh-CN"/>
                    </w:rPr>
                    <w:t>1.25</w:t>
                  </w:r>
                </w:p>
              </w:tc>
              <w:tc>
                <w:tcPr>
                  <w:tcW w:w="1222" w:type="dxa"/>
                  <w:tcBorders>
                    <w:tl2br w:val="nil"/>
                    <w:tr2bl w:val="nil"/>
                  </w:tcBorders>
                  <w:vAlign w:val="center"/>
                </w:tcPr>
                <w:p w14:paraId="5C776BD7">
                  <w:pPr>
                    <w:pStyle w:val="14"/>
                    <w:bidi w:val="0"/>
                    <w:rPr>
                      <w:rFonts w:hint="eastAsia"/>
                      <w:lang w:val="en-US" w:eastAsia="zh-CN"/>
                    </w:rPr>
                  </w:pPr>
                  <w:r>
                    <w:rPr>
                      <w:rFonts w:hint="default"/>
                      <w:lang w:val="en-US" w:eastAsia="zh-CN"/>
                    </w:rPr>
                    <w:t>0.907</w:t>
                  </w:r>
                </w:p>
              </w:tc>
              <w:tc>
                <w:tcPr>
                  <w:tcW w:w="917" w:type="dxa"/>
                  <w:tcBorders>
                    <w:tl2br w:val="nil"/>
                    <w:tr2bl w:val="nil"/>
                  </w:tcBorders>
                  <w:vAlign w:val="center"/>
                </w:tcPr>
                <w:p w14:paraId="47F3D517">
                  <w:pPr>
                    <w:pStyle w:val="14"/>
                    <w:bidi w:val="0"/>
                    <w:rPr>
                      <w:rFonts w:hint="eastAsia"/>
                      <w:lang w:val="en-US" w:eastAsia="zh-CN"/>
                    </w:rPr>
                  </w:pPr>
                  <w:r>
                    <w:rPr>
                      <w:rFonts w:hint="default"/>
                      <w:lang w:val="en-US" w:eastAsia="zh-CN"/>
                    </w:rPr>
                    <w:t>1</w:t>
                  </w:r>
                </w:p>
              </w:tc>
              <w:tc>
                <w:tcPr>
                  <w:tcW w:w="1416" w:type="dxa"/>
                  <w:tcBorders>
                    <w:tl2br w:val="nil"/>
                    <w:tr2bl w:val="nil"/>
                  </w:tcBorders>
                  <w:vAlign w:val="center"/>
                </w:tcPr>
                <w:p w14:paraId="02A82ECF">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113.2884</w:t>
                  </w:r>
                </w:p>
              </w:tc>
            </w:tr>
            <w:tr w14:paraId="417585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07" w:hRule="atLeast"/>
                <w:jc w:val="center"/>
              </w:trPr>
              <w:tc>
                <w:tcPr>
                  <w:tcW w:w="1418" w:type="dxa"/>
                  <w:tcBorders>
                    <w:tl2br w:val="nil"/>
                    <w:tr2bl w:val="nil"/>
                  </w:tcBorders>
                  <w:vAlign w:val="center"/>
                </w:tcPr>
                <w:p w14:paraId="2B8E1FED">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color w:val="000000"/>
                      <w:sz w:val="21"/>
                      <w:lang w:eastAsia="zh-CN"/>
                    </w:rPr>
                    <w:t>氨中间罐</w:t>
                  </w:r>
                </w:p>
              </w:tc>
              <w:tc>
                <w:tcPr>
                  <w:tcW w:w="677" w:type="dxa"/>
                  <w:tcBorders>
                    <w:tl2br w:val="nil"/>
                    <w:tr2bl w:val="nil"/>
                  </w:tcBorders>
                  <w:vAlign w:val="center"/>
                </w:tcPr>
                <w:p w14:paraId="7B4F9D1A">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17</w:t>
                  </w:r>
                </w:p>
              </w:tc>
              <w:tc>
                <w:tcPr>
                  <w:tcW w:w="797" w:type="dxa"/>
                  <w:tcBorders>
                    <w:tl2br w:val="nil"/>
                    <w:tr2bl w:val="nil"/>
                  </w:tcBorders>
                  <w:vAlign w:val="center"/>
                </w:tcPr>
                <w:p w14:paraId="12B6D147">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30400</w:t>
                  </w:r>
                </w:p>
              </w:tc>
              <w:tc>
                <w:tcPr>
                  <w:tcW w:w="664" w:type="dxa"/>
                  <w:tcBorders>
                    <w:tl2br w:val="nil"/>
                    <w:tr2bl w:val="nil"/>
                  </w:tcBorders>
                  <w:vAlign w:val="center"/>
                </w:tcPr>
                <w:p w14:paraId="1902E897">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4.5</w:t>
                  </w:r>
                </w:p>
              </w:tc>
              <w:tc>
                <w:tcPr>
                  <w:tcW w:w="650" w:type="dxa"/>
                  <w:tcBorders>
                    <w:tl2br w:val="nil"/>
                    <w:tr2bl w:val="nil"/>
                  </w:tcBorders>
                  <w:vAlign w:val="center"/>
                </w:tcPr>
                <w:p w14:paraId="04D0A59D">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0.65</w:t>
                  </w:r>
                </w:p>
              </w:tc>
              <w:tc>
                <w:tcPr>
                  <w:tcW w:w="731" w:type="dxa"/>
                  <w:tcBorders>
                    <w:tl2br w:val="nil"/>
                    <w:tr2bl w:val="nil"/>
                  </w:tcBorders>
                  <w:vAlign w:val="center"/>
                </w:tcPr>
                <w:p w14:paraId="5F28CEE2">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8</w:t>
                  </w:r>
                </w:p>
              </w:tc>
              <w:tc>
                <w:tcPr>
                  <w:tcW w:w="743" w:type="dxa"/>
                  <w:tcBorders>
                    <w:tl2br w:val="nil"/>
                    <w:tr2bl w:val="nil"/>
                  </w:tcBorders>
                  <w:vAlign w:val="center"/>
                </w:tcPr>
                <w:p w14:paraId="0ED98687">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1.25</w:t>
                  </w:r>
                </w:p>
              </w:tc>
              <w:tc>
                <w:tcPr>
                  <w:tcW w:w="1222" w:type="dxa"/>
                  <w:tcBorders>
                    <w:tl2br w:val="nil"/>
                    <w:tr2bl w:val="nil"/>
                  </w:tcBorders>
                  <w:vAlign w:val="center"/>
                </w:tcPr>
                <w:p w14:paraId="5DC49114">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0.750925</w:t>
                  </w:r>
                </w:p>
              </w:tc>
              <w:tc>
                <w:tcPr>
                  <w:tcW w:w="917" w:type="dxa"/>
                  <w:tcBorders>
                    <w:tl2br w:val="nil"/>
                    <w:tr2bl w:val="nil"/>
                  </w:tcBorders>
                  <w:vAlign w:val="center"/>
                </w:tcPr>
                <w:p w14:paraId="4F87B107">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1416" w:type="dxa"/>
                  <w:tcBorders>
                    <w:tl2br w:val="nil"/>
                    <w:tr2bl w:val="nil"/>
                  </w:tcBorders>
                  <w:vAlign w:val="center"/>
                </w:tcPr>
                <w:p w14:paraId="6655030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47.486</w:t>
                  </w:r>
                  <w:r>
                    <w:rPr>
                      <w:rFonts w:hint="eastAsia" w:ascii="Times New Roman" w:hAnsi="Times New Roman" w:eastAsia="宋体" w:cs="Times New Roman"/>
                      <w:kern w:val="2"/>
                      <w:sz w:val="21"/>
                      <w:szCs w:val="24"/>
                      <w:lang w:val="en-US" w:eastAsia="zh-CN" w:bidi="ar-SA"/>
                    </w:rPr>
                    <w:t>1</w:t>
                  </w:r>
                </w:p>
              </w:tc>
            </w:tr>
            <w:tr w14:paraId="7E24A3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07" w:hRule="atLeast"/>
                <w:jc w:val="center"/>
              </w:trPr>
              <w:tc>
                <w:tcPr>
                  <w:tcW w:w="1418" w:type="dxa"/>
                  <w:tcBorders>
                    <w:tl2br w:val="nil"/>
                    <w:tr2bl w:val="nil"/>
                  </w:tcBorders>
                  <w:vAlign w:val="center"/>
                </w:tcPr>
                <w:p w14:paraId="487684B1">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color w:val="000000"/>
                      <w:sz w:val="21"/>
                      <w:lang w:eastAsia="zh-CN"/>
                    </w:rPr>
                    <w:t>氨水罐</w:t>
                  </w:r>
                </w:p>
              </w:tc>
              <w:tc>
                <w:tcPr>
                  <w:tcW w:w="677" w:type="dxa"/>
                  <w:tcBorders>
                    <w:tl2br w:val="nil"/>
                    <w:tr2bl w:val="nil"/>
                  </w:tcBorders>
                  <w:vAlign w:val="center"/>
                </w:tcPr>
                <w:p w14:paraId="0D995C69">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17</w:t>
                  </w:r>
                </w:p>
              </w:tc>
              <w:tc>
                <w:tcPr>
                  <w:tcW w:w="797" w:type="dxa"/>
                  <w:tcBorders>
                    <w:tl2br w:val="nil"/>
                    <w:tr2bl w:val="nil"/>
                  </w:tcBorders>
                  <w:vAlign w:val="center"/>
                </w:tcPr>
                <w:p w14:paraId="4D168B87">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30400</w:t>
                  </w:r>
                </w:p>
              </w:tc>
              <w:tc>
                <w:tcPr>
                  <w:tcW w:w="664" w:type="dxa"/>
                  <w:tcBorders>
                    <w:tl2br w:val="nil"/>
                    <w:tr2bl w:val="nil"/>
                  </w:tcBorders>
                  <w:vAlign w:val="center"/>
                </w:tcPr>
                <w:p w14:paraId="5ABAF485">
                  <w:pPr>
                    <w:adjustRightInd w:val="0"/>
                    <w:snapToGrid w:val="0"/>
                    <w:spacing w:line="240" w:lineRule="auto"/>
                    <w:jc w:val="center"/>
                    <w:rPr>
                      <w:rFonts w:hint="eastAsia"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8</w:t>
                  </w:r>
                </w:p>
              </w:tc>
              <w:tc>
                <w:tcPr>
                  <w:tcW w:w="650" w:type="dxa"/>
                  <w:tcBorders>
                    <w:tl2br w:val="nil"/>
                    <w:tr2bl w:val="nil"/>
                  </w:tcBorders>
                  <w:vAlign w:val="center"/>
                </w:tcPr>
                <w:p w14:paraId="64FC69FB">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1</w:t>
                  </w:r>
                </w:p>
              </w:tc>
              <w:tc>
                <w:tcPr>
                  <w:tcW w:w="731" w:type="dxa"/>
                  <w:tcBorders>
                    <w:tl2br w:val="nil"/>
                    <w:tr2bl w:val="nil"/>
                  </w:tcBorders>
                  <w:vAlign w:val="center"/>
                </w:tcPr>
                <w:p w14:paraId="2064DC69">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8</w:t>
                  </w:r>
                </w:p>
              </w:tc>
              <w:tc>
                <w:tcPr>
                  <w:tcW w:w="743" w:type="dxa"/>
                  <w:tcBorders>
                    <w:tl2br w:val="nil"/>
                    <w:tr2bl w:val="nil"/>
                  </w:tcBorders>
                  <w:vAlign w:val="center"/>
                </w:tcPr>
                <w:p w14:paraId="2C7EC0FC">
                  <w:pPr>
                    <w:adjustRightInd w:val="0"/>
                    <w:snapToGrid w:val="0"/>
                    <w:spacing w:line="240" w:lineRule="auto"/>
                    <w:jc w:val="center"/>
                    <w:rPr>
                      <w:rFonts w:ascii="Times New Roman" w:hAnsi="Times New Roman" w:eastAsia="宋体" w:cs="Times New Roman"/>
                      <w:color w:val="000000"/>
                    </w:rPr>
                  </w:pPr>
                  <w:r>
                    <w:rPr>
                      <w:rFonts w:hint="eastAsia" w:ascii="Times New Roman" w:hAnsi="Times New Roman" w:eastAsia="宋体" w:cs="Times New Roman"/>
                      <w:color w:val="000000"/>
                      <w:sz w:val="21"/>
                    </w:rPr>
                    <w:t>1.25</w:t>
                  </w:r>
                </w:p>
              </w:tc>
              <w:tc>
                <w:tcPr>
                  <w:tcW w:w="1222" w:type="dxa"/>
                  <w:tcBorders>
                    <w:tl2br w:val="nil"/>
                    <w:tr2bl w:val="nil"/>
                  </w:tcBorders>
                  <w:vAlign w:val="center"/>
                </w:tcPr>
                <w:p w14:paraId="50FD04D9">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0.9877</w:t>
                  </w:r>
                </w:p>
              </w:tc>
              <w:tc>
                <w:tcPr>
                  <w:tcW w:w="917" w:type="dxa"/>
                  <w:tcBorders>
                    <w:tl2br w:val="nil"/>
                    <w:tr2bl w:val="nil"/>
                  </w:tcBorders>
                  <w:vAlign w:val="center"/>
                </w:tcPr>
                <w:p w14:paraId="159BCE63">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1416" w:type="dxa"/>
                  <w:tcBorders>
                    <w:tl2br w:val="nil"/>
                    <w:tr2bl w:val="nil"/>
                  </w:tcBorders>
                  <w:vAlign w:val="center"/>
                </w:tcPr>
                <w:p w14:paraId="5CF4401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210.5218</w:t>
                  </w:r>
                </w:p>
              </w:tc>
            </w:tr>
            <w:tr w14:paraId="7197C9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23" w:hRule="atLeast"/>
                <w:jc w:val="center"/>
              </w:trPr>
              <w:tc>
                <w:tcPr>
                  <w:tcW w:w="9235" w:type="dxa"/>
                  <w:gridSpan w:val="10"/>
                  <w:tcBorders>
                    <w:tl2br w:val="nil"/>
                    <w:tr2bl w:val="nil"/>
                  </w:tcBorders>
                  <w:vAlign w:val="center"/>
                </w:tcPr>
                <w:p w14:paraId="606B95CF">
                  <w:pPr>
                    <w:widowControl w:val="0"/>
                    <w:adjustRightInd w:val="0"/>
                    <w:snapToGrid w:val="0"/>
                    <w:spacing w:line="240" w:lineRule="auto"/>
                    <w:jc w:val="left"/>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单位：M：无量纲；P：Pa；D：m；H：m；△T：℃；Fp：无量纲；C：无量纲；Kc：无量纲；LB：kg/a。</w:t>
                  </w:r>
                </w:p>
                <w:p w14:paraId="23A42F54">
                  <w:pPr>
                    <w:widowControl w:val="0"/>
                    <w:adjustRightInd w:val="0"/>
                    <w:snapToGrid w:val="0"/>
                    <w:spacing w:line="240" w:lineRule="auto"/>
                    <w:jc w:val="left"/>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注：液氨球罐等效为直径5.5m、高12.5m的柱状罐进行计算。</w:t>
                  </w:r>
                </w:p>
              </w:tc>
            </w:tr>
          </w:tbl>
          <w:p w14:paraId="06890F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p>
          <w:p w14:paraId="1FBDFF89">
            <w:pPr>
              <w:adjustRightInd w:val="0"/>
              <w:snapToGrid w:val="0"/>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本项目液氨球罐共有</w:t>
            </w:r>
            <w:r>
              <w:rPr>
                <w:rFonts w:hint="eastAsia" w:ascii="Times New Roman" w:hAnsi="Times New Roman" w:eastAsia="宋体" w:cs="Times New Roman"/>
                <w:lang w:val="en-US" w:eastAsia="zh-CN"/>
              </w:rPr>
              <w:t>4个，</w:t>
            </w:r>
            <w:r>
              <w:rPr>
                <w:rFonts w:hint="eastAsia" w:ascii="Times New Roman" w:hAnsi="Times New Roman" w:eastAsia="宋体" w:cs="Times New Roman"/>
                <w:lang w:eastAsia="zh-CN"/>
              </w:rPr>
              <w:t>氨水储罐包括8个氨水罐、1个氨水中间罐，氨水储罐小呼吸氨气排放总量为</w:t>
            </w:r>
            <w:r>
              <w:rPr>
                <w:rFonts w:hint="eastAsia" w:ascii="Times New Roman" w:hAnsi="Times New Roman" w:eastAsia="宋体" w:cs="Times New Roman"/>
                <w:lang w:val="en-US" w:eastAsia="zh-CN"/>
              </w:rPr>
              <w:t>2.1849t/a（0.2495kg/h），储罐小呼吸氨气在氨水中间罐、氨水储罐顶部排气阀排出，进入尾气回收塔处理。</w:t>
            </w:r>
          </w:p>
          <w:p w14:paraId="13DB4008">
            <w:pPr>
              <w:adjustRightInd w:val="0"/>
              <w:snapToGrid w:val="0"/>
              <w:ind w:firstLine="482" w:firstLineChars="200"/>
              <w:rPr>
                <w:rFonts w:hint="eastAsia" w:ascii="Times New Roman" w:hAnsi="Times New Roman" w:eastAsia="宋体" w:cs="Times New Roman"/>
                <w:b/>
                <w:bCs/>
                <w:lang w:eastAsia="zh-CN"/>
              </w:rPr>
            </w:pPr>
            <w:r>
              <w:rPr>
                <w:rFonts w:hint="eastAsia" w:ascii="Times New Roman" w:hAnsi="Times New Roman" w:eastAsia="宋体" w:cs="Times New Roman"/>
                <w:b/>
                <w:bCs/>
                <w:lang w:val="en-US" w:eastAsia="zh-CN"/>
              </w:rPr>
              <w:t>2</w:t>
            </w:r>
            <w:r>
              <w:rPr>
                <w:rFonts w:hint="eastAsia" w:ascii="Times New Roman" w:hAnsi="Times New Roman" w:eastAsia="宋体" w:cs="Times New Roman"/>
                <w:b/>
                <w:bCs/>
                <w:lang w:eastAsia="zh-CN"/>
              </w:rPr>
              <w:t>）储罐的大呼吸有机废气</w:t>
            </w:r>
          </w:p>
          <w:p w14:paraId="192ED22A">
            <w:pPr>
              <w:adjustRightInd w:val="0"/>
              <w:snapToGrid w:val="0"/>
              <w:ind w:firstLine="480" w:firstLineChars="20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lang w:eastAsia="zh-CN"/>
              </w:rPr>
              <w:t>储罐</w:t>
            </w:r>
            <w:r>
              <w:rPr>
                <w:rFonts w:hint="eastAsia" w:ascii="Times New Roman" w:hAnsi="Times New Roman" w:eastAsia="宋体" w:cs="Times New Roman"/>
              </w:rPr>
              <w:t>接收物料过程中产生的工作损失（俗称大呼吸）。</w:t>
            </w:r>
            <w:r>
              <w:rPr>
                <w:rFonts w:hint="eastAsia" w:cs="Times New Roman"/>
                <w:color w:val="000000" w:themeColor="text1"/>
                <w:lang w:eastAsia="zh-CN"/>
                <w14:textFill>
                  <w14:solidFill>
                    <w14:schemeClr w14:val="tx1"/>
                  </w14:solidFill>
                </w14:textFill>
              </w:rPr>
              <w:t>本项目液氨槽罐车卸料到液氨球罐过程中槽罐车与液氨球罐通过气相管道和液氨压缩机实现气相平衡，全过程密闭连接，因此本项目液氨球罐进料过程不会产生大呼吸废气。</w:t>
            </w:r>
          </w:p>
          <w:p w14:paraId="3D2A27C2">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采用美国石油学会（API）推荐的经验公式计算：</w:t>
            </w:r>
          </w:p>
          <w:p w14:paraId="60CA03D9">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大呼吸废气可由下式估算：</w:t>
            </w:r>
          </w:p>
          <w:p w14:paraId="37EC61EC">
            <w:pPr>
              <w:adjustRightInd w:val="0"/>
              <w:snapToGrid w:val="0"/>
              <w:ind w:firstLine="482" w:firstLineChars="200"/>
              <w:jc w:val="center"/>
              <w:rPr>
                <w:rFonts w:ascii="Times New Roman" w:hAnsi="Times New Roman" w:eastAsia="宋体" w:cs="Times New Roman"/>
                <w:b/>
                <w:bCs/>
              </w:rPr>
            </w:pPr>
            <w:r>
              <w:rPr>
                <w:rFonts w:hint="eastAsia" w:ascii="Times New Roman" w:hAnsi="Times New Roman" w:eastAsia="宋体" w:cs="Times New Roman"/>
                <w:b/>
                <w:bCs/>
              </w:rPr>
              <w:t>L</w:t>
            </w:r>
            <w:r>
              <w:rPr>
                <w:rFonts w:hint="eastAsia" w:ascii="Times New Roman" w:hAnsi="Times New Roman" w:eastAsia="宋体" w:cs="Times New Roman"/>
                <w:b/>
                <w:bCs/>
                <w:vertAlign w:val="subscript"/>
              </w:rPr>
              <w:t>W</w:t>
            </w:r>
            <w:r>
              <w:rPr>
                <w:rFonts w:hint="eastAsia" w:ascii="Times New Roman" w:hAnsi="Times New Roman" w:eastAsia="宋体" w:cs="Times New Roman"/>
                <w:b/>
                <w:bCs/>
              </w:rPr>
              <w:t>=4.188×10</w:t>
            </w:r>
            <w:r>
              <w:rPr>
                <w:rFonts w:hint="eastAsia" w:ascii="Times New Roman" w:hAnsi="Times New Roman" w:eastAsia="宋体" w:cs="Times New Roman"/>
                <w:b/>
                <w:bCs/>
                <w:vertAlign w:val="superscript"/>
              </w:rPr>
              <w:t>-7</w:t>
            </w:r>
            <w:r>
              <w:rPr>
                <w:rFonts w:hint="eastAsia" w:ascii="Times New Roman" w:hAnsi="Times New Roman" w:eastAsia="宋体" w:cs="Times New Roman"/>
                <w:b/>
                <w:bCs/>
              </w:rPr>
              <w:t>×M×P×K</w:t>
            </w:r>
            <w:r>
              <w:rPr>
                <w:rFonts w:hint="eastAsia" w:ascii="Times New Roman" w:hAnsi="Times New Roman" w:eastAsia="宋体" w:cs="Times New Roman"/>
                <w:b/>
                <w:bCs/>
                <w:vertAlign w:val="subscript"/>
              </w:rPr>
              <w:t>N</w:t>
            </w:r>
            <w:r>
              <w:rPr>
                <w:rFonts w:hint="eastAsia" w:ascii="Times New Roman" w:hAnsi="Times New Roman" w:eastAsia="宋体" w:cs="Times New Roman"/>
                <w:b/>
                <w:bCs/>
              </w:rPr>
              <w:t>×K</w:t>
            </w:r>
            <w:r>
              <w:rPr>
                <w:rFonts w:hint="eastAsia" w:ascii="Times New Roman" w:hAnsi="Times New Roman" w:eastAsia="宋体" w:cs="Times New Roman"/>
                <w:b/>
                <w:bCs/>
                <w:vertAlign w:val="subscript"/>
              </w:rPr>
              <w:t>C</w:t>
            </w:r>
          </w:p>
          <w:p w14:paraId="398A509E">
            <w:pPr>
              <w:widowControl/>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式中：Lw——固定顶罐的工作损失(kg/m</w:t>
            </w:r>
            <w:r>
              <w:rPr>
                <w:rFonts w:hint="eastAsia" w:ascii="Times New Roman" w:hAnsi="Times New Roman" w:eastAsia="宋体" w:cs="Times New Roman"/>
                <w:vertAlign w:val="superscript"/>
              </w:rPr>
              <w:t>3</w:t>
            </w:r>
            <w:r>
              <w:rPr>
                <w:rFonts w:hint="eastAsia" w:ascii="Times New Roman" w:hAnsi="Times New Roman" w:eastAsia="宋体" w:cs="Times New Roman"/>
              </w:rPr>
              <w:t>投入量)；</w:t>
            </w:r>
          </w:p>
          <w:p w14:paraId="044EF0E4">
            <w:pPr>
              <w:widowControl/>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M——储罐内蒸汽的分子量，取氨分子量17；</w:t>
            </w:r>
          </w:p>
          <w:p w14:paraId="0CB522BC">
            <w:pPr>
              <w:widowControl/>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P——在大量液体状态下，真实的蒸气压力(Pa)，根据《化学化工物性数据手册 无机卷》，氨水的氨蒸气压力为30400Pa；</w:t>
            </w:r>
          </w:p>
          <w:p w14:paraId="108091DE">
            <w:pPr>
              <w:widowControl/>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K</w:t>
            </w:r>
            <w:r>
              <w:rPr>
                <w:rFonts w:hint="eastAsia" w:ascii="Times New Roman" w:hAnsi="Times New Roman" w:eastAsia="宋体" w:cs="Times New Roman"/>
                <w:vertAlign w:val="subscript"/>
              </w:rPr>
              <w:t>N</w:t>
            </w:r>
            <w:r>
              <w:rPr>
                <w:rFonts w:hint="eastAsia" w:ascii="Times New Roman" w:hAnsi="Times New Roman" w:eastAsia="宋体" w:cs="Times New Roman"/>
              </w:rPr>
              <w:t>——周转因子(无量纲)；取值按年周转次数（K）确定。周转次数=年投入量/罐容量，储罐按90%储量计算。</w:t>
            </w:r>
          </w:p>
          <w:p w14:paraId="1C2A460F">
            <w:pPr>
              <w:widowControl/>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K≤36，K</w:t>
            </w:r>
            <w:r>
              <w:rPr>
                <w:rFonts w:hint="eastAsia" w:ascii="Times New Roman" w:hAnsi="Times New Roman" w:eastAsia="宋体" w:cs="Times New Roman"/>
                <w:vertAlign w:val="subscript"/>
              </w:rPr>
              <w:t>N</w:t>
            </w:r>
            <w:r>
              <w:rPr>
                <w:rFonts w:hint="eastAsia" w:ascii="Times New Roman" w:hAnsi="Times New Roman" w:eastAsia="宋体" w:cs="Times New Roman"/>
              </w:rPr>
              <w:t>=1；36&lt;K&lt;220，K</w:t>
            </w:r>
            <w:r>
              <w:rPr>
                <w:rFonts w:hint="eastAsia" w:ascii="Times New Roman" w:hAnsi="Times New Roman" w:eastAsia="宋体" w:cs="Times New Roman"/>
                <w:vertAlign w:val="subscript"/>
              </w:rPr>
              <w:t>N</w:t>
            </w:r>
            <w:r>
              <w:rPr>
                <w:rFonts w:hint="eastAsia" w:ascii="Times New Roman" w:hAnsi="Times New Roman" w:eastAsia="宋体" w:cs="Times New Roman"/>
              </w:rPr>
              <w:t>=11.467×K</w:t>
            </w:r>
            <w:r>
              <w:rPr>
                <w:rFonts w:hint="eastAsia" w:ascii="Times New Roman" w:hAnsi="Times New Roman" w:eastAsia="宋体" w:cs="Times New Roman"/>
                <w:vertAlign w:val="superscript"/>
              </w:rPr>
              <w:t>-0.7026</w:t>
            </w:r>
            <w:r>
              <w:rPr>
                <w:rFonts w:hint="eastAsia" w:ascii="Times New Roman" w:hAnsi="Times New Roman" w:eastAsia="宋体" w:cs="Times New Roman"/>
              </w:rPr>
              <w:t>；K&gt;220，K</w:t>
            </w:r>
            <w:r>
              <w:rPr>
                <w:rFonts w:hint="eastAsia" w:ascii="Times New Roman" w:hAnsi="Times New Roman" w:eastAsia="宋体" w:cs="Times New Roman"/>
                <w:vertAlign w:val="subscript"/>
              </w:rPr>
              <w:t>N</w:t>
            </w:r>
            <w:r>
              <w:rPr>
                <w:rFonts w:hint="eastAsia" w:ascii="Times New Roman" w:hAnsi="Times New Roman" w:eastAsia="宋体" w:cs="Times New Roman"/>
              </w:rPr>
              <w:t>=0.26；</w:t>
            </w:r>
          </w:p>
          <w:p w14:paraId="477E2E9A">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Kc——产品因子(石油原油Kc取0.65，其它有机液体取1.0)。</w:t>
            </w:r>
          </w:p>
          <w:p w14:paraId="232D5C97">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大呼吸废气排放量（以</w:t>
            </w:r>
            <w:r>
              <w:rPr>
                <w:rFonts w:hint="eastAsia" w:ascii="Times New Roman" w:hAnsi="Times New Roman" w:eastAsia="宋体" w:cs="Times New Roman"/>
                <w:lang w:eastAsia="zh-CN"/>
              </w:rPr>
              <w:t>氨气</w:t>
            </w:r>
            <w:r>
              <w:rPr>
                <w:rFonts w:hint="eastAsia" w:ascii="Times New Roman" w:hAnsi="Times New Roman" w:eastAsia="宋体" w:cs="Times New Roman"/>
              </w:rPr>
              <w:t>计）一览表如下：</w:t>
            </w:r>
          </w:p>
          <w:p w14:paraId="4D30A3A4">
            <w:pPr>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Cs w:val="20"/>
              </w:rPr>
            </w:pPr>
            <w:r>
              <w:rPr>
                <w:rFonts w:hint="eastAsia" w:ascii="Times New Roman" w:hAnsi="Times New Roman" w:eastAsia="宋体" w:cs="Times New Roman"/>
                <w:b/>
                <w:kern w:val="24"/>
                <w:szCs w:val="20"/>
              </w:rPr>
              <w:t>表</w:t>
            </w:r>
            <w:r>
              <w:rPr>
                <w:rFonts w:hint="eastAsia" w:cs="Times New Roman"/>
                <w:b/>
                <w:kern w:val="24"/>
                <w:szCs w:val="20"/>
                <w:lang w:val="en-US" w:eastAsia="zh-CN"/>
              </w:rPr>
              <w:t xml:space="preserve">4-5 </w:t>
            </w:r>
            <w:r>
              <w:rPr>
                <w:rFonts w:hint="eastAsia" w:ascii="Times New Roman" w:hAnsi="Times New Roman" w:eastAsia="宋体" w:cs="Times New Roman"/>
                <w:b/>
                <w:color w:val="000000"/>
                <w:kern w:val="24"/>
                <w:szCs w:val="20"/>
              </w:rPr>
              <w:t>卸料至物料储罐过程中大呼吸量参数及计算结果</w:t>
            </w:r>
          </w:p>
          <w:tbl>
            <w:tblPr>
              <w:tblStyle w:val="11"/>
              <w:tblW w:w="90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444"/>
              <w:gridCol w:w="606"/>
              <w:gridCol w:w="783"/>
              <w:gridCol w:w="766"/>
              <w:gridCol w:w="522"/>
              <w:gridCol w:w="969"/>
              <w:gridCol w:w="1363"/>
              <w:gridCol w:w="1276"/>
              <w:gridCol w:w="1288"/>
            </w:tblGrid>
            <w:tr w14:paraId="4EF61A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1" w:hRule="atLeast"/>
                <w:jc w:val="center"/>
              </w:trPr>
              <w:tc>
                <w:tcPr>
                  <w:tcW w:w="1444" w:type="dxa"/>
                  <w:tcBorders>
                    <w:tl2br w:val="nil"/>
                    <w:tr2bl w:val="nil"/>
                  </w:tcBorders>
                  <w:vAlign w:val="center"/>
                </w:tcPr>
                <w:p w14:paraId="65B9C5D9">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原料名称</w:t>
                  </w:r>
                </w:p>
              </w:tc>
              <w:tc>
                <w:tcPr>
                  <w:tcW w:w="606" w:type="dxa"/>
                  <w:tcBorders>
                    <w:tl2br w:val="nil"/>
                    <w:tr2bl w:val="nil"/>
                  </w:tcBorders>
                  <w:vAlign w:val="center"/>
                </w:tcPr>
                <w:p w14:paraId="4194AD4B">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M</w:t>
                  </w:r>
                </w:p>
              </w:tc>
              <w:tc>
                <w:tcPr>
                  <w:tcW w:w="783" w:type="dxa"/>
                  <w:tcBorders>
                    <w:tl2br w:val="nil"/>
                    <w:tr2bl w:val="nil"/>
                  </w:tcBorders>
                  <w:vAlign w:val="center"/>
                </w:tcPr>
                <w:p w14:paraId="0670AF52">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P</w:t>
                  </w:r>
                </w:p>
              </w:tc>
              <w:tc>
                <w:tcPr>
                  <w:tcW w:w="766" w:type="dxa"/>
                  <w:tcBorders>
                    <w:tl2br w:val="nil"/>
                    <w:tr2bl w:val="nil"/>
                  </w:tcBorders>
                  <w:vAlign w:val="center"/>
                </w:tcPr>
                <w:p w14:paraId="110CF7E8">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K</w:t>
                  </w:r>
                  <w:r>
                    <w:rPr>
                      <w:rFonts w:ascii="Times New Roman" w:hAnsi="Times New Roman" w:eastAsia="宋体" w:cs="Times New Roman"/>
                      <w:b/>
                      <w:bCs/>
                      <w:color w:val="000000"/>
                      <w:sz w:val="21"/>
                      <w:vertAlign w:val="subscript"/>
                    </w:rPr>
                    <w:t>N</w:t>
                  </w:r>
                </w:p>
              </w:tc>
              <w:tc>
                <w:tcPr>
                  <w:tcW w:w="522" w:type="dxa"/>
                  <w:tcBorders>
                    <w:tl2br w:val="nil"/>
                    <w:tr2bl w:val="nil"/>
                  </w:tcBorders>
                  <w:vAlign w:val="center"/>
                </w:tcPr>
                <w:p w14:paraId="1B2B0A94">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K</w:t>
                  </w:r>
                  <w:r>
                    <w:rPr>
                      <w:rFonts w:hint="eastAsia" w:ascii="Times New Roman" w:hAnsi="Times New Roman" w:eastAsia="宋体" w:cs="Times New Roman"/>
                      <w:b/>
                      <w:bCs/>
                      <w:color w:val="000000"/>
                      <w:sz w:val="21"/>
                    </w:rPr>
                    <w:t>c</w:t>
                  </w:r>
                </w:p>
              </w:tc>
              <w:tc>
                <w:tcPr>
                  <w:tcW w:w="969" w:type="dxa"/>
                  <w:tcBorders>
                    <w:tl2br w:val="nil"/>
                    <w:tr2bl w:val="nil"/>
                  </w:tcBorders>
                  <w:vAlign w:val="center"/>
                </w:tcPr>
                <w:p w14:paraId="740597A3">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L</w:t>
                  </w:r>
                  <w:r>
                    <w:rPr>
                      <w:rFonts w:ascii="Times New Roman" w:hAnsi="Times New Roman" w:eastAsia="宋体" w:cs="Times New Roman"/>
                      <w:b/>
                      <w:bCs/>
                      <w:color w:val="000000"/>
                      <w:sz w:val="21"/>
                      <w:vertAlign w:val="subscript"/>
                    </w:rPr>
                    <w:t>W</w:t>
                  </w:r>
                </w:p>
              </w:tc>
              <w:tc>
                <w:tcPr>
                  <w:tcW w:w="1363" w:type="dxa"/>
                  <w:tcBorders>
                    <w:tl2br w:val="nil"/>
                    <w:tr2bl w:val="nil"/>
                  </w:tcBorders>
                  <w:vAlign w:val="center"/>
                </w:tcPr>
                <w:p w14:paraId="7428D451">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投入量</w:t>
                  </w:r>
                </w:p>
              </w:tc>
              <w:tc>
                <w:tcPr>
                  <w:tcW w:w="1276" w:type="dxa"/>
                  <w:tcBorders>
                    <w:tl2br w:val="nil"/>
                    <w:tr2bl w:val="nil"/>
                  </w:tcBorders>
                  <w:vAlign w:val="center"/>
                </w:tcPr>
                <w:p w14:paraId="362A51D2">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lang w:eastAsia="zh-CN"/>
                    </w:rPr>
                    <w:t>氨气</w:t>
                  </w:r>
                  <w:r>
                    <w:rPr>
                      <w:rFonts w:hint="eastAsia" w:ascii="Times New Roman" w:hAnsi="Times New Roman" w:eastAsia="宋体" w:cs="Times New Roman"/>
                      <w:b/>
                      <w:bCs/>
                      <w:color w:val="000000"/>
                      <w:sz w:val="21"/>
                    </w:rPr>
                    <w:t>产生量</w:t>
                  </w:r>
                </w:p>
              </w:tc>
              <w:tc>
                <w:tcPr>
                  <w:tcW w:w="1288" w:type="dxa"/>
                  <w:tcBorders>
                    <w:tl2br w:val="nil"/>
                    <w:tr2bl w:val="nil"/>
                  </w:tcBorders>
                  <w:vAlign w:val="center"/>
                </w:tcPr>
                <w:p w14:paraId="61AC3B5C">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排放速率</w:t>
                  </w:r>
                  <w:r>
                    <w:rPr>
                      <w:rFonts w:ascii="Times New Roman" w:hAnsi="Times New Roman" w:eastAsia="宋体" w:cs="Times New Roman"/>
                      <w:b/>
                      <w:bCs/>
                      <w:color w:val="000000"/>
                      <w:sz w:val="21"/>
                    </w:rPr>
                    <w:t>*</w:t>
                  </w:r>
                </w:p>
              </w:tc>
            </w:tr>
            <w:tr w14:paraId="1AFF7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51" w:hRule="atLeast"/>
                <w:jc w:val="center"/>
              </w:trPr>
              <w:tc>
                <w:tcPr>
                  <w:tcW w:w="1444" w:type="dxa"/>
                  <w:tcBorders>
                    <w:tl2br w:val="nil"/>
                    <w:tr2bl w:val="nil"/>
                  </w:tcBorders>
                  <w:vAlign w:val="center"/>
                </w:tcPr>
                <w:p w14:paraId="27C75703">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color w:val="000000"/>
                      <w:sz w:val="21"/>
                      <w:lang w:eastAsia="zh-CN"/>
                    </w:rPr>
                    <w:t>氨水中间罐</w:t>
                  </w:r>
                </w:p>
              </w:tc>
              <w:tc>
                <w:tcPr>
                  <w:tcW w:w="606" w:type="dxa"/>
                  <w:tcBorders>
                    <w:tl2br w:val="nil"/>
                    <w:tr2bl w:val="nil"/>
                  </w:tcBorders>
                  <w:vAlign w:val="center"/>
                </w:tcPr>
                <w:p w14:paraId="1DFFD921">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w:t>
                  </w:r>
                </w:p>
              </w:tc>
              <w:tc>
                <w:tcPr>
                  <w:tcW w:w="783" w:type="dxa"/>
                  <w:tcBorders>
                    <w:tl2br w:val="nil"/>
                    <w:tr2bl w:val="nil"/>
                  </w:tcBorders>
                  <w:vAlign w:val="center"/>
                </w:tcPr>
                <w:p w14:paraId="6F83115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30400</w:t>
                  </w:r>
                </w:p>
              </w:tc>
              <w:tc>
                <w:tcPr>
                  <w:tcW w:w="766" w:type="dxa"/>
                  <w:tcBorders>
                    <w:tl2br w:val="nil"/>
                    <w:tr2bl w:val="nil"/>
                  </w:tcBorders>
                  <w:vAlign w:val="center"/>
                </w:tcPr>
                <w:p w14:paraId="1E92A943">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0.26</w:t>
                  </w:r>
                </w:p>
              </w:tc>
              <w:tc>
                <w:tcPr>
                  <w:tcW w:w="522" w:type="dxa"/>
                  <w:tcBorders>
                    <w:tl2br w:val="nil"/>
                    <w:tr2bl w:val="nil"/>
                  </w:tcBorders>
                  <w:vAlign w:val="center"/>
                </w:tcPr>
                <w:p w14:paraId="19E9BBF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969" w:type="dxa"/>
                  <w:tcBorders>
                    <w:tl2br w:val="nil"/>
                    <w:tr2bl w:val="nil"/>
                  </w:tcBorders>
                  <w:vAlign w:val="center"/>
                </w:tcPr>
                <w:p w14:paraId="77056F96">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0.056274</w:t>
                  </w:r>
                </w:p>
              </w:tc>
              <w:tc>
                <w:tcPr>
                  <w:tcW w:w="1363" w:type="dxa"/>
                  <w:tcBorders>
                    <w:tl2br w:val="nil"/>
                    <w:tr2bl w:val="nil"/>
                  </w:tcBorders>
                  <w:vAlign w:val="center"/>
                </w:tcPr>
                <w:p w14:paraId="6BE8347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170329.67</w:t>
                  </w:r>
                </w:p>
              </w:tc>
              <w:tc>
                <w:tcPr>
                  <w:tcW w:w="1276" w:type="dxa"/>
                  <w:tcBorders>
                    <w:tl2br w:val="nil"/>
                    <w:tr2bl w:val="nil"/>
                  </w:tcBorders>
                  <w:vAlign w:val="center"/>
                </w:tcPr>
                <w:p w14:paraId="1D0129D6">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9450.13</w:t>
                  </w:r>
                </w:p>
              </w:tc>
              <w:tc>
                <w:tcPr>
                  <w:tcW w:w="1288" w:type="dxa"/>
                  <w:tcBorders>
                    <w:tl2br w:val="nil"/>
                    <w:tr2bl w:val="nil"/>
                  </w:tcBorders>
                  <w:vAlign w:val="center"/>
                </w:tcPr>
                <w:p w14:paraId="284F804E">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1.31252</w:t>
                  </w:r>
                </w:p>
              </w:tc>
            </w:tr>
            <w:tr w14:paraId="45D60F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51" w:hRule="atLeast"/>
                <w:jc w:val="center"/>
              </w:trPr>
              <w:tc>
                <w:tcPr>
                  <w:tcW w:w="1444" w:type="dxa"/>
                  <w:tcBorders>
                    <w:tl2br w:val="nil"/>
                    <w:tr2bl w:val="nil"/>
                  </w:tcBorders>
                  <w:vAlign w:val="center"/>
                </w:tcPr>
                <w:p w14:paraId="7891FDE3">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color w:val="000000"/>
                      <w:sz w:val="21"/>
                      <w:lang w:eastAsia="zh-CN"/>
                    </w:rPr>
                    <w:t>氨水储罐</w:t>
                  </w:r>
                </w:p>
              </w:tc>
              <w:tc>
                <w:tcPr>
                  <w:tcW w:w="606" w:type="dxa"/>
                  <w:tcBorders>
                    <w:tl2br w:val="nil"/>
                    <w:tr2bl w:val="nil"/>
                  </w:tcBorders>
                  <w:vAlign w:val="center"/>
                </w:tcPr>
                <w:p w14:paraId="1D79B1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w:t>
                  </w:r>
                </w:p>
              </w:tc>
              <w:tc>
                <w:tcPr>
                  <w:tcW w:w="783" w:type="dxa"/>
                  <w:tcBorders>
                    <w:tl2br w:val="nil"/>
                    <w:tr2bl w:val="nil"/>
                  </w:tcBorders>
                  <w:vAlign w:val="center"/>
                </w:tcPr>
                <w:p w14:paraId="090DEE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30400</w:t>
                  </w:r>
                </w:p>
              </w:tc>
              <w:tc>
                <w:tcPr>
                  <w:tcW w:w="766" w:type="dxa"/>
                  <w:tcBorders>
                    <w:tl2br w:val="nil"/>
                    <w:tr2bl w:val="nil"/>
                  </w:tcBorders>
                  <w:vAlign w:val="center"/>
                </w:tcPr>
                <w:p w14:paraId="46D703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0.26</w:t>
                  </w:r>
                </w:p>
              </w:tc>
              <w:tc>
                <w:tcPr>
                  <w:tcW w:w="522" w:type="dxa"/>
                  <w:tcBorders>
                    <w:tl2br w:val="nil"/>
                    <w:tr2bl w:val="nil"/>
                  </w:tcBorders>
                  <w:vAlign w:val="center"/>
                </w:tcPr>
                <w:p w14:paraId="33967B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c>
                <w:tcPr>
                  <w:tcW w:w="969" w:type="dxa"/>
                  <w:tcBorders>
                    <w:tl2br w:val="nil"/>
                    <w:tr2bl w:val="nil"/>
                  </w:tcBorders>
                  <w:vAlign w:val="center"/>
                </w:tcPr>
                <w:p w14:paraId="5918D64E">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0.056274</w:t>
                  </w:r>
                </w:p>
              </w:tc>
              <w:tc>
                <w:tcPr>
                  <w:tcW w:w="1363" w:type="dxa"/>
                  <w:tcBorders>
                    <w:tl2br w:val="nil"/>
                    <w:tr2bl w:val="nil"/>
                  </w:tcBorders>
                  <w:vAlign w:val="center"/>
                </w:tcPr>
                <w:p w14:paraId="390FC7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170329.67</w:t>
                  </w:r>
                </w:p>
              </w:tc>
              <w:tc>
                <w:tcPr>
                  <w:tcW w:w="1276" w:type="dxa"/>
                  <w:tcBorders>
                    <w:tl2br w:val="nil"/>
                    <w:tr2bl w:val="nil"/>
                  </w:tcBorders>
                  <w:vAlign w:val="center"/>
                </w:tcPr>
                <w:p w14:paraId="07F6C4B8">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9450.13</w:t>
                  </w:r>
                </w:p>
              </w:tc>
              <w:tc>
                <w:tcPr>
                  <w:tcW w:w="1288" w:type="dxa"/>
                  <w:tcBorders>
                    <w:tl2br w:val="nil"/>
                    <w:tr2bl w:val="nil"/>
                  </w:tcBorders>
                  <w:vAlign w:val="center"/>
                </w:tcPr>
                <w:p w14:paraId="3FD18EFA">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1.31252</w:t>
                  </w:r>
                </w:p>
              </w:tc>
            </w:tr>
            <w:tr w14:paraId="1B3413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01" w:hRule="atLeast"/>
                <w:jc w:val="center"/>
              </w:trPr>
              <w:tc>
                <w:tcPr>
                  <w:tcW w:w="9017" w:type="dxa"/>
                  <w:gridSpan w:val="9"/>
                  <w:tcBorders>
                    <w:tl2br w:val="nil"/>
                    <w:tr2bl w:val="nil"/>
                  </w:tcBorders>
                  <w:vAlign w:val="center"/>
                </w:tcPr>
                <w:p w14:paraId="0ED07EFB">
                  <w:pPr>
                    <w:adjustRightInd w:val="0"/>
                    <w:snapToGrid w:val="0"/>
                    <w:spacing w:line="240" w:lineRule="auto"/>
                    <w:jc w:val="left"/>
                    <w:rPr>
                      <w:rFonts w:ascii="Times New Roman" w:hAnsi="Times New Roman" w:eastAsia="宋体" w:cs="Times New Roman"/>
                      <w:color w:val="000000"/>
                      <w:sz w:val="21"/>
                    </w:rPr>
                  </w:pPr>
                  <w:r>
                    <w:rPr>
                      <w:rFonts w:hint="eastAsia" w:ascii="Times New Roman" w:hAnsi="Times New Roman" w:eastAsia="宋体" w:cs="Times New Roman"/>
                      <w:color w:val="000000"/>
                      <w:sz w:val="21"/>
                    </w:rPr>
                    <w:t>单位：M：无量纲；P：Pa；K</w:t>
                  </w:r>
                  <w:r>
                    <w:rPr>
                      <w:rFonts w:hint="eastAsia" w:ascii="Times New Roman" w:hAnsi="Times New Roman" w:eastAsia="宋体" w:cs="Times New Roman"/>
                      <w:color w:val="000000"/>
                      <w:sz w:val="21"/>
                      <w:vertAlign w:val="subscript"/>
                    </w:rPr>
                    <w:t>N</w:t>
                  </w:r>
                  <w:r>
                    <w:rPr>
                      <w:rFonts w:hint="eastAsia" w:ascii="Times New Roman" w:hAnsi="Times New Roman" w:eastAsia="宋体" w:cs="Times New Roman"/>
                      <w:color w:val="000000"/>
                      <w:sz w:val="21"/>
                    </w:rPr>
                    <w:t>：无量纲；Kc：无量纲；L</w:t>
                  </w:r>
                  <w:r>
                    <w:rPr>
                      <w:rFonts w:hint="eastAsia" w:ascii="Times New Roman" w:hAnsi="Times New Roman" w:eastAsia="宋体" w:cs="Times New Roman"/>
                      <w:color w:val="000000"/>
                      <w:sz w:val="21"/>
                      <w:vertAlign w:val="subscript"/>
                    </w:rPr>
                    <w:t>W</w:t>
                  </w:r>
                  <w:r>
                    <w:rPr>
                      <w:rFonts w:hint="eastAsia" w:ascii="Times New Roman" w:hAnsi="Times New Roman" w:eastAsia="宋体" w:cs="Times New Roman"/>
                      <w:color w:val="000000"/>
                      <w:sz w:val="21"/>
                    </w:rPr>
                    <w:t>：kg/</w:t>
                  </w:r>
                  <w:r>
                    <w:rPr>
                      <w:rFonts w:hint="eastAsia" w:ascii="Times New Roman" w:hAnsi="Times New Roman" w:eastAsia="宋体" w:cs="Times New Roman"/>
                      <w:color w:val="000000"/>
                      <w:sz w:val="21"/>
                      <w:lang w:val="en-US" w:eastAsia="zh-CN"/>
                    </w:rPr>
                    <w:t>m</w:t>
                  </w:r>
                  <w:r>
                    <w:rPr>
                      <w:rFonts w:hint="eastAsia" w:ascii="Times New Roman" w:hAnsi="Times New Roman" w:eastAsia="宋体" w:cs="Times New Roman"/>
                      <w:color w:val="000000"/>
                      <w:sz w:val="21"/>
                      <w:vertAlign w:val="superscript"/>
                      <w:lang w:val="en-US" w:eastAsia="zh-CN"/>
                    </w:rPr>
                    <w:t>3</w:t>
                  </w:r>
                  <w:r>
                    <w:rPr>
                      <w:rFonts w:hint="eastAsia" w:ascii="Times New Roman" w:hAnsi="Times New Roman" w:eastAsia="宋体" w:cs="Times New Roman"/>
                      <w:color w:val="000000"/>
                      <w:sz w:val="21"/>
                    </w:rPr>
                    <w:t>；投入量：m</w:t>
                  </w:r>
                  <w:r>
                    <w:rPr>
                      <w:rFonts w:hint="eastAsia" w:ascii="Times New Roman" w:hAnsi="Times New Roman" w:eastAsia="宋体" w:cs="Times New Roman"/>
                      <w:color w:val="000000"/>
                      <w:sz w:val="21"/>
                      <w:vertAlign w:val="superscript"/>
                    </w:rPr>
                    <w:t>3</w:t>
                  </w:r>
                  <w:r>
                    <w:rPr>
                      <w:rFonts w:hint="eastAsia" w:ascii="Times New Roman" w:hAnsi="Times New Roman" w:eastAsia="宋体" w:cs="Times New Roman"/>
                      <w:color w:val="000000"/>
                      <w:sz w:val="21"/>
                    </w:rPr>
                    <w:t>/a；排放速率：kg/h；产生量：kg/a。</w:t>
                  </w:r>
                </w:p>
                <w:p w14:paraId="322FB121">
                  <w:pPr>
                    <w:adjustRightInd w:val="0"/>
                    <w:snapToGrid w:val="0"/>
                    <w:spacing w:line="240" w:lineRule="auto"/>
                    <w:jc w:val="left"/>
                    <w:rPr>
                      <w:rFonts w:ascii="Times New Roman" w:hAnsi="Times New Roman" w:eastAsia="宋体" w:cs="Times New Roman"/>
                      <w:color w:val="000000"/>
                      <w:sz w:val="21"/>
                    </w:rPr>
                  </w:pPr>
                  <w:r>
                    <w:rPr>
                      <w:rFonts w:hint="eastAsia" w:ascii="Times New Roman" w:hAnsi="Times New Roman" w:eastAsia="宋体" w:cs="Times New Roman"/>
                      <w:color w:val="000000"/>
                      <w:sz w:val="21"/>
                    </w:rPr>
                    <w:t>注*：</w:t>
                  </w:r>
                  <w:r>
                    <w:rPr>
                      <w:rFonts w:hint="eastAsia" w:ascii="Times New Roman" w:hAnsi="Times New Roman" w:eastAsia="宋体" w:cs="Times New Roman"/>
                      <w:sz w:val="21"/>
                    </w:rPr>
                    <w:t>本项目</w:t>
                  </w:r>
                  <w:r>
                    <w:rPr>
                      <w:rFonts w:hint="eastAsia" w:ascii="Times New Roman" w:hAnsi="Times New Roman" w:eastAsia="宋体" w:cs="Times New Roman"/>
                      <w:sz w:val="21"/>
                      <w:lang w:eastAsia="zh-CN"/>
                    </w:rPr>
                    <w:t>氨水年产</w:t>
                  </w:r>
                  <w:r>
                    <w:rPr>
                      <w:rFonts w:hint="eastAsia" w:ascii="Times New Roman" w:hAnsi="Times New Roman" w:eastAsia="宋体" w:cs="Times New Roman"/>
                      <w:sz w:val="21"/>
                    </w:rPr>
                    <w:t>量为</w:t>
                  </w:r>
                  <w:r>
                    <w:rPr>
                      <w:rFonts w:hint="eastAsia" w:ascii="Times New Roman" w:hAnsi="Times New Roman" w:eastAsia="宋体" w:cs="Times New Roman"/>
                      <w:sz w:val="21"/>
                      <w:lang w:val="en-US" w:eastAsia="zh-CN"/>
                    </w:rPr>
                    <w:t>155000</w:t>
                  </w:r>
                  <w:r>
                    <w:rPr>
                      <w:rFonts w:hint="eastAsia" w:ascii="Times New Roman" w:hAnsi="Times New Roman" w:eastAsia="宋体" w:cs="Times New Roman"/>
                      <w:sz w:val="21"/>
                    </w:rPr>
                    <w:t>t，其密度为</w:t>
                  </w:r>
                  <w:r>
                    <w:rPr>
                      <w:rFonts w:hint="eastAsia" w:ascii="Times New Roman" w:hAnsi="Times New Roman" w:eastAsia="宋体" w:cs="Times New Roman"/>
                      <w:sz w:val="21"/>
                      <w:lang w:val="en-US" w:eastAsia="zh-CN"/>
                    </w:rPr>
                    <w:t>0.91</w:t>
                  </w:r>
                  <w:r>
                    <w:rPr>
                      <w:rFonts w:hint="eastAsia" w:ascii="Times New Roman" w:hAnsi="Times New Roman" w:eastAsia="宋体" w:cs="Times New Roman"/>
                      <w:sz w:val="21"/>
                    </w:rPr>
                    <w:t>g/ml，经计算得</w:t>
                  </w:r>
                  <w:r>
                    <w:rPr>
                      <w:rFonts w:hint="eastAsia" w:ascii="Times New Roman" w:hAnsi="Times New Roman" w:eastAsia="宋体" w:cs="Times New Roman"/>
                      <w:sz w:val="21"/>
                      <w:lang w:eastAsia="zh-CN"/>
                    </w:rPr>
                    <w:t>氨水</w:t>
                  </w:r>
                  <w:r>
                    <w:rPr>
                      <w:rFonts w:hint="eastAsia" w:ascii="Times New Roman" w:hAnsi="Times New Roman" w:eastAsia="宋体" w:cs="Times New Roman"/>
                      <w:sz w:val="21"/>
                    </w:rPr>
                    <w:t>投入量为170329.67m</w:t>
                  </w:r>
                  <w:r>
                    <w:rPr>
                      <w:rFonts w:hint="eastAsia" w:ascii="Times New Roman" w:hAnsi="Times New Roman" w:eastAsia="宋体" w:cs="Times New Roman"/>
                      <w:sz w:val="21"/>
                      <w:vertAlign w:val="superscript"/>
                    </w:rPr>
                    <w:t>3</w:t>
                  </w:r>
                  <w:r>
                    <w:rPr>
                      <w:rFonts w:hint="eastAsia" w:ascii="Times New Roman" w:hAnsi="Times New Roman" w:eastAsia="宋体" w:cs="Times New Roman"/>
                      <w:sz w:val="21"/>
                    </w:rPr>
                    <w:t>/a。</w:t>
                  </w:r>
                </w:p>
              </w:tc>
            </w:tr>
          </w:tbl>
          <w:p w14:paraId="1C381C5F">
            <w:pPr>
              <w:widowControl w:val="0"/>
              <w:adjustRightInd w:val="0"/>
              <w:snapToGrid w:val="0"/>
              <w:spacing w:line="240" w:lineRule="auto"/>
              <w:jc w:val="left"/>
              <w:rPr>
                <w:rFonts w:ascii="Times New Roman" w:hAnsi="Times New Roman" w:eastAsia="宋体" w:cs="Times New Roman"/>
                <w:color w:val="000000"/>
                <w:kern w:val="2"/>
                <w:sz w:val="21"/>
                <w:szCs w:val="24"/>
                <w:lang w:val="en-US" w:eastAsia="zh-CN" w:bidi="ar-SA"/>
              </w:rPr>
            </w:pPr>
          </w:p>
          <w:p w14:paraId="3C2A87A2">
            <w:pPr>
              <w:adjustRightInd w:val="0"/>
              <w:snapToGrid w:val="0"/>
              <w:ind w:firstLine="480" w:firstLineChars="200"/>
              <w:rPr>
                <w:rFonts w:ascii="Times New Roman" w:hAnsi="Times New Roman" w:eastAsia="宋体" w:cs="Times New Roman"/>
                <w:color w:val="000000"/>
              </w:rPr>
            </w:pPr>
            <w:r>
              <w:rPr>
                <w:rFonts w:hint="eastAsia" w:ascii="Times New Roman" w:hAnsi="Times New Roman" w:eastAsia="宋体" w:cs="Times New Roman"/>
                <w:color w:val="000000"/>
              </w:rPr>
              <w:t>由表3.5-9可知，</w:t>
            </w:r>
            <w:r>
              <w:rPr>
                <w:rFonts w:hint="eastAsia" w:ascii="Times New Roman" w:hAnsi="Times New Roman" w:eastAsia="宋体" w:cs="Times New Roman"/>
                <w:color w:val="000000"/>
                <w:lang w:eastAsia="zh-CN"/>
              </w:rPr>
              <w:t>氨水中间罐</w:t>
            </w:r>
            <w:r>
              <w:rPr>
                <w:rFonts w:hint="eastAsia" w:ascii="Times New Roman" w:hAnsi="Times New Roman" w:eastAsia="宋体" w:cs="Times New Roman"/>
                <w:color w:val="000000"/>
              </w:rPr>
              <w:t>卸料至</w:t>
            </w:r>
            <w:r>
              <w:rPr>
                <w:rFonts w:hint="eastAsia" w:ascii="Times New Roman" w:hAnsi="Times New Roman" w:eastAsia="宋体" w:cs="Times New Roman"/>
                <w:color w:val="000000"/>
                <w:lang w:eastAsia="zh-CN"/>
              </w:rPr>
              <w:t>氨水</w:t>
            </w:r>
            <w:r>
              <w:rPr>
                <w:rFonts w:hint="eastAsia" w:ascii="Times New Roman" w:hAnsi="Times New Roman" w:eastAsia="宋体" w:cs="Times New Roman"/>
                <w:color w:val="000000"/>
              </w:rPr>
              <w:t>储罐产生的</w:t>
            </w:r>
            <w:r>
              <w:rPr>
                <w:rFonts w:hint="eastAsia" w:ascii="Times New Roman" w:hAnsi="Times New Roman" w:eastAsia="宋体" w:cs="Times New Roman"/>
                <w:color w:val="000000"/>
                <w:lang w:eastAsia="zh-CN"/>
              </w:rPr>
              <w:t>氨气</w:t>
            </w:r>
            <w:r>
              <w:rPr>
                <w:rFonts w:hint="eastAsia" w:ascii="Times New Roman" w:hAnsi="Times New Roman" w:eastAsia="宋体" w:cs="Times New Roman"/>
                <w:color w:val="000000"/>
              </w:rPr>
              <w:t>废年挥发量约为</w:t>
            </w:r>
            <w:r>
              <w:rPr>
                <w:rFonts w:hint="eastAsia" w:cs="Times New Roman"/>
                <w:color w:val="000000" w:themeColor="text1"/>
                <w:lang w:val="en-US" w:eastAsia="zh-CN"/>
                <w14:textFill>
                  <w14:solidFill>
                    <w14:schemeClr w14:val="tx1"/>
                  </w14:solidFill>
                </w14:textFill>
              </w:rPr>
              <w:t>18900.26</w:t>
            </w:r>
            <w:r>
              <w:rPr>
                <w:rFonts w:hint="eastAsia" w:ascii="Times New Roman" w:hAnsi="Times New Roman" w:eastAsia="宋体" w:cs="Times New Roman"/>
                <w:color w:val="000000" w:themeColor="text1"/>
                <w14:textFill>
                  <w14:solidFill>
                    <w14:schemeClr w14:val="tx1"/>
                  </w14:solidFill>
                </w14:textFill>
              </w:rPr>
              <w:t>kg/a</w:t>
            </w:r>
            <w:r>
              <w:rPr>
                <w:rFonts w:hint="eastAsia" w:ascii="Times New Roman" w:hAnsi="Times New Roman" w:eastAsia="宋体" w:cs="Times New Roman"/>
                <w:color w:val="000000"/>
                <w:lang w:eastAsia="zh-CN"/>
              </w:rPr>
              <w:t>（</w:t>
            </w:r>
            <w:r>
              <w:rPr>
                <w:rFonts w:hint="eastAsia" w:cs="Times New Roman"/>
                <w:color w:val="000000" w:themeColor="text1"/>
                <w:lang w:val="en-US" w:eastAsia="zh-CN"/>
                <w14:textFill>
                  <w14:solidFill>
                    <w14:schemeClr w14:val="tx1"/>
                  </w14:solidFill>
                </w14:textFill>
              </w:rPr>
              <w:t>2.6251</w:t>
            </w:r>
            <w:r>
              <w:rPr>
                <w:rFonts w:hint="eastAsia" w:ascii="Times New Roman" w:hAnsi="Times New Roman" w:eastAsia="宋体" w:cs="Times New Roman"/>
                <w:color w:val="000000" w:themeColor="text1"/>
                <w:lang w:val="en-US" w:eastAsia="zh-CN"/>
                <w14:textFill>
                  <w14:solidFill>
                    <w14:schemeClr w14:val="tx1"/>
                  </w14:solidFill>
                </w14:textFill>
              </w:rPr>
              <w:t>kg/h</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w:t>
            </w:r>
            <w:r>
              <w:rPr>
                <w:rFonts w:hint="eastAsia" w:ascii="Times New Roman" w:hAnsi="Times New Roman" w:eastAsia="宋体" w:cs="Times New Roman"/>
                <w:color w:val="000000"/>
                <w:lang w:eastAsia="zh-CN"/>
              </w:rPr>
              <w:t>储罐大呼吸</w:t>
            </w:r>
            <w:r>
              <w:rPr>
                <w:rFonts w:hint="eastAsia" w:ascii="Times New Roman" w:hAnsi="Times New Roman" w:eastAsia="宋体" w:cs="Times New Roman"/>
                <w:color w:val="000000"/>
              </w:rPr>
              <w:t>氨气在</w:t>
            </w:r>
            <w:r>
              <w:rPr>
                <w:rFonts w:hint="eastAsia" w:ascii="Times New Roman" w:hAnsi="Times New Roman" w:eastAsia="宋体" w:cs="Times New Roman"/>
                <w:color w:val="000000"/>
                <w:lang w:eastAsia="zh-CN"/>
              </w:rPr>
              <w:t>氨水中间罐、</w:t>
            </w:r>
            <w:r>
              <w:rPr>
                <w:rFonts w:hint="eastAsia" w:ascii="Times New Roman" w:hAnsi="Times New Roman" w:eastAsia="宋体" w:cs="Times New Roman"/>
                <w:color w:val="000000"/>
              </w:rPr>
              <w:t>氨水储罐顶部排气阀排出，进入</w:t>
            </w:r>
            <w:r>
              <w:rPr>
                <w:rFonts w:hint="eastAsia" w:ascii="Times New Roman" w:hAnsi="Times New Roman" w:eastAsia="宋体" w:cs="Times New Roman"/>
                <w:color w:val="000000"/>
                <w:lang w:eastAsia="zh-CN"/>
              </w:rPr>
              <w:t>尾气</w:t>
            </w:r>
            <w:r>
              <w:rPr>
                <w:rFonts w:hint="eastAsia" w:cs="Times New Roman"/>
                <w:color w:val="000000"/>
                <w:lang w:eastAsia="zh-CN"/>
              </w:rPr>
              <w:t>吸收</w:t>
            </w:r>
            <w:r>
              <w:rPr>
                <w:rFonts w:hint="eastAsia" w:ascii="Times New Roman" w:hAnsi="Times New Roman" w:eastAsia="宋体" w:cs="Times New Roman"/>
                <w:color w:val="000000"/>
                <w:lang w:eastAsia="zh-CN"/>
              </w:rPr>
              <w:t>塔</w:t>
            </w:r>
            <w:r>
              <w:rPr>
                <w:rFonts w:hint="eastAsia" w:ascii="Times New Roman" w:hAnsi="Times New Roman" w:eastAsia="宋体" w:cs="Times New Roman"/>
                <w:color w:val="000000"/>
              </w:rPr>
              <w:t>处理。</w:t>
            </w:r>
          </w:p>
          <w:p w14:paraId="04898CC5">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参考《三废处理工程技术手册-废气卷》，吸收法（用吸收塔处理，用水或稀酸碱液进行吸收）处理效率≧95%。本次评价按95%计。</w:t>
            </w:r>
            <w:r>
              <w:rPr>
                <w:rFonts w:hint="eastAsia" w:cs="Times New Roman"/>
                <w:color w:val="000000" w:themeColor="text1"/>
                <w:lang w:eastAsia="zh-CN"/>
                <w14:textFill>
                  <w14:solidFill>
                    <w14:schemeClr w14:val="tx1"/>
                  </w14:solidFill>
                </w14:textFill>
              </w:rPr>
              <w:t>根据上文，本项目进入尾气吸收塔的氨气量为</w:t>
            </w:r>
            <w:r>
              <w:rPr>
                <w:rFonts w:hint="eastAsia" w:cs="Times New Roman"/>
                <w:color w:val="000000" w:themeColor="text1"/>
                <w:lang w:val="en-US" w:eastAsia="zh-CN"/>
                <w14:textFill>
                  <w14:solidFill>
                    <w14:schemeClr w14:val="tx1"/>
                  </w14:solidFill>
                </w14:textFill>
              </w:rPr>
              <w:t>21.0852t/a，</w:t>
            </w:r>
            <w:r>
              <w:rPr>
                <w:rFonts w:hint="eastAsia" w:ascii="Times New Roman" w:hAnsi="Times New Roman" w:eastAsia="宋体" w:cs="Times New Roman"/>
                <w:color w:val="000000" w:themeColor="text1"/>
                <w:lang w:eastAsia="zh-CN"/>
                <w14:textFill>
                  <w14:solidFill>
                    <w14:schemeClr w14:val="tx1"/>
                  </w14:solidFill>
                </w14:textFill>
              </w:rPr>
              <w:t>经计算，氨排放量为</w:t>
            </w:r>
            <w:r>
              <w:rPr>
                <w:rFonts w:hint="eastAsia" w:cs="Times New Roman"/>
                <w:color w:val="000000" w:themeColor="text1"/>
                <w:lang w:val="en-US" w:eastAsia="zh-CN"/>
                <w14:textFill>
                  <w14:solidFill>
                    <w14:schemeClr w14:val="tx1"/>
                  </w14:solidFill>
                </w14:textFill>
              </w:rPr>
              <w:t>1.0543</w:t>
            </w:r>
            <w:r>
              <w:rPr>
                <w:rFonts w:hint="eastAsia" w:ascii="Times New Roman" w:hAnsi="Times New Roman" w:eastAsia="宋体" w:cs="Times New Roman"/>
                <w:color w:val="000000" w:themeColor="text1"/>
                <w:lang w:eastAsia="zh-CN"/>
                <w14:textFill>
                  <w14:solidFill>
                    <w14:schemeClr w14:val="tx1"/>
                  </w14:solidFill>
                </w14:textFill>
              </w:rPr>
              <w:t>t/a，氨排放速率为0.</w:t>
            </w:r>
            <w:r>
              <w:rPr>
                <w:rFonts w:hint="eastAsia" w:cs="Times New Roman"/>
                <w:color w:val="000000" w:themeColor="text1"/>
                <w:lang w:val="en-US" w:eastAsia="zh-CN"/>
                <w14:textFill>
                  <w14:solidFill>
                    <w14:schemeClr w14:val="tx1"/>
                  </w14:solidFill>
                </w14:textFill>
              </w:rPr>
              <w:t>1465</w:t>
            </w:r>
            <w:r>
              <w:rPr>
                <w:rFonts w:hint="eastAsia" w:ascii="Times New Roman" w:hAnsi="Times New Roman" w:eastAsia="宋体" w:cs="Times New Roman"/>
                <w:color w:val="000000" w:themeColor="text1"/>
                <w:lang w:eastAsia="zh-CN"/>
                <w14:textFill>
                  <w14:solidFill>
                    <w14:schemeClr w14:val="tx1"/>
                  </w14:solidFill>
                </w14:textFill>
              </w:rPr>
              <w:t>kg/h，</w:t>
            </w:r>
            <w:r>
              <w:rPr>
                <w:rFonts w:hint="eastAsia" w:ascii="Times New Roman" w:hAnsi="Times New Roman" w:eastAsia="宋体" w:cs="Times New Roman"/>
                <w:lang w:eastAsia="zh-CN"/>
              </w:rPr>
              <w:t>符合《恶臭污染物排放标准》（GB14554-93）表1氨有组织排放（15m高排气筒）4.9kg/h要求。</w:t>
            </w:r>
          </w:p>
          <w:p w14:paraId="21ACD86B">
            <w:pPr>
              <w:adjustRightInd w:val="0"/>
              <w:snapToGrid w:val="0"/>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（2）无组织废气</w:t>
            </w:r>
          </w:p>
          <w:p w14:paraId="721A866E">
            <w:pPr>
              <w:adjustRightInd w:val="0"/>
              <w:snapToGrid w:val="0"/>
              <w:ind w:firstLine="482" w:firstLineChars="200"/>
              <w:rPr>
                <w:rFonts w:hint="eastAsia" w:ascii="Times New Roman" w:hAnsi="Times New Roman" w:eastAsia="宋体" w:cs="Times New Roman"/>
                <w:b/>
                <w:bCs/>
                <w:lang w:eastAsia="zh-CN"/>
              </w:rPr>
            </w:pP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lang w:eastAsia="zh-CN"/>
              </w:rPr>
              <w:t>跑冒滴漏废气</w:t>
            </w:r>
          </w:p>
          <w:p w14:paraId="6F3782C9">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本项目无组织排放主要为液氨装卸车结束拆管时管路接口、阀门等跑冒滴漏产生的氨气。</w:t>
            </w:r>
          </w:p>
          <w:p w14:paraId="0B577237">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液氨卸车使用液氨压缩机对槽罐车加压压送至液氨球罐，液氨压送完成后再利用压缩机抽取槽罐车内气体，因此该过程基本不存在残留液氨。本项目氨水装卸至槽罐车过程采用顶部灌装的方式，因此管道内残留氨水量非常少，一般管道</w:t>
            </w:r>
            <w:r>
              <w:rPr>
                <w:rFonts w:hint="eastAsia" w:cs="Times New Roman"/>
                <w:color w:val="000000" w:themeColor="text1"/>
                <w:lang w:eastAsia="zh-CN"/>
                <w14:textFill>
                  <w14:solidFill>
                    <w14:schemeClr w14:val="tx1"/>
                  </w14:solidFill>
                </w14:textFill>
              </w:rPr>
              <w:t>阀口</w:t>
            </w:r>
            <w:r>
              <w:rPr>
                <w:rFonts w:hint="eastAsia" w:ascii="Times New Roman" w:hAnsi="Times New Roman" w:eastAsia="宋体" w:cs="Times New Roman"/>
                <w:lang w:eastAsia="zh-CN"/>
              </w:rPr>
              <w:t>和接口等处的残留液量在10~20mL之间。为保守起见，本项目残留液量取20mL，氨水槽车单车运输氨水量为20t，年周转卸车</w:t>
            </w:r>
            <w:r>
              <w:rPr>
                <w:rFonts w:hint="eastAsia" w:ascii="Times New Roman" w:hAnsi="Times New Roman" w:eastAsia="宋体" w:cs="Times New Roman"/>
                <w:lang w:val="en-US" w:eastAsia="zh-CN"/>
              </w:rPr>
              <w:t>7500</w:t>
            </w:r>
            <w:r>
              <w:rPr>
                <w:rFonts w:hint="eastAsia" w:ascii="Times New Roman" w:hAnsi="Times New Roman" w:eastAsia="宋体" w:cs="Times New Roman"/>
                <w:lang w:eastAsia="zh-CN"/>
              </w:rPr>
              <w:t>次，则</w:t>
            </w:r>
            <w:r>
              <w:rPr>
                <w:rFonts w:hint="eastAsia" w:ascii="Times New Roman" w:hAnsi="Times New Roman" w:eastAsia="宋体" w:cs="Times New Roman"/>
                <w:color w:val="000000" w:themeColor="text1"/>
                <w:lang w:eastAsia="zh-CN"/>
                <w14:textFill>
                  <w14:solidFill>
                    <w14:schemeClr w14:val="tx1"/>
                  </w14:solidFill>
                </w14:textFill>
              </w:rPr>
              <w:t>装卸对接口</w:t>
            </w:r>
            <w:r>
              <w:rPr>
                <w:rFonts w:hint="eastAsia" w:ascii="Times New Roman" w:hAnsi="Times New Roman" w:eastAsia="宋体" w:cs="Times New Roman"/>
                <w:lang w:eastAsia="zh-CN"/>
              </w:rPr>
              <w:t>年残留氨水量</w:t>
            </w:r>
            <w:r>
              <w:rPr>
                <w:rFonts w:hint="eastAsia" w:ascii="Times New Roman" w:hAnsi="Times New Roman" w:eastAsia="宋体" w:cs="Times New Roman"/>
                <w:lang w:val="en-US" w:eastAsia="zh-CN"/>
              </w:rPr>
              <w:t>0.15m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0.1385t</w:t>
            </w:r>
            <w:r>
              <w:rPr>
                <w:rFonts w:hint="eastAsia" w:ascii="Times New Roman" w:hAnsi="Times New Roman" w:eastAsia="宋体" w:cs="Times New Roman"/>
                <w:lang w:eastAsia="zh-CN"/>
              </w:rPr>
              <w:t>/a，氨水浓度为</w:t>
            </w:r>
            <w:r>
              <w:rPr>
                <w:rFonts w:hint="eastAsia" w:ascii="Times New Roman" w:hAnsi="Times New Roman" w:eastAsia="宋体" w:cs="Times New Roman"/>
                <w:lang w:val="en-US" w:eastAsia="zh-CN"/>
              </w:rPr>
              <w:t>20%</w:t>
            </w:r>
            <w:r>
              <w:rPr>
                <w:rFonts w:hint="eastAsia" w:ascii="Times New Roman" w:hAnsi="Times New Roman" w:eastAsia="宋体" w:cs="Times New Roman"/>
                <w:lang w:eastAsia="zh-CN"/>
              </w:rPr>
              <w:t>，即氨无组织年排放量为</w:t>
            </w:r>
            <w:r>
              <w:rPr>
                <w:rFonts w:hint="eastAsia" w:ascii="Times New Roman" w:hAnsi="Times New Roman" w:eastAsia="宋体" w:cs="Times New Roman"/>
                <w:lang w:val="en-US" w:eastAsia="zh-CN"/>
              </w:rPr>
              <w:t>0.0277</w:t>
            </w:r>
            <w:r>
              <w:rPr>
                <w:rFonts w:hint="eastAsia" w:ascii="Times New Roman" w:hAnsi="Times New Roman" w:eastAsia="宋体" w:cs="Times New Roman"/>
                <w:lang w:eastAsia="zh-CN"/>
              </w:rPr>
              <w:t>t/a。</w:t>
            </w:r>
          </w:p>
          <w:p w14:paraId="2BA610C8">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氨水装卸运输过程中氨水的跑冒滴漏会挥发氨气，通过加强管理能得到有效控制，主要采取如下控制措施：</w:t>
            </w:r>
          </w:p>
          <w:p w14:paraId="0B3F3D18">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①卸氨臂管及氨水装车管道</w:t>
            </w:r>
            <w:r>
              <w:rPr>
                <w:rFonts w:hint="eastAsia" w:cs="Times New Roman"/>
                <w:color w:val="000000" w:themeColor="text1"/>
                <w:lang w:eastAsia="zh-CN"/>
                <w14:textFill>
                  <w14:solidFill>
                    <w14:schemeClr w14:val="tx1"/>
                  </w14:solidFill>
                </w14:textFill>
              </w:rPr>
              <w:t>末端</w:t>
            </w:r>
            <w:r>
              <w:rPr>
                <w:rFonts w:hint="eastAsia" w:ascii="Times New Roman" w:hAnsi="Times New Roman" w:eastAsia="宋体" w:cs="Times New Roman"/>
                <w:lang w:eastAsia="zh-CN"/>
              </w:rPr>
              <w:t>设置阀门，采用优质材料及双路阀门，卸氨及氨水装车完毕后关闭管道上的阀门。</w:t>
            </w:r>
          </w:p>
          <w:p w14:paraId="41D2ED54">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②装卸物料时采用不锈钢快速接头密闭连接，加强操作和设备管理等措施。</w:t>
            </w:r>
          </w:p>
          <w:p w14:paraId="7535C747">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③定期检漏更换，确保阀门、管道之间的密封，泵、阀门、开口阀或开口管线，气体泄压设备、取样连接系统每三个月检测一次；法兰及其他连接件每6个月检测一次。</w:t>
            </w:r>
          </w:p>
          <w:p w14:paraId="6BC484FA">
            <w:pPr>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通过采取上述措施，项目厂界氨无组织排放能够满足《恶臭污染物排放标准》（GB14554-93）1.5mg/m</w:t>
            </w:r>
            <w:r>
              <w:rPr>
                <w:rFonts w:hint="eastAsia" w:ascii="Times New Roman" w:hAnsi="Times New Roman" w:eastAsia="宋体" w:cs="Times New Roman"/>
                <w:vertAlign w:val="superscript"/>
                <w:lang w:eastAsia="zh-CN"/>
              </w:rPr>
              <w:t>3</w:t>
            </w:r>
            <w:r>
              <w:rPr>
                <w:rFonts w:hint="eastAsia" w:ascii="Times New Roman" w:hAnsi="Times New Roman" w:eastAsia="宋体" w:cs="Times New Roman"/>
                <w:lang w:eastAsia="zh-CN"/>
              </w:rPr>
              <w:t>的要求。</w:t>
            </w:r>
          </w:p>
          <w:p w14:paraId="23C4A0FA">
            <w:pPr>
              <w:adjustRightInd w:val="0"/>
              <w:snapToGrid w:val="0"/>
              <w:ind w:firstLine="482" w:firstLineChars="200"/>
              <w:rPr>
                <w:rFonts w:ascii="Times New Roman" w:hAnsi="Times New Roman" w:eastAsia="宋体" w:cs="Times New Roman"/>
                <w:b/>
                <w:bCs/>
              </w:rPr>
            </w:pPr>
            <w:r>
              <w:rPr>
                <w:rFonts w:hint="eastAsia" w:ascii="Times New Roman" w:hAnsi="Times New Roman" w:eastAsia="宋体" w:cs="Times New Roman"/>
                <w:b/>
                <w:bCs/>
                <w:lang w:val="en-US" w:eastAsia="zh-CN"/>
              </w:rPr>
              <w:t>2）</w:t>
            </w:r>
            <w:r>
              <w:rPr>
                <w:rFonts w:hint="eastAsia" w:ascii="Times New Roman" w:hAnsi="Times New Roman" w:eastAsia="宋体" w:cs="Times New Roman"/>
                <w:b/>
                <w:bCs/>
              </w:rPr>
              <w:t>备用柴油发电机废气</w:t>
            </w:r>
          </w:p>
          <w:p w14:paraId="1D314A0F">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本项目设有1台</w:t>
            </w:r>
            <w:r>
              <w:rPr>
                <w:rFonts w:hint="eastAsia" w:ascii="Times New Roman" w:hAnsi="Times New Roman" w:eastAsia="宋体" w:cs="Times New Roman"/>
                <w:lang w:val="en-US" w:eastAsia="zh-CN"/>
              </w:rPr>
              <w:t>80</w:t>
            </w:r>
            <w:r>
              <w:rPr>
                <w:rFonts w:hint="eastAsia" w:ascii="Times New Roman" w:hAnsi="Times New Roman" w:eastAsia="宋体" w:cs="Times New Roman"/>
              </w:rPr>
              <w:t>0kW备用柴油发电机。根据建设单位提供的资料，年使用时间一般不超过</w:t>
            </w:r>
            <w:r>
              <w:rPr>
                <w:rFonts w:hint="eastAsia" w:ascii="Times New Roman" w:hAnsi="Times New Roman" w:eastAsia="宋体" w:cs="Times New Roman"/>
                <w:lang w:val="en-US" w:eastAsia="zh-CN"/>
              </w:rPr>
              <w:t>24</w:t>
            </w:r>
            <w:r>
              <w:rPr>
                <w:rFonts w:hint="eastAsia" w:ascii="Times New Roman" w:hAnsi="Times New Roman" w:eastAsia="宋体" w:cs="Times New Roman"/>
              </w:rPr>
              <w:t>h，依据《车用柴油》（GB19147-2016）“车用柴油（Ⅵ）”，柴油发电机组用柴油采用含硫量不大于0.001%、灰分不大于0.01%的柴油作燃料，油耗</w:t>
            </w:r>
            <w:r>
              <w:rPr>
                <w:rFonts w:hint="eastAsia" w:ascii="Times New Roman" w:hAnsi="Times New Roman" w:eastAsia="宋体" w:cs="Times New Roman"/>
                <w:lang w:val="en-US" w:eastAsia="zh-CN"/>
              </w:rPr>
              <w:t>176</w:t>
            </w:r>
            <w:r>
              <w:rPr>
                <w:rFonts w:hint="eastAsia" w:ascii="Times New Roman" w:hAnsi="Times New Roman" w:eastAsia="宋体" w:cs="Times New Roman"/>
              </w:rPr>
              <w:t>L/h(</w:t>
            </w:r>
            <w:r>
              <w:rPr>
                <w:rFonts w:hint="eastAsia" w:ascii="Times New Roman" w:hAnsi="Times New Roman" w:eastAsia="宋体" w:cs="Times New Roman"/>
                <w:lang w:eastAsia="zh-CN"/>
              </w:rPr>
              <w:t>满</w:t>
            </w:r>
            <w:r>
              <w:rPr>
                <w:rFonts w:hint="eastAsia" w:ascii="Times New Roman" w:hAnsi="Times New Roman" w:eastAsia="宋体" w:cs="Times New Roman"/>
              </w:rPr>
              <w:t>负荷时)计，则项目备用发电机耗油共</w:t>
            </w:r>
            <w:r>
              <w:rPr>
                <w:rFonts w:hint="eastAsia" w:ascii="Times New Roman" w:hAnsi="Times New Roman" w:eastAsia="宋体" w:cs="Times New Roman"/>
                <w:lang w:val="en-US" w:eastAsia="zh-CN"/>
              </w:rPr>
              <w:t>4.224</w:t>
            </w:r>
            <w:r>
              <w:rPr>
                <w:rFonts w:hint="eastAsia" w:ascii="Times New Roman" w:hAnsi="Times New Roman" w:eastAsia="宋体" w:cs="Times New Roman"/>
              </w:rPr>
              <w:t>t/a。1kg柴油产生的烟气量约为11Nm</w:t>
            </w:r>
            <w:r>
              <w:rPr>
                <w:rFonts w:hint="eastAsia" w:ascii="Times New Roman" w:hAnsi="Times New Roman" w:eastAsia="宋体" w:cs="Times New Roman"/>
                <w:vertAlign w:val="superscript"/>
              </w:rPr>
              <w:t>3</w:t>
            </w:r>
            <w:r>
              <w:rPr>
                <w:rFonts w:hint="eastAsia" w:ascii="Times New Roman" w:hAnsi="Times New Roman" w:eastAsia="宋体" w:cs="Times New Roman"/>
              </w:rPr>
              <w:t>，一般柴油发电机空气过剩系数为1.8，则发电机每燃烧1kg柴油产生的烟气量为11×1.8≈20Nm</w:t>
            </w:r>
            <w:r>
              <w:rPr>
                <w:rFonts w:hint="eastAsia" w:ascii="Times New Roman" w:hAnsi="Times New Roman" w:eastAsia="宋体" w:cs="Times New Roman"/>
                <w:vertAlign w:val="superscript"/>
              </w:rPr>
              <w:t>3</w:t>
            </w:r>
            <w:r>
              <w:rPr>
                <w:rFonts w:hint="eastAsia" w:ascii="Times New Roman" w:hAnsi="Times New Roman" w:eastAsia="宋体" w:cs="Times New Roman"/>
              </w:rPr>
              <w:t>，则废气量共为</w:t>
            </w:r>
            <w:r>
              <w:rPr>
                <w:rFonts w:hint="eastAsia" w:ascii="Times New Roman" w:hAnsi="Times New Roman" w:eastAsia="宋体" w:cs="Times New Roman"/>
                <w:lang w:val="en-US" w:eastAsia="zh-CN"/>
              </w:rPr>
              <w:t>8.448</w:t>
            </w:r>
            <w:r>
              <w:rPr>
                <w:rFonts w:hint="eastAsia" w:ascii="Times New Roman" w:hAnsi="Times New Roman" w:eastAsia="宋体" w:cs="Times New Roman"/>
              </w:rPr>
              <w:t>万m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r>
              <w:rPr>
                <w:rFonts w:hint="eastAsia" w:ascii="Times New Roman" w:hAnsi="Times New Roman" w:eastAsia="宋体" w:cs="Times New Roman"/>
                <w:lang w:val="en-US" w:eastAsia="zh-CN"/>
              </w:rPr>
              <w:t>3520</w:t>
            </w:r>
            <w:r>
              <w:rPr>
                <w:rFonts w:hint="eastAsia" w:ascii="Times New Roman" w:hAnsi="Times New Roman" w:eastAsia="宋体" w:cs="Times New Roman"/>
              </w:rPr>
              <w:t>m</w:t>
            </w:r>
            <w:r>
              <w:rPr>
                <w:rFonts w:hint="eastAsia" w:ascii="Times New Roman" w:hAnsi="Times New Roman" w:eastAsia="宋体" w:cs="Times New Roman"/>
                <w:vertAlign w:val="superscript"/>
              </w:rPr>
              <w:t>3</w:t>
            </w:r>
            <w:r>
              <w:rPr>
                <w:rFonts w:hint="eastAsia" w:ascii="Times New Roman" w:hAnsi="Times New Roman" w:eastAsia="宋体" w:cs="Times New Roman"/>
              </w:rPr>
              <w:t>/h）。</w:t>
            </w:r>
          </w:p>
          <w:p w14:paraId="5C2C04C2">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参考燃料燃烧排放污染物物料衡算办法计算，其SO</w:t>
            </w:r>
            <w:r>
              <w:rPr>
                <w:rFonts w:hint="eastAsia" w:ascii="Times New Roman" w:hAnsi="Times New Roman" w:eastAsia="宋体" w:cs="Times New Roman"/>
                <w:vertAlign w:val="subscript"/>
              </w:rPr>
              <w:t>2</w:t>
            </w:r>
            <w:r>
              <w:rPr>
                <w:rFonts w:hint="eastAsia" w:ascii="Times New Roman" w:hAnsi="Times New Roman" w:eastAsia="宋体" w:cs="Times New Roman"/>
              </w:rPr>
              <w:t>和NOx、烟气产生量算法如下：</w:t>
            </w:r>
          </w:p>
          <w:p w14:paraId="742B7F81">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①烟尘产生量的计算公式：</w:t>
            </w:r>
          </w:p>
          <w:p w14:paraId="46EAED2A">
            <w:pPr>
              <w:adjustRightInd w:val="0"/>
              <w:snapToGrid w:val="0"/>
              <w:ind w:firstLine="482" w:firstLineChars="200"/>
              <w:jc w:val="center"/>
              <w:rPr>
                <w:rFonts w:ascii="Times New Roman" w:hAnsi="Times New Roman" w:eastAsia="宋体" w:cs="Times New Roman"/>
                <w:b/>
                <w:bCs/>
              </w:rPr>
            </w:pPr>
            <w:r>
              <w:rPr>
                <w:rFonts w:hint="eastAsia" w:ascii="Times New Roman" w:hAnsi="Times New Roman" w:eastAsia="宋体" w:cs="Times New Roman"/>
                <w:b/>
                <w:bCs/>
              </w:rPr>
              <w:t>Gsd=1000×B×A</w:t>
            </w:r>
          </w:p>
          <w:p w14:paraId="65F1C088">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其中：Gsd—烟尘排放量，kg；</w:t>
            </w:r>
          </w:p>
          <w:p w14:paraId="3F3B13FD">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B—燃料消耗量，t；</w:t>
            </w:r>
          </w:p>
          <w:p w14:paraId="413D519A">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A—燃料中灰分，%，取0.01%；</w:t>
            </w:r>
          </w:p>
          <w:p w14:paraId="1E5819D9">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②SO</w:t>
            </w:r>
            <w:r>
              <w:rPr>
                <w:rFonts w:hint="eastAsia" w:ascii="Times New Roman" w:hAnsi="Times New Roman" w:eastAsia="宋体" w:cs="Times New Roman"/>
                <w:vertAlign w:val="subscript"/>
              </w:rPr>
              <w:t>2</w:t>
            </w:r>
            <w:r>
              <w:rPr>
                <w:rFonts w:hint="eastAsia" w:ascii="Times New Roman" w:hAnsi="Times New Roman" w:eastAsia="宋体" w:cs="Times New Roman"/>
              </w:rPr>
              <w:t>产生量</w:t>
            </w:r>
          </w:p>
          <w:p w14:paraId="63B77FB3">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SO</w:t>
            </w:r>
            <w:r>
              <w:rPr>
                <w:rFonts w:hint="eastAsia" w:ascii="Times New Roman" w:hAnsi="Times New Roman" w:eastAsia="宋体" w:cs="Times New Roman"/>
                <w:vertAlign w:val="subscript"/>
              </w:rPr>
              <w:t>2</w:t>
            </w:r>
            <w:r>
              <w:rPr>
                <w:rFonts w:hint="eastAsia" w:ascii="Times New Roman" w:hAnsi="Times New Roman" w:eastAsia="宋体" w:cs="Times New Roman"/>
              </w:rPr>
              <w:t>：Cso</w:t>
            </w:r>
            <w:r>
              <w:rPr>
                <w:rFonts w:hint="eastAsia" w:ascii="Times New Roman" w:hAnsi="Times New Roman" w:eastAsia="宋体" w:cs="Times New Roman"/>
                <w:vertAlign w:val="subscript"/>
              </w:rPr>
              <w:t>2</w:t>
            </w:r>
            <w:r>
              <w:rPr>
                <w:rFonts w:hint="eastAsia" w:ascii="Times New Roman" w:hAnsi="Times New Roman" w:eastAsia="宋体" w:cs="Times New Roman"/>
              </w:rPr>
              <w:t>=2×B×S(1-η)</w:t>
            </w:r>
          </w:p>
          <w:p w14:paraId="5CEF699D">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Cso</w:t>
            </w:r>
            <w:r>
              <w:rPr>
                <w:rFonts w:hint="eastAsia" w:ascii="Times New Roman" w:hAnsi="Times New Roman" w:eastAsia="宋体" w:cs="Times New Roman"/>
                <w:vertAlign w:val="subscript"/>
              </w:rPr>
              <w:t>2</w:t>
            </w:r>
            <w:r>
              <w:rPr>
                <w:rFonts w:hint="eastAsia" w:ascii="Times New Roman" w:hAnsi="Times New Roman" w:eastAsia="宋体" w:cs="Times New Roman"/>
              </w:rPr>
              <w:t>—二氧化硫排放量，kg；</w:t>
            </w:r>
          </w:p>
          <w:p w14:paraId="64901DF0">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B—消耗的燃料量，kg；</w:t>
            </w:r>
          </w:p>
          <w:p w14:paraId="0263971F">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S—燃料中的全硫分含量，%；</w:t>
            </w:r>
          </w:p>
          <w:p w14:paraId="7A1C7357">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η—二氧化硫去除率，%；本项目选0。</w:t>
            </w:r>
          </w:p>
          <w:p w14:paraId="45A4596E">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SO</w:t>
            </w:r>
            <w:r>
              <w:rPr>
                <w:rFonts w:hint="eastAsia" w:ascii="Times New Roman" w:hAnsi="Times New Roman" w:eastAsia="宋体" w:cs="Times New Roman"/>
                <w:vertAlign w:val="subscript"/>
              </w:rPr>
              <w:t>2</w:t>
            </w:r>
            <w:r>
              <w:rPr>
                <w:rFonts w:hint="eastAsia" w:ascii="Times New Roman" w:hAnsi="Times New Roman" w:eastAsia="宋体" w:cs="Times New Roman"/>
              </w:rPr>
              <w:t>转化率为100%</w:t>
            </w:r>
          </w:p>
          <w:p w14:paraId="45D523DD">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③NOx产生量</w:t>
            </w:r>
          </w:p>
          <w:p w14:paraId="380A3ED9">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NOx：G</w:t>
            </w:r>
            <w:r>
              <w:rPr>
                <w:rFonts w:hint="eastAsia" w:ascii="Times New Roman" w:hAnsi="Times New Roman" w:eastAsia="宋体" w:cs="Times New Roman"/>
                <w:vertAlign w:val="subscript"/>
              </w:rPr>
              <w:t>NOx</w:t>
            </w:r>
            <w:r>
              <w:rPr>
                <w:rFonts w:hint="eastAsia" w:ascii="Times New Roman" w:hAnsi="Times New Roman" w:eastAsia="宋体" w:cs="Times New Roman"/>
              </w:rPr>
              <w:t>=1.63×B×（N×β+0.000938）</w:t>
            </w:r>
          </w:p>
          <w:p w14:paraId="1F8D55ED">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G</w:t>
            </w:r>
            <w:r>
              <w:rPr>
                <w:rFonts w:hint="eastAsia" w:ascii="Times New Roman" w:hAnsi="Times New Roman" w:eastAsia="宋体" w:cs="Times New Roman"/>
                <w:vertAlign w:val="subscript"/>
              </w:rPr>
              <w:t>NOx</w:t>
            </w:r>
            <w:r>
              <w:rPr>
                <w:rFonts w:hint="eastAsia" w:ascii="Times New Roman" w:hAnsi="Times New Roman" w:eastAsia="宋体" w:cs="Times New Roman"/>
              </w:rPr>
              <w:t>—氮氧化物排放量，kg；</w:t>
            </w:r>
          </w:p>
          <w:p w14:paraId="65F65C15">
            <w:pPr>
              <w:adjustRightInd w:val="0"/>
              <w:snapToGrid w:val="0"/>
              <w:ind w:firstLine="1200" w:firstLineChars="500"/>
              <w:rPr>
                <w:rFonts w:ascii="Times New Roman" w:hAnsi="Times New Roman" w:eastAsia="宋体" w:cs="Times New Roman"/>
              </w:rPr>
            </w:pPr>
            <w:r>
              <w:rPr>
                <w:rFonts w:hint="eastAsia" w:ascii="Times New Roman" w:hAnsi="Times New Roman" w:eastAsia="宋体" w:cs="Times New Roman"/>
              </w:rPr>
              <w:t>B—消耗的燃料量，kg；</w:t>
            </w:r>
          </w:p>
          <w:p w14:paraId="010D4781">
            <w:pPr>
              <w:adjustRightInd w:val="0"/>
              <w:snapToGrid w:val="0"/>
              <w:ind w:firstLine="1200" w:firstLineChars="500"/>
              <w:rPr>
                <w:rFonts w:ascii="Times New Roman" w:hAnsi="Times New Roman" w:eastAsia="宋体" w:cs="Times New Roman"/>
                <w:color w:val="000000"/>
              </w:rPr>
            </w:pPr>
            <w:r>
              <w:rPr>
                <w:rFonts w:hint="eastAsia" w:ascii="Times New Roman" w:hAnsi="Times New Roman" w:eastAsia="宋体" w:cs="Times New Roman"/>
                <w:color w:val="000000"/>
              </w:rPr>
              <w:t>N—燃料中的含氮量，%；本项目取值0.08%；</w:t>
            </w:r>
          </w:p>
          <w:p w14:paraId="14B31BFF">
            <w:pPr>
              <w:adjustRightInd w:val="0"/>
              <w:snapToGrid w:val="0"/>
              <w:ind w:firstLine="1200" w:firstLineChars="500"/>
              <w:rPr>
                <w:rFonts w:ascii="Times New Roman" w:hAnsi="Times New Roman" w:eastAsia="宋体" w:cs="Times New Roman"/>
                <w:color w:val="000000"/>
              </w:rPr>
            </w:pPr>
            <w:r>
              <w:rPr>
                <w:rFonts w:hint="eastAsia" w:ascii="Times New Roman" w:hAnsi="Times New Roman" w:eastAsia="宋体" w:cs="Times New Roman"/>
                <w:color w:val="000000"/>
              </w:rPr>
              <w:t>β—燃料中氮的转化率，%；本项目选60%。</w:t>
            </w:r>
          </w:p>
          <w:p w14:paraId="4FC20B77">
            <w:pPr>
              <w:adjustRightInd w:val="0"/>
              <w:snapToGrid w:val="0"/>
              <w:ind w:firstLine="480" w:firstLineChars="200"/>
              <w:rPr>
                <w:rFonts w:ascii="Times New Roman" w:hAnsi="Times New Roman" w:eastAsia="宋体" w:cs="Times New Roman"/>
                <w:color w:val="000000"/>
              </w:rPr>
            </w:pPr>
            <w:r>
              <w:rPr>
                <w:rFonts w:hint="eastAsia" w:ascii="Times New Roman" w:hAnsi="Times New Roman" w:eastAsia="宋体" w:cs="Times New Roman"/>
                <w:color w:val="000000"/>
              </w:rPr>
              <w:t>经计算，备用发电机尾气中的烟尘、SO</w:t>
            </w:r>
            <w:r>
              <w:rPr>
                <w:rFonts w:hint="eastAsia" w:ascii="Times New Roman" w:hAnsi="Times New Roman" w:eastAsia="宋体" w:cs="Times New Roman"/>
                <w:color w:val="000000"/>
                <w:vertAlign w:val="subscript"/>
              </w:rPr>
              <w:t>2</w:t>
            </w:r>
            <w:r>
              <w:rPr>
                <w:rFonts w:hint="eastAsia" w:ascii="Times New Roman" w:hAnsi="Times New Roman" w:eastAsia="宋体" w:cs="Times New Roman"/>
                <w:color w:val="000000"/>
              </w:rPr>
              <w:t>和NOx排放情况如表3.5-14。</w:t>
            </w:r>
          </w:p>
          <w:p w14:paraId="658126E8">
            <w:pPr>
              <w:widowControl w:val="0"/>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 w:val="24"/>
                <w:szCs w:val="20"/>
                <w:lang w:val="en-US" w:eastAsia="zh-CN" w:bidi="ar-SA"/>
              </w:rPr>
            </w:pPr>
            <w:r>
              <w:rPr>
                <w:rFonts w:hint="eastAsia" w:ascii="Times New Roman" w:hAnsi="Times New Roman" w:eastAsia="宋体" w:cs="Times New Roman"/>
                <w:b/>
                <w:color w:val="000000"/>
                <w:kern w:val="24"/>
                <w:sz w:val="24"/>
                <w:szCs w:val="20"/>
                <w:lang w:val="en-US" w:eastAsia="zh-CN" w:bidi="ar-SA"/>
              </w:rPr>
              <w:t>表</w:t>
            </w:r>
            <w:r>
              <w:rPr>
                <w:rFonts w:hint="eastAsia" w:cs="Times New Roman"/>
                <w:b/>
                <w:color w:val="000000"/>
                <w:kern w:val="24"/>
                <w:sz w:val="24"/>
                <w:szCs w:val="20"/>
                <w:lang w:val="en-US" w:eastAsia="zh-CN" w:bidi="ar-SA"/>
              </w:rPr>
              <w:t>4-6</w:t>
            </w:r>
            <w:r>
              <w:rPr>
                <w:rFonts w:hint="eastAsia" w:ascii="Times New Roman" w:hAnsi="Times New Roman" w:eastAsia="宋体" w:cs="Times New Roman"/>
                <w:b/>
                <w:color w:val="000000"/>
                <w:kern w:val="24"/>
                <w:sz w:val="24"/>
                <w:szCs w:val="20"/>
                <w:lang w:val="en-US" w:eastAsia="zh-CN" w:bidi="ar-SA"/>
              </w:rPr>
              <w:t xml:space="preserve"> 备用柴油发电机燃烧废气排放情况</w:t>
            </w:r>
          </w:p>
          <w:tbl>
            <w:tblPr>
              <w:tblStyle w:val="11"/>
              <w:tblW w:w="91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398"/>
              <w:gridCol w:w="1223"/>
              <w:gridCol w:w="1028"/>
              <w:gridCol w:w="1954"/>
              <w:gridCol w:w="1172"/>
              <w:gridCol w:w="1171"/>
              <w:gridCol w:w="1172"/>
            </w:tblGrid>
            <w:tr w14:paraId="5BD339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2" w:hRule="atLeast"/>
                <w:jc w:val="center"/>
              </w:trPr>
              <w:tc>
                <w:tcPr>
                  <w:tcW w:w="1398" w:type="dxa"/>
                  <w:tcBorders>
                    <w:tl2br w:val="nil"/>
                    <w:tr2bl w:val="nil"/>
                  </w:tcBorders>
                  <w:vAlign w:val="center"/>
                </w:tcPr>
                <w:p w14:paraId="5DB55D73">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污染源</w:t>
                  </w:r>
                </w:p>
              </w:tc>
              <w:tc>
                <w:tcPr>
                  <w:tcW w:w="1223" w:type="dxa"/>
                  <w:tcBorders>
                    <w:tl2br w:val="nil"/>
                    <w:tr2bl w:val="nil"/>
                  </w:tcBorders>
                  <w:vAlign w:val="center"/>
                </w:tcPr>
                <w:p w14:paraId="181C1BB7">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废气量</w:t>
                  </w:r>
                </w:p>
              </w:tc>
              <w:tc>
                <w:tcPr>
                  <w:tcW w:w="1028" w:type="dxa"/>
                  <w:tcBorders>
                    <w:tl2br w:val="nil"/>
                    <w:tr2bl w:val="nil"/>
                  </w:tcBorders>
                  <w:vAlign w:val="center"/>
                </w:tcPr>
                <w:p w14:paraId="5AA0BFA4">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排放工况</w:t>
                  </w:r>
                </w:p>
              </w:tc>
              <w:tc>
                <w:tcPr>
                  <w:tcW w:w="1954" w:type="dxa"/>
                  <w:tcBorders>
                    <w:tl2br w:val="nil"/>
                    <w:tr2bl w:val="nil"/>
                  </w:tcBorders>
                  <w:vAlign w:val="center"/>
                </w:tcPr>
                <w:p w14:paraId="67F2316C">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污染物</w:t>
                  </w:r>
                </w:p>
              </w:tc>
              <w:tc>
                <w:tcPr>
                  <w:tcW w:w="1172" w:type="dxa"/>
                  <w:tcBorders>
                    <w:tl2br w:val="nil"/>
                    <w:tr2bl w:val="nil"/>
                  </w:tcBorders>
                  <w:vAlign w:val="center"/>
                </w:tcPr>
                <w:p w14:paraId="187489DB">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烟尘</w:t>
                  </w:r>
                </w:p>
              </w:tc>
              <w:tc>
                <w:tcPr>
                  <w:tcW w:w="1171" w:type="dxa"/>
                  <w:tcBorders>
                    <w:tl2br w:val="nil"/>
                    <w:tr2bl w:val="nil"/>
                  </w:tcBorders>
                  <w:vAlign w:val="center"/>
                </w:tcPr>
                <w:p w14:paraId="52CEC2F1">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ascii="Times New Roman" w:hAnsi="Times New Roman" w:eastAsia="宋体" w:cs="Times New Roman"/>
                      <w:b/>
                      <w:bCs/>
                      <w:color w:val="000000"/>
                      <w:kern w:val="2"/>
                      <w:sz w:val="21"/>
                      <w:szCs w:val="24"/>
                      <w:lang w:val="en-US" w:eastAsia="zh-CN" w:bidi="ar-SA"/>
                    </w:rPr>
                    <w:t>SO</w:t>
                  </w:r>
                  <w:r>
                    <w:rPr>
                      <w:rFonts w:ascii="Times New Roman" w:hAnsi="Times New Roman" w:eastAsia="宋体" w:cs="Times New Roman"/>
                      <w:b/>
                      <w:bCs/>
                      <w:color w:val="000000"/>
                      <w:kern w:val="2"/>
                      <w:sz w:val="21"/>
                      <w:szCs w:val="24"/>
                      <w:vertAlign w:val="subscript"/>
                      <w:lang w:val="en-US" w:eastAsia="zh-CN" w:bidi="ar-SA"/>
                    </w:rPr>
                    <w:t>2</w:t>
                  </w:r>
                </w:p>
              </w:tc>
              <w:tc>
                <w:tcPr>
                  <w:tcW w:w="1172" w:type="dxa"/>
                  <w:tcBorders>
                    <w:tl2br w:val="nil"/>
                    <w:tr2bl w:val="nil"/>
                  </w:tcBorders>
                  <w:vAlign w:val="center"/>
                </w:tcPr>
                <w:p w14:paraId="2CC15559">
                  <w:pPr>
                    <w:widowControl w:val="0"/>
                    <w:adjustRightInd w:val="0"/>
                    <w:snapToGrid w:val="0"/>
                    <w:spacing w:line="240" w:lineRule="auto"/>
                    <w:jc w:val="center"/>
                    <w:rPr>
                      <w:rFonts w:ascii="Times New Roman" w:hAnsi="Times New Roman" w:eastAsia="宋体" w:cs="Times New Roman"/>
                      <w:b/>
                      <w:bCs/>
                      <w:color w:val="000000"/>
                      <w:kern w:val="2"/>
                      <w:sz w:val="21"/>
                      <w:szCs w:val="24"/>
                      <w:lang w:val="en-US" w:eastAsia="zh-CN" w:bidi="ar-SA"/>
                    </w:rPr>
                  </w:pPr>
                  <w:r>
                    <w:rPr>
                      <w:rFonts w:ascii="Times New Roman" w:hAnsi="Times New Roman" w:eastAsia="宋体" w:cs="Times New Roman"/>
                      <w:b/>
                      <w:bCs/>
                      <w:color w:val="000000"/>
                      <w:kern w:val="2"/>
                      <w:sz w:val="21"/>
                      <w:szCs w:val="24"/>
                      <w:lang w:val="en-US" w:eastAsia="zh-CN" w:bidi="ar-SA"/>
                    </w:rPr>
                    <w:t>NO</w:t>
                  </w:r>
                  <w:r>
                    <w:rPr>
                      <w:rFonts w:hint="eastAsia" w:ascii="Times New Roman" w:hAnsi="Times New Roman" w:eastAsia="宋体" w:cs="Times New Roman"/>
                      <w:b/>
                      <w:bCs/>
                      <w:color w:val="000000"/>
                      <w:kern w:val="2"/>
                      <w:sz w:val="21"/>
                      <w:szCs w:val="24"/>
                      <w:lang w:val="en-US" w:eastAsia="zh-CN" w:bidi="ar-SA"/>
                    </w:rPr>
                    <w:t>x</w:t>
                  </w:r>
                </w:p>
              </w:tc>
            </w:tr>
            <w:tr w14:paraId="1FD938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3" w:hRule="atLeast"/>
                <w:jc w:val="center"/>
              </w:trPr>
              <w:tc>
                <w:tcPr>
                  <w:tcW w:w="1398" w:type="dxa"/>
                  <w:vMerge w:val="restart"/>
                  <w:tcBorders>
                    <w:tl2br w:val="nil"/>
                    <w:tr2bl w:val="nil"/>
                  </w:tcBorders>
                  <w:vAlign w:val="center"/>
                </w:tcPr>
                <w:p w14:paraId="50754F2E">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800KW备用柴油发电机</w:t>
                  </w:r>
                </w:p>
              </w:tc>
              <w:tc>
                <w:tcPr>
                  <w:tcW w:w="1223" w:type="dxa"/>
                  <w:vMerge w:val="restart"/>
                  <w:tcBorders>
                    <w:tl2br w:val="nil"/>
                    <w:tr2bl w:val="nil"/>
                  </w:tcBorders>
                  <w:vAlign w:val="center"/>
                </w:tcPr>
                <w:p w14:paraId="6315803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3520</w:t>
                  </w:r>
                  <w:r>
                    <w:rPr>
                      <w:rFonts w:ascii="Times New Roman" w:hAnsi="Times New Roman" w:eastAsia="宋体" w:cs="Times New Roman"/>
                      <w:color w:val="000000"/>
                      <w:kern w:val="2"/>
                      <w:sz w:val="21"/>
                      <w:szCs w:val="24"/>
                      <w:lang w:val="en-US" w:eastAsia="zh-CN" w:bidi="ar-SA"/>
                    </w:rPr>
                    <w:t>m</w:t>
                  </w:r>
                  <w:r>
                    <w:rPr>
                      <w:rFonts w:ascii="Times New Roman" w:hAnsi="Times New Roman" w:eastAsia="宋体" w:cs="Times New Roman"/>
                      <w:color w:val="000000"/>
                      <w:kern w:val="2"/>
                      <w:sz w:val="21"/>
                      <w:szCs w:val="24"/>
                      <w:vertAlign w:val="superscript"/>
                      <w:lang w:val="en-US" w:eastAsia="zh-CN" w:bidi="ar-SA"/>
                    </w:rPr>
                    <w:t>3</w:t>
                  </w:r>
                  <w:r>
                    <w:rPr>
                      <w:rFonts w:ascii="Times New Roman" w:hAnsi="Times New Roman" w:eastAsia="宋体" w:cs="Times New Roman"/>
                      <w:color w:val="000000"/>
                      <w:kern w:val="2"/>
                      <w:sz w:val="21"/>
                      <w:szCs w:val="24"/>
                      <w:lang w:val="en-US" w:eastAsia="zh-CN" w:bidi="ar-SA"/>
                    </w:rPr>
                    <w:t>/h</w:t>
                  </w:r>
                </w:p>
              </w:tc>
              <w:tc>
                <w:tcPr>
                  <w:tcW w:w="1028" w:type="dxa"/>
                  <w:vMerge w:val="restart"/>
                  <w:tcBorders>
                    <w:tl2br w:val="nil"/>
                    <w:tr2bl w:val="nil"/>
                  </w:tcBorders>
                  <w:vAlign w:val="center"/>
                </w:tcPr>
                <w:p w14:paraId="23AAE6E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24</w:t>
                  </w:r>
                  <w:r>
                    <w:rPr>
                      <w:rFonts w:ascii="Times New Roman" w:hAnsi="Times New Roman" w:eastAsia="宋体" w:cs="Times New Roman"/>
                      <w:color w:val="000000"/>
                      <w:kern w:val="2"/>
                      <w:sz w:val="21"/>
                      <w:szCs w:val="24"/>
                      <w:lang w:val="en-US" w:eastAsia="zh-CN" w:bidi="ar-SA"/>
                    </w:rPr>
                    <w:t>h/a</w:t>
                  </w:r>
                </w:p>
              </w:tc>
              <w:tc>
                <w:tcPr>
                  <w:tcW w:w="1954" w:type="dxa"/>
                  <w:tcBorders>
                    <w:tl2br w:val="nil"/>
                    <w:tr2bl w:val="nil"/>
                  </w:tcBorders>
                  <w:vAlign w:val="center"/>
                </w:tcPr>
                <w:p w14:paraId="43FEE1DB">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排放浓度（</w:t>
                  </w:r>
                  <w:r>
                    <w:rPr>
                      <w:rFonts w:ascii="Times New Roman" w:hAnsi="Times New Roman" w:eastAsia="宋体" w:cs="Times New Roman"/>
                      <w:color w:val="000000"/>
                      <w:kern w:val="2"/>
                      <w:sz w:val="21"/>
                      <w:szCs w:val="24"/>
                      <w:lang w:val="en-US" w:eastAsia="zh-CN" w:bidi="ar-SA"/>
                    </w:rPr>
                    <w:t>mg/m</w:t>
                  </w:r>
                  <w:r>
                    <w:rPr>
                      <w:rFonts w:ascii="Times New Roman" w:hAnsi="Times New Roman" w:eastAsia="宋体" w:cs="Times New Roman"/>
                      <w:color w:val="000000"/>
                      <w:kern w:val="2"/>
                      <w:sz w:val="21"/>
                      <w:szCs w:val="24"/>
                      <w:vertAlign w:val="superscript"/>
                      <w:lang w:val="en-US" w:eastAsia="zh-CN" w:bidi="ar-SA"/>
                    </w:rPr>
                    <w:t>3</w:t>
                  </w:r>
                  <w:r>
                    <w:rPr>
                      <w:rFonts w:hint="eastAsia" w:ascii="Times New Roman" w:hAnsi="Times New Roman" w:eastAsia="宋体" w:cs="Times New Roman"/>
                      <w:color w:val="000000"/>
                      <w:kern w:val="2"/>
                      <w:sz w:val="21"/>
                      <w:szCs w:val="24"/>
                      <w:lang w:val="en-US" w:eastAsia="zh-CN" w:bidi="ar-SA"/>
                    </w:rPr>
                    <w:t>）</w:t>
                  </w:r>
                </w:p>
              </w:tc>
              <w:tc>
                <w:tcPr>
                  <w:tcW w:w="1172" w:type="dxa"/>
                  <w:tcBorders>
                    <w:tl2br w:val="nil"/>
                    <w:tr2bl w:val="nil"/>
                  </w:tcBorders>
                  <w:vAlign w:val="center"/>
                </w:tcPr>
                <w:p w14:paraId="7E1BF2C2">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171" w:type="dxa"/>
                  <w:tcBorders>
                    <w:tl2br w:val="nil"/>
                    <w:tr2bl w:val="nil"/>
                  </w:tcBorders>
                  <w:vAlign w:val="center"/>
                </w:tcPr>
                <w:p w14:paraId="5F157D76">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1.0228</w:t>
                  </w:r>
                </w:p>
              </w:tc>
              <w:tc>
                <w:tcPr>
                  <w:tcW w:w="1172" w:type="dxa"/>
                  <w:tcBorders>
                    <w:tl2br w:val="nil"/>
                    <w:tr2bl w:val="nil"/>
                  </w:tcBorders>
                  <w:vAlign w:val="center"/>
                </w:tcPr>
                <w:p w14:paraId="5F69EB8D">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115.5682</w:t>
                  </w:r>
                </w:p>
              </w:tc>
            </w:tr>
            <w:tr w14:paraId="0D6ABD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3" w:hRule="atLeast"/>
                <w:jc w:val="center"/>
              </w:trPr>
              <w:tc>
                <w:tcPr>
                  <w:tcW w:w="1398" w:type="dxa"/>
                  <w:vMerge w:val="continue"/>
                  <w:tcBorders>
                    <w:tl2br w:val="nil"/>
                    <w:tr2bl w:val="nil"/>
                  </w:tcBorders>
                  <w:vAlign w:val="center"/>
                </w:tcPr>
                <w:p w14:paraId="6C568D4B">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223" w:type="dxa"/>
                  <w:vMerge w:val="continue"/>
                  <w:tcBorders>
                    <w:tl2br w:val="nil"/>
                    <w:tr2bl w:val="nil"/>
                  </w:tcBorders>
                  <w:vAlign w:val="center"/>
                </w:tcPr>
                <w:p w14:paraId="1090F1A8">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028" w:type="dxa"/>
                  <w:vMerge w:val="continue"/>
                  <w:tcBorders>
                    <w:tl2br w:val="nil"/>
                    <w:tr2bl w:val="nil"/>
                  </w:tcBorders>
                  <w:vAlign w:val="center"/>
                </w:tcPr>
                <w:p w14:paraId="618881F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954" w:type="dxa"/>
                  <w:tcBorders>
                    <w:tl2br w:val="nil"/>
                    <w:tr2bl w:val="nil"/>
                  </w:tcBorders>
                  <w:vAlign w:val="center"/>
                </w:tcPr>
                <w:p w14:paraId="543A834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排放速率（</w:t>
                  </w:r>
                  <w:r>
                    <w:rPr>
                      <w:rFonts w:ascii="Times New Roman" w:hAnsi="Times New Roman" w:eastAsia="宋体" w:cs="Times New Roman"/>
                      <w:color w:val="000000"/>
                      <w:kern w:val="2"/>
                      <w:sz w:val="21"/>
                      <w:szCs w:val="24"/>
                      <w:lang w:val="en-US" w:eastAsia="zh-CN" w:bidi="ar-SA"/>
                    </w:rPr>
                    <w:t>kg/h</w:t>
                  </w:r>
                  <w:r>
                    <w:rPr>
                      <w:rFonts w:hint="eastAsia" w:ascii="Times New Roman" w:hAnsi="Times New Roman" w:eastAsia="宋体" w:cs="Times New Roman"/>
                      <w:color w:val="000000"/>
                      <w:kern w:val="2"/>
                      <w:sz w:val="21"/>
                      <w:szCs w:val="24"/>
                      <w:lang w:val="en-US" w:eastAsia="zh-CN" w:bidi="ar-SA"/>
                    </w:rPr>
                    <w:t>）</w:t>
                  </w:r>
                </w:p>
              </w:tc>
              <w:tc>
                <w:tcPr>
                  <w:tcW w:w="1172" w:type="dxa"/>
                  <w:tcBorders>
                    <w:tl2br w:val="nil"/>
                    <w:tr2bl w:val="nil"/>
                  </w:tcBorders>
                  <w:vAlign w:val="center"/>
                </w:tcPr>
                <w:p w14:paraId="2C5C5AC4">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0.0176</w:t>
                  </w:r>
                </w:p>
              </w:tc>
              <w:tc>
                <w:tcPr>
                  <w:tcW w:w="1171" w:type="dxa"/>
                  <w:tcBorders>
                    <w:tl2br w:val="nil"/>
                    <w:tr2bl w:val="nil"/>
                  </w:tcBorders>
                  <w:vAlign w:val="center"/>
                </w:tcPr>
                <w:p w14:paraId="1E3E4C79">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0.0036</w:t>
                  </w:r>
                </w:p>
              </w:tc>
              <w:tc>
                <w:tcPr>
                  <w:tcW w:w="1172" w:type="dxa"/>
                  <w:tcBorders>
                    <w:tl2br w:val="nil"/>
                    <w:tr2bl w:val="nil"/>
                  </w:tcBorders>
                  <w:vAlign w:val="center"/>
                </w:tcPr>
                <w:p w14:paraId="152F8EF0">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0.4068</w:t>
                  </w:r>
                </w:p>
              </w:tc>
            </w:tr>
            <w:tr w14:paraId="35B91E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2" w:hRule="atLeast"/>
                <w:jc w:val="center"/>
              </w:trPr>
              <w:tc>
                <w:tcPr>
                  <w:tcW w:w="1398" w:type="dxa"/>
                  <w:vMerge w:val="continue"/>
                  <w:tcBorders>
                    <w:tl2br w:val="nil"/>
                    <w:tr2bl w:val="nil"/>
                  </w:tcBorders>
                  <w:vAlign w:val="center"/>
                </w:tcPr>
                <w:p w14:paraId="418966AE">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223" w:type="dxa"/>
                  <w:vMerge w:val="continue"/>
                  <w:tcBorders>
                    <w:tl2br w:val="nil"/>
                    <w:tr2bl w:val="nil"/>
                  </w:tcBorders>
                  <w:vAlign w:val="center"/>
                </w:tcPr>
                <w:p w14:paraId="56BED794">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028" w:type="dxa"/>
                  <w:vMerge w:val="continue"/>
                  <w:tcBorders>
                    <w:tl2br w:val="nil"/>
                    <w:tr2bl w:val="nil"/>
                  </w:tcBorders>
                  <w:vAlign w:val="center"/>
                </w:tcPr>
                <w:p w14:paraId="4908496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954" w:type="dxa"/>
                  <w:tcBorders>
                    <w:tl2br w:val="nil"/>
                    <w:tr2bl w:val="nil"/>
                  </w:tcBorders>
                  <w:vAlign w:val="center"/>
                </w:tcPr>
                <w:p w14:paraId="6E9604C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排放量（</w:t>
                  </w:r>
                  <w:r>
                    <w:rPr>
                      <w:rFonts w:ascii="Times New Roman" w:hAnsi="Times New Roman" w:eastAsia="宋体" w:cs="Times New Roman"/>
                      <w:color w:val="000000"/>
                      <w:kern w:val="2"/>
                      <w:sz w:val="21"/>
                      <w:szCs w:val="24"/>
                      <w:lang w:val="en-US" w:eastAsia="zh-CN" w:bidi="ar-SA"/>
                    </w:rPr>
                    <w:t>kg/a</w:t>
                  </w:r>
                  <w:r>
                    <w:rPr>
                      <w:rFonts w:hint="eastAsia" w:ascii="Times New Roman" w:hAnsi="Times New Roman" w:eastAsia="宋体" w:cs="Times New Roman"/>
                      <w:color w:val="000000"/>
                      <w:kern w:val="2"/>
                      <w:sz w:val="21"/>
                      <w:szCs w:val="24"/>
                      <w:lang w:val="en-US" w:eastAsia="zh-CN" w:bidi="ar-SA"/>
                    </w:rPr>
                    <w:t>）</w:t>
                  </w:r>
                </w:p>
              </w:tc>
              <w:tc>
                <w:tcPr>
                  <w:tcW w:w="1172" w:type="dxa"/>
                  <w:tcBorders>
                    <w:tl2br w:val="nil"/>
                    <w:tr2bl w:val="nil"/>
                  </w:tcBorders>
                  <w:vAlign w:val="center"/>
                </w:tcPr>
                <w:p w14:paraId="494CFD14">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0.4224</w:t>
                  </w:r>
                </w:p>
              </w:tc>
              <w:tc>
                <w:tcPr>
                  <w:tcW w:w="1171" w:type="dxa"/>
                  <w:tcBorders>
                    <w:tl2br w:val="nil"/>
                    <w:tr2bl w:val="nil"/>
                  </w:tcBorders>
                  <w:vAlign w:val="center"/>
                </w:tcPr>
                <w:p w14:paraId="0C68E03E">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0.0845</w:t>
                  </w:r>
                </w:p>
              </w:tc>
              <w:tc>
                <w:tcPr>
                  <w:tcW w:w="1172" w:type="dxa"/>
                  <w:tcBorders>
                    <w:tl2br w:val="nil"/>
                    <w:tr2bl w:val="nil"/>
                  </w:tcBorders>
                  <w:vAlign w:val="center"/>
                </w:tcPr>
                <w:p w14:paraId="6B0C9190">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9.7631</w:t>
                  </w:r>
                </w:p>
              </w:tc>
            </w:tr>
            <w:tr w14:paraId="01CED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7" w:hRule="atLeast"/>
                <w:jc w:val="center"/>
              </w:trPr>
              <w:tc>
                <w:tcPr>
                  <w:tcW w:w="3649" w:type="dxa"/>
                  <w:gridSpan w:val="3"/>
                  <w:tcBorders>
                    <w:tl2br w:val="nil"/>
                    <w:tr2bl w:val="nil"/>
                  </w:tcBorders>
                  <w:vAlign w:val="center"/>
                </w:tcPr>
                <w:p w14:paraId="25CB581C">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执行标准</w:t>
                  </w:r>
                </w:p>
              </w:tc>
              <w:tc>
                <w:tcPr>
                  <w:tcW w:w="1954" w:type="dxa"/>
                  <w:tcBorders>
                    <w:tl2br w:val="nil"/>
                    <w:tr2bl w:val="nil"/>
                  </w:tcBorders>
                  <w:vAlign w:val="center"/>
                </w:tcPr>
                <w:p w14:paraId="5D21928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标准限值（</w:t>
                  </w:r>
                  <w:r>
                    <w:rPr>
                      <w:rFonts w:ascii="Times New Roman" w:hAnsi="Times New Roman" w:eastAsia="宋体" w:cs="Times New Roman"/>
                      <w:color w:val="000000"/>
                      <w:kern w:val="2"/>
                      <w:sz w:val="21"/>
                      <w:szCs w:val="24"/>
                      <w:lang w:val="en-US" w:eastAsia="zh-CN" w:bidi="ar-SA"/>
                    </w:rPr>
                    <w:t>mg/m</w:t>
                  </w:r>
                  <w:r>
                    <w:rPr>
                      <w:rFonts w:ascii="Times New Roman" w:hAnsi="Times New Roman" w:eastAsia="宋体" w:cs="Times New Roman"/>
                      <w:color w:val="000000"/>
                      <w:kern w:val="2"/>
                      <w:sz w:val="21"/>
                      <w:szCs w:val="24"/>
                      <w:vertAlign w:val="superscript"/>
                      <w:lang w:val="en-US" w:eastAsia="zh-CN" w:bidi="ar-SA"/>
                    </w:rPr>
                    <w:t>3</w:t>
                  </w:r>
                  <w:r>
                    <w:rPr>
                      <w:rFonts w:hint="eastAsia" w:ascii="Times New Roman" w:hAnsi="Times New Roman" w:eastAsia="宋体" w:cs="Times New Roman"/>
                      <w:color w:val="000000"/>
                      <w:kern w:val="2"/>
                      <w:sz w:val="21"/>
                      <w:szCs w:val="24"/>
                      <w:lang w:val="en-US" w:eastAsia="zh-CN" w:bidi="ar-SA"/>
                    </w:rPr>
                    <w:t>）</w:t>
                  </w:r>
                </w:p>
              </w:tc>
              <w:tc>
                <w:tcPr>
                  <w:tcW w:w="1172" w:type="dxa"/>
                  <w:tcBorders>
                    <w:tl2br w:val="nil"/>
                    <w:tr2bl w:val="nil"/>
                  </w:tcBorders>
                  <w:vAlign w:val="center"/>
                </w:tcPr>
                <w:p w14:paraId="12CD097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120</w:t>
                  </w:r>
                </w:p>
              </w:tc>
              <w:tc>
                <w:tcPr>
                  <w:tcW w:w="1171" w:type="dxa"/>
                  <w:tcBorders>
                    <w:tl2br w:val="nil"/>
                    <w:tr2bl w:val="nil"/>
                  </w:tcBorders>
                  <w:vAlign w:val="center"/>
                </w:tcPr>
                <w:p w14:paraId="0AC69AB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5</w:t>
                  </w:r>
                  <w:r>
                    <w:rPr>
                      <w:rFonts w:hint="eastAsia" w:ascii="Times New Roman" w:hAnsi="Times New Roman" w:eastAsia="宋体" w:cs="Times New Roman"/>
                      <w:color w:val="000000"/>
                      <w:kern w:val="2"/>
                      <w:sz w:val="21"/>
                      <w:szCs w:val="24"/>
                      <w:lang w:val="en-US" w:eastAsia="zh-CN" w:bidi="ar-SA"/>
                    </w:rPr>
                    <w:t>5</w:t>
                  </w:r>
                  <w:r>
                    <w:rPr>
                      <w:rFonts w:ascii="Times New Roman" w:hAnsi="Times New Roman" w:eastAsia="宋体" w:cs="Times New Roman"/>
                      <w:color w:val="000000"/>
                      <w:kern w:val="2"/>
                      <w:sz w:val="21"/>
                      <w:szCs w:val="24"/>
                      <w:lang w:val="en-US" w:eastAsia="zh-CN" w:bidi="ar-SA"/>
                    </w:rPr>
                    <w:t>0</w:t>
                  </w:r>
                </w:p>
              </w:tc>
              <w:tc>
                <w:tcPr>
                  <w:tcW w:w="1172" w:type="dxa"/>
                  <w:tcBorders>
                    <w:tl2br w:val="nil"/>
                    <w:tr2bl w:val="nil"/>
                  </w:tcBorders>
                  <w:vAlign w:val="center"/>
                </w:tcPr>
                <w:p w14:paraId="4A3262AD">
                  <w:pPr>
                    <w:widowControl w:val="0"/>
                    <w:adjustRightInd w:val="0"/>
                    <w:snapToGrid w:val="0"/>
                    <w:spacing w:line="240" w:lineRule="auto"/>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240</w:t>
                  </w:r>
                </w:p>
              </w:tc>
            </w:tr>
          </w:tbl>
          <w:p w14:paraId="5817BAFD">
            <w:pPr>
              <w:widowControl w:val="0"/>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 w:val="24"/>
                <w:szCs w:val="20"/>
                <w:lang w:val="en-US" w:eastAsia="zh-CN" w:bidi="ar-SA"/>
              </w:rPr>
            </w:pPr>
          </w:p>
          <w:p w14:paraId="0606FB8D">
            <w:pPr>
              <w:adjustRightInd w:val="0"/>
              <w:snapToGrid w:val="0"/>
              <w:ind w:firstLine="482" w:firstLineChars="200"/>
              <w:rPr>
                <w:b/>
                <w:bCs/>
              </w:rPr>
            </w:pPr>
            <w:r>
              <w:rPr>
                <w:rFonts w:hint="eastAsia"/>
                <w:b/>
                <w:bCs/>
              </w:rPr>
              <w:t>2、生产废气治理措施及产排情况汇总</w:t>
            </w:r>
          </w:p>
          <w:p w14:paraId="15A62483">
            <w:pPr>
              <w:adjustRightInd w:val="0"/>
              <w:snapToGrid w:val="0"/>
              <w:ind w:firstLine="480" w:firstLineChars="200"/>
            </w:pPr>
            <w:r>
              <w:t>为减少</w:t>
            </w:r>
            <w:r>
              <w:rPr>
                <w:rFonts w:hint="eastAsia"/>
              </w:rPr>
              <w:t>大气污染物</w:t>
            </w:r>
            <w:r>
              <w:t>的排放，</w:t>
            </w:r>
            <w:r>
              <w:rPr>
                <w:rFonts w:hint="eastAsia"/>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在液氨球罐、氨水储罐和氨水中间罐</w:t>
            </w:r>
            <w:r>
              <w:rPr>
                <w:rFonts w:hint="eastAsia"/>
                <w:color w:val="000000" w:themeColor="text1"/>
                <w14:textFill>
                  <w14:solidFill>
                    <w14:schemeClr w14:val="tx1"/>
                  </w14:solidFill>
                </w14:textFill>
              </w:rPr>
              <w:t>设置</w:t>
            </w:r>
            <w:r>
              <w:rPr>
                <w:rFonts w:hint="eastAsia"/>
                <w:color w:val="000000" w:themeColor="text1"/>
                <w:lang w:eastAsia="zh-CN"/>
                <w14:textFill>
                  <w14:solidFill>
                    <w14:schemeClr w14:val="tx1"/>
                  </w14:solidFill>
                </w14:textFill>
              </w:rPr>
              <w:t>有大小呼吸阀门，大小呼吸阀门密闭连接至尾气吸收塔</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尾气吸收塔内设置二级喷淋装置利用纯水从上至下喷淋收集到的废气</w:t>
            </w:r>
            <w:r>
              <w:rPr>
                <w:rFonts w:hint="eastAsia"/>
                <w:color w:val="000000" w:themeColor="text1"/>
                <w14:textFill>
                  <w14:solidFill>
                    <w14:schemeClr w14:val="tx1"/>
                  </w14:solidFill>
                </w14:textFill>
              </w:rPr>
              <w:t>，处理后尾气引至15m高排气筒排放</w:t>
            </w:r>
            <w:r>
              <w:t>。</w:t>
            </w:r>
            <w:r>
              <w:rPr>
                <w:rFonts w:hint="eastAsia"/>
                <w:lang w:eastAsia="zh-CN"/>
              </w:rPr>
              <w:t>尾气吸收塔</w:t>
            </w:r>
            <w:r>
              <w:rPr>
                <w:rFonts w:hint="eastAsia"/>
              </w:rPr>
              <w:t>设计风量为1</w:t>
            </w:r>
            <w:r>
              <w:rPr>
                <w:rFonts w:hint="eastAsia"/>
                <w:lang w:val="en-US" w:eastAsia="zh-CN"/>
              </w:rPr>
              <w:t>5</w:t>
            </w:r>
            <w:r>
              <w:rPr>
                <w:rFonts w:hint="eastAsia"/>
              </w:rPr>
              <w:t>000m</w:t>
            </w:r>
            <w:r>
              <w:rPr>
                <w:rFonts w:hint="eastAsia"/>
                <w:vertAlign w:val="superscript"/>
              </w:rPr>
              <w:t>3</w:t>
            </w:r>
            <w:r>
              <w:rPr>
                <w:rFonts w:hint="eastAsia"/>
              </w:rPr>
              <w:t>/h。</w:t>
            </w:r>
          </w:p>
          <w:p w14:paraId="08A932FD">
            <w:pPr>
              <w:adjustRightInd w:val="0"/>
              <w:snapToGrid w:val="0"/>
              <w:ind w:firstLine="480" w:firstLineChars="200"/>
            </w:pPr>
            <w:r>
              <w:rPr>
                <w:rFonts w:hint="eastAsia"/>
              </w:rPr>
              <w:t>参考《三废处理工程技术手册-废气卷》，吸收法（用吸收塔处理，用水或稀酸碱液进行吸收）处理效率≧95%。本次评价按95%计。</w:t>
            </w:r>
          </w:p>
          <w:p w14:paraId="1C624A13">
            <w:pPr>
              <w:pStyle w:val="16"/>
              <w:rPr>
                <w:rFonts w:hint="default"/>
              </w:rPr>
            </w:pPr>
          </w:p>
          <w:p w14:paraId="7BA809B2">
            <w:pPr>
              <w:adjustRightInd w:val="0"/>
              <w:snapToGrid w:val="0"/>
              <w:ind w:firstLine="480" w:firstLineChars="200"/>
              <w:jc w:val="left"/>
            </w:pPr>
          </w:p>
        </w:tc>
      </w:tr>
    </w:tbl>
    <w:p w14:paraId="3A86D9D2">
      <w:pPr>
        <w:tabs>
          <w:tab w:val="left" w:pos="649"/>
        </w:tabs>
        <w:adjustRightInd w:val="0"/>
        <w:snapToGrid w:val="0"/>
        <w:ind w:firstLine="480" w:firstLineChars="200"/>
        <w:rPr>
          <w:rFonts w:cs="宋体"/>
        </w:rPr>
      </w:pPr>
    </w:p>
    <w:p w14:paraId="36B77086">
      <w:pPr>
        <w:tabs>
          <w:tab w:val="left" w:pos="649"/>
        </w:tabs>
        <w:adjustRightInd w:val="0"/>
        <w:snapToGrid w:val="0"/>
        <w:ind w:firstLine="480" w:firstLineChars="200"/>
        <w:rPr>
          <w:rFonts w:cs="宋体"/>
        </w:rPr>
        <w:sectPr>
          <w:pgSz w:w="11907" w:h="16840"/>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155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4860"/>
      </w:tblGrid>
      <w:tr w14:paraId="2E662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9" w:hRule="atLeast"/>
          <w:jc w:val="center"/>
        </w:trPr>
        <w:tc>
          <w:tcPr>
            <w:tcW w:w="649" w:type="dxa"/>
            <w:tcMar>
              <w:left w:w="28" w:type="dxa"/>
              <w:right w:w="28" w:type="dxa"/>
            </w:tcMar>
            <w:vAlign w:val="center"/>
          </w:tcPr>
          <w:p w14:paraId="167479BC">
            <w:pPr>
              <w:adjustRightInd w:val="0"/>
              <w:snapToGrid w:val="0"/>
              <w:spacing w:line="240" w:lineRule="auto"/>
              <w:jc w:val="center"/>
              <w:rPr>
                <w:rFonts w:cs="宋体"/>
              </w:rPr>
            </w:pPr>
          </w:p>
        </w:tc>
        <w:tc>
          <w:tcPr>
            <w:tcW w:w="14860" w:type="dxa"/>
            <w:vAlign w:val="center"/>
          </w:tcPr>
          <w:p w14:paraId="70D20CE1">
            <w:pPr>
              <w:adjustRightInd w:val="0"/>
              <w:snapToGrid w:val="0"/>
              <w:ind w:firstLine="480" w:firstLineChars="200"/>
            </w:pPr>
            <w:r>
              <w:rPr>
                <w:rFonts w:hint="eastAsia"/>
              </w:rPr>
              <w:t>本项目</w:t>
            </w:r>
            <w:r>
              <w:rPr>
                <w:rFonts w:hint="eastAsia"/>
                <w:lang w:eastAsia="zh-CN"/>
              </w:rPr>
              <w:t>各储罐</w:t>
            </w:r>
            <w:r>
              <w:rPr>
                <w:rFonts w:hint="eastAsia"/>
              </w:rPr>
              <w:t>均为密闭</w:t>
            </w:r>
            <w:r>
              <w:rPr>
                <w:rFonts w:hint="eastAsia"/>
                <w:lang w:eastAsia="zh-CN"/>
              </w:rPr>
              <w:t>储罐，其大小呼吸阀门通过阀门与尾气吸收塔密闭连接</w:t>
            </w:r>
            <w:r>
              <w:rPr>
                <w:rFonts w:hint="eastAsia"/>
              </w:rPr>
              <w:t>，其产生的</w:t>
            </w:r>
            <w:r>
              <w:rPr>
                <w:rFonts w:hint="eastAsia"/>
                <w:lang w:eastAsia="zh-CN"/>
              </w:rPr>
              <w:t>氨</w:t>
            </w:r>
            <w:r>
              <w:rPr>
                <w:rFonts w:hint="eastAsia"/>
              </w:rPr>
              <w:t>废气经</w:t>
            </w:r>
            <w:r>
              <w:rPr>
                <w:rFonts w:hint="eastAsia"/>
                <w:lang w:eastAsia="zh-CN"/>
              </w:rPr>
              <w:t>管道排入尾气吸收塔进行处理</w:t>
            </w:r>
            <w:r>
              <w:rPr>
                <w:rFonts w:hint="eastAsia"/>
              </w:rPr>
              <w:t>，处理后尾气</w:t>
            </w:r>
            <w:r>
              <w:rPr>
                <w:rFonts w:hint="eastAsia"/>
                <w:lang w:eastAsia="zh-CN"/>
              </w:rPr>
              <w:t>通过尾气吸收塔</w:t>
            </w:r>
            <w:r>
              <w:rPr>
                <w:rFonts w:hint="eastAsia"/>
              </w:rPr>
              <w:t>15m高排气筒（DA001）排放。本项目</w:t>
            </w:r>
            <w:r>
              <w:rPr>
                <w:rFonts w:hint="eastAsia"/>
                <w:lang w:eastAsia="zh-CN"/>
              </w:rPr>
              <w:t>尾气吸收塔</w:t>
            </w:r>
            <w:r>
              <w:rPr>
                <w:rFonts w:hint="eastAsia"/>
              </w:rPr>
              <w:t>设计风量为</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rPr>
              <w:t>，</w:t>
            </w:r>
            <w:r>
              <w:rPr>
                <w:rFonts w:hint="eastAsia"/>
                <w:lang w:eastAsia="zh-CN"/>
              </w:rPr>
              <w:t>每个液氨球罐</w:t>
            </w:r>
            <w:r>
              <w:rPr>
                <w:rFonts w:hint="eastAsia"/>
              </w:rPr>
              <w:t>设计风量均为</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eastAsia="宋体"/>
                <w:lang w:eastAsia="zh-CN"/>
              </w:rPr>
              <w:t>每个氨水储罐</w:t>
            </w:r>
            <w:r>
              <w:rPr>
                <w:rFonts w:hint="eastAsia"/>
              </w:rPr>
              <w:t>设计风量均为</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rPr>
              <w:t>，</w:t>
            </w:r>
            <w:r>
              <w:rPr>
                <w:rFonts w:hint="eastAsia" w:eastAsia="宋体"/>
                <w:lang w:eastAsia="zh-CN"/>
              </w:rPr>
              <w:t>每个氨水中间罐</w:t>
            </w:r>
            <w:r>
              <w:rPr>
                <w:rFonts w:hint="eastAsia"/>
              </w:rPr>
              <w:t>设计风量均为</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r>
              <w:rPr>
                <w:rFonts w:hint="eastAsia"/>
              </w:rPr>
              <w:t>，</w:t>
            </w:r>
            <w:r>
              <w:rPr>
                <w:rFonts w:hint="eastAsia"/>
                <w:lang w:eastAsia="zh-CN"/>
              </w:rPr>
              <w:t>尾气吸收塔</w:t>
            </w:r>
            <w:r>
              <w:rPr>
                <w:rFonts w:hint="eastAsia"/>
              </w:rPr>
              <w:t>对</w:t>
            </w:r>
            <w:r>
              <w:rPr>
                <w:rFonts w:hint="eastAsia"/>
                <w:lang w:eastAsia="zh-CN"/>
              </w:rPr>
              <w:t>氨</w:t>
            </w:r>
            <w:r>
              <w:rPr>
                <w:rFonts w:hint="eastAsia"/>
              </w:rPr>
              <w:t>去除率</w:t>
            </w:r>
            <w:r>
              <w:rPr>
                <w:rFonts w:hint="eastAsia"/>
                <w:color w:val="000000" w:themeColor="text1"/>
                <w14:textFill>
                  <w14:solidFill>
                    <w14:schemeClr w14:val="tx1"/>
                  </w14:solidFill>
                </w14:textFill>
              </w:rPr>
              <w:t>约为</w:t>
            </w:r>
            <w:r>
              <w:rPr>
                <w:rFonts w:hint="eastAsia"/>
                <w:color w:val="000000" w:themeColor="text1"/>
                <w:lang w:val="en-US" w:eastAsia="zh-CN"/>
                <w14:textFill>
                  <w14:solidFill>
                    <w14:schemeClr w14:val="tx1"/>
                  </w14:solidFill>
                </w14:textFill>
              </w:rPr>
              <w:t>95</w:t>
            </w:r>
            <w:r>
              <w:rPr>
                <w:rFonts w:hint="eastAsia"/>
                <w:color w:val="000000" w:themeColor="text1"/>
                <w14:textFill>
                  <w14:solidFill>
                    <w14:schemeClr w14:val="tx1"/>
                  </w14:solidFill>
                </w14:textFill>
              </w:rPr>
              <w:t>%</w:t>
            </w:r>
            <w:r>
              <w:rPr>
                <w:rFonts w:hint="eastAsia"/>
              </w:rPr>
              <w:t>。</w:t>
            </w:r>
          </w:p>
          <w:p w14:paraId="7C17245A">
            <w:pPr>
              <w:autoSpaceDE w:val="0"/>
              <w:autoSpaceDN w:val="0"/>
              <w:adjustRightInd w:val="0"/>
              <w:snapToGrid w:val="0"/>
              <w:spacing w:line="240" w:lineRule="auto"/>
              <w:jc w:val="center"/>
              <w:textAlignment w:val="baseline"/>
              <w:rPr>
                <w:b/>
                <w:kern w:val="24"/>
                <w:szCs w:val="20"/>
              </w:rPr>
            </w:pPr>
            <w:r>
              <w:rPr>
                <w:rFonts w:hint="eastAsia"/>
                <w:b/>
                <w:kern w:val="24"/>
                <w:szCs w:val="20"/>
              </w:rPr>
              <w:t>表4-7 各工序废气污染控制措施一览表</w:t>
            </w:r>
          </w:p>
          <w:tbl>
            <w:tblPr>
              <w:tblStyle w:val="12"/>
              <w:tblW w:w="143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78"/>
              <w:gridCol w:w="1559"/>
              <w:gridCol w:w="1272"/>
              <w:gridCol w:w="761"/>
              <w:gridCol w:w="3443"/>
              <w:gridCol w:w="2315"/>
              <w:gridCol w:w="3489"/>
            </w:tblGrid>
            <w:tr w14:paraId="6BC0E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3" w:hRule="atLeast"/>
                <w:tblHeader/>
                <w:jc w:val="center"/>
              </w:trPr>
              <w:tc>
                <w:tcPr>
                  <w:tcW w:w="1478" w:type="dxa"/>
                  <w:tcBorders>
                    <w:tl2br w:val="nil"/>
                    <w:tr2bl w:val="nil"/>
                  </w:tcBorders>
                  <w:vAlign w:val="center"/>
                </w:tcPr>
                <w:p w14:paraId="46F1D6B7">
                  <w:pPr>
                    <w:pStyle w:val="14"/>
                    <w:jc w:val="center"/>
                    <w:rPr>
                      <w:b/>
                      <w:bCs/>
                    </w:rPr>
                  </w:pPr>
                  <w:r>
                    <w:rPr>
                      <w:rFonts w:hint="eastAsia"/>
                      <w:b/>
                      <w:bCs/>
                    </w:rPr>
                    <w:t>产污节点</w:t>
                  </w:r>
                </w:p>
              </w:tc>
              <w:tc>
                <w:tcPr>
                  <w:tcW w:w="1559" w:type="dxa"/>
                  <w:tcBorders>
                    <w:tl2br w:val="nil"/>
                    <w:tr2bl w:val="nil"/>
                  </w:tcBorders>
                  <w:vAlign w:val="center"/>
                </w:tcPr>
                <w:p w14:paraId="523487DB">
                  <w:pPr>
                    <w:pStyle w:val="14"/>
                    <w:jc w:val="center"/>
                    <w:rPr>
                      <w:b/>
                      <w:bCs/>
                    </w:rPr>
                  </w:pPr>
                  <w:r>
                    <w:rPr>
                      <w:rFonts w:hint="eastAsia"/>
                      <w:b/>
                      <w:bCs/>
                    </w:rPr>
                    <w:t>收集控制措施</w:t>
                  </w:r>
                </w:p>
              </w:tc>
              <w:tc>
                <w:tcPr>
                  <w:tcW w:w="2033" w:type="dxa"/>
                  <w:gridSpan w:val="2"/>
                  <w:tcBorders>
                    <w:tl2br w:val="nil"/>
                    <w:tr2bl w:val="nil"/>
                  </w:tcBorders>
                  <w:vAlign w:val="center"/>
                </w:tcPr>
                <w:p w14:paraId="3FE229D1">
                  <w:pPr>
                    <w:pStyle w:val="14"/>
                    <w:jc w:val="center"/>
                    <w:rPr>
                      <w:b/>
                      <w:bCs/>
                    </w:rPr>
                  </w:pPr>
                  <w:r>
                    <w:rPr>
                      <w:rFonts w:hint="eastAsia"/>
                      <w:b/>
                      <w:bCs/>
                    </w:rPr>
                    <w:t>设计风量m</w:t>
                  </w:r>
                  <w:r>
                    <w:rPr>
                      <w:rFonts w:hint="eastAsia"/>
                      <w:b/>
                      <w:bCs/>
                      <w:vertAlign w:val="superscript"/>
                    </w:rPr>
                    <w:t>3</w:t>
                  </w:r>
                  <w:r>
                    <w:rPr>
                      <w:rFonts w:hint="eastAsia"/>
                      <w:b/>
                      <w:bCs/>
                    </w:rPr>
                    <w:t>/h</w:t>
                  </w:r>
                </w:p>
              </w:tc>
              <w:tc>
                <w:tcPr>
                  <w:tcW w:w="3443" w:type="dxa"/>
                  <w:tcBorders>
                    <w:tl2br w:val="nil"/>
                    <w:tr2bl w:val="nil"/>
                  </w:tcBorders>
                  <w:vAlign w:val="center"/>
                </w:tcPr>
                <w:p w14:paraId="010A5075">
                  <w:pPr>
                    <w:pStyle w:val="14"/>
                    <w:jc w:val="center"/>
                    <w:rPr>
                      <w:b/>
                      <w:bCs/>
                    </w:rPr>
                  </w:pPr>
                  <w:r>
                    <w:rPr>
                      <w:rFonts w:hint="eastAsia"/>
                      <w:b/>
                      <w:bCs/>
                    </w:rPr>
                    <w:t>治理设施</w:t>
                  </w:r>
                </w:p>
              </w:tc>
              <w:tc>
                <w:tcPr>
                  <w:tcW w:w="2315" w:type="dxa"/>
                  <w:tcBorders>
                    <w:tl2br w:val="nil"/>
                    <w:tr2bl w:val="nil"/>
                  </w:tcBorders>
                  <w:vAlign w:val="center"/>
                </w:tcPr>
                <w:p w14:paraId="2951DDEF">
                  <w:pPr>
                    <w:pStyle w:val="14"/>
                    <w:jc w:val="center"/>
                    <w:rPr>
                      <w:b/>
                      <w:bCs/>
                    </w:rPr>
                  </w:pPr>
                  <w:r>
                    <w:rPr>
                      <w:rFonts w:hint="eastAsia"/>
                      <w:b/>
                      <w:bCs/>
                    </w:rPr>
                    <w:t>排放方式及排气筒编号</w:t>
                  </w:r>
                </w:p>
              </w:tc>
              <w:tc>
                <w:tcPr>
                  <w:tcW w:w="3489" w:type="dxa"/>
                  <w:tcBorders>
                    <w:tl2br w:val="nil"/>
                    <w:tr2bl w:val="nil"/>
                  </w:tcBorders>
                  <w:vAlign w:val="center"/>
                </w:tcPr>
                <w:p w14:paraId="78DB5E16">
                  <w:pPr>
                    <w:pStyle w:val="14"/>
                    <w:jc w:val="center"/>
                    <w:rPr>
                      <w:b/>
                      <w:bCs/>
                    </w:rPr>
                  </w:pPr>
                  <w:r>
                    <w:rPr>
                      <w:rFonts w:hint="eastAsia"/>
                      <w:b/>
                      <w:bCs/>
                    </w:rPr>
                    <w:t>备注</w:t>
                  </w:r>
                </w:p>
              </w:tc>
            </w:tr>
            <w:tr w14:paraId="6B441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3" w:hRule="atLeast"/>
                <w:jc w:val="center"/>
              </w:trPr>
              <w:tc>
                <w:tcPr>
                  <w:tcW w:w="1478" w:type="dxa"/>
                  <w:tcBorders>
                    <w:tl2br w:val="nil"/>
                    <w:tr2bl w:val="nil"/>
                  </w:tcBorders>
                  <w:vAlign w:val="center"/>
                </w:tcPr>
                <w:p w14:paraId="0B34EBA2">
                  <w:pPr>
                    <w:pStyle w:val="14"/>
                    <w:jc w:val="center"/>
                    <w:rPr>
                      <w:rFonts w:hint="eastAsia" w:eastAsia="宋体"/>
                      <w:lang w:eastAsia="zh-CN"/>
                    </w:rPr>
                  </w:pPr>
                  <w:r>
                    <w:rPr>
                      <w:rFonts w:hint="eastAsia"/>
                      <w:lang w:eastAsia="zh-CN"/>
                    </w:rPr>
                    <w:t>液氨储罐</w:t>
                  </w:r>
                </w:p>
              </w:tc>
              <w:tc>
                <w:tcPr>
                  <w:tcW w:w="1559" w:type="dxa"/>
                  <w:tcBorders>
                    <w:tl2br w:val="nil"/>
                    <w:tr2bl w:val="nil"/>
                  </w:tcBorders>
                  <w:vAlign w:val="center"/>
                </w:tcPr>
                <w:p w14:paraId="2ED88E28">
                  <w:pPr>
                    <w:pStyle w:val="14"/>
                    <w:jc w:val="center"/>
                    <w:rPr>
                      <w:rFonts w:hint="eastAsia" w:eastAsia="宋体"/>
                      <w:lang w:eastAsia="zh-CN"/>
                    </w:rPr>
                  </w:pPr>
                  <w:r>
                    <w:rPr>
                      <w:rFonts w:hint="eastAsia"/>
                      <w:lang w:eastAsia="zh-CN"/>
                    </w:rPr>
                    <w:t>呼吸阀直连</w:t>
                  </w:r>
                </w:p>
              </w:tc>
              <w:tc>
                <w:tcPr>
                  <w:tcW w:w="1272" w:type="dxa"/>
                  <w:tcBorders>
                    <w:tl2br w:val="nil"/>
                    <w:tr2bl w:val="nil"/>
                  </w:tcBorders>
                  <w:vAlign w:val="center"/>
                </w:tcPr>
                <w:p w14:paraId="44DC0F22">
                  <w:pPr>
                    <w:pStyle w:val="14"/>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4*60</w:t>
                  </w:r>
                </w:p>
              </w:tc>
              <w:tc>
                <w:tcPr>
                  <w:tcW w:w="761" w:type="dxa"/>
                  <w:vMerge w:val="restart"/>
                  <w:tcBorders>
                    <w:tl2br w:val="nil"/>
                    <w:tr2bl w:val="nil"/>
                  </w:tcBorders>
                  <w:vAlign w:val="center"/>
                </w:tcPr>
                <w:p w14:paraId="092F6FB8">
                  <w:pPr>
                    <w:pStyle w:val="14"/>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00</w:t>
                  </w:r>
                </w:p>
              </w:tc>
              <w:tc>
                <w:tcPr>
                  <w:tcW w:w="3443" w:type="dxa"/>
                  <w:tcBorders>
                    <w:tl2br w:val="nil"/>
                    <w:tr2bl w:val="nil"/>
                  </w:tcBorders>
                  <w:vAlign w:val="center"/>
                </w:tcPr>
                <w:p w14:paraId="681B0E2E">
                  <w:pPr>
                    <w:pStyle w:val="14"/>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尾气吸收塔（二级水喷淋）</w:t>
                  </w:r>
                </w:p>
              </w:tc>
              <w:tc>
                <w:tcPr>
                  <w:tcW w:w="2315" w:type="dxa"/>
                  <w:tcBorders>
                    <w:tl2br w:val="nil"/>
                    <w:tr2bl w:val="nil"/>
                  </w:tcBorders>
                  <w:vAlign w:val="center"/>
                </w:tcPr>
                <w:p w14:paraId="73F76DC8">
                  <w:pPr>
                    <w:pStyle w:val="14"/>
                    <w:jc w:val="center"/>
                  </w:pPr>
                  <w:r>
                    <w:rPr>
                      <w:rFonts w:hint="eastAsia"/>
                    </w:rPr>
                    <w:t>有组织排放</w:t>
                  </w:r>
                </w:p>
              </w:tc>
              <w:tc>
                <w:tcPr>
                  <w:tcW w:w="3489" w:type="dxa"/>
                  <w:vMerge w:val="restart"/>
                  <w:tcBorders>
                    <w:tl2br w:val="nil"/>
                    <w:tr2bl w:val="nil"/>
                  </w:tcBorders>
                  <w:vAlign w:val="center"/>
                </w:tcPr>
                <w:p w14:paraId="6EC20DE1">
                  <w:pPr>
                    <w:pStyle w:val="14"/>
                    <w:jc w:val="center"/>
                  </w:pPr>
                  <w:r>
                    <w:rPr>
                      <w:rFonts w:hint="eastAsia"/>
                    </w:rPr>
                    <w:t>对氨去除率约为95%</w:t>
                  </w:r>
                </w:p>
              </w:tc>
            </w:tr>
            <w:tr w14:paraId="4BF82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3" w:hRule="atLeast"/>
                <w:jc w:val="center"/>
              </w:trPr>
              <w:tc>
                <w:tcPr>
                  <w:tcW w:w="1478" w:type="dxa"/>
                  <w:tcBorders>
                    <w:tl2br w:val="nil"/>
                    <w:tr2bl w:val="nil"/>
                  </w:tcBorders>
                  <w:vAlign w:val="center"/>
                </w:tcPr>
                <w:p w14:paraId="6720620C">
                  <w:pPr>
                    <w:pStyle w:val="14"/>
                    <w:jc w:val="center"/>
                    <w:rPr>
                      <w:rFonts w:hint="eastAsia" w:eastAsia="宋体"/>
                      <w:lang w:eastAsia="zh-CN"/>
                    </w:rPr>
                  </w:pPr>
                  <w:r>
                    <w:rPr>
                      <w:rFonts w:hint="eastAsia"/>
                      <w:lang w:eastAsia="zh-CN"/>
                    </w:rPr>
                    <w:t>氨水中间罐</w:t>
                  </w:r>
                </w:p>
              </w:tc>
              <w:tc>
                <w:tcPr>
                  <w:tcW w:w="1559" w:type="dxa"/>
                  <w:tcBorders>
                    <w:tl2br w:val="nil"/>
                    <w:tr2bl w:val="nil"/>
                  </w:tcBorders>
                  <w:vAlign w:val="center"/>
                </w:tcPr>
                <w:p w14:paraId="4AF2026A">
                  <w:pPr>
                    <w:pStyle w:val="14"/>
                    <w:jc w:val="center"/>
                    <w:rPr>
                      <w:rFonts w:hint="eastAsia"/>
                    </w:rPr>
                  </w:pPr>
                  <w:r>
                    <w:rPr>
                      <w:rFonts w:hint="eastAsia"/>
                    </w:rPr>
                    <w:t>呼吸阀直连</w:t>
                  </w:r>
                </w:p>
              </w:tc>
              <w:tc>
                <w:tcPr>
                  <w:tcW w:w="1272" w:type="dxa"/>
                  <w:tcBorders>
                    <w:tl2br w:val="nil"/>
                    <w:tr2bl w:val="nil"/>
                  </w:tcBorders>
                  <w:vAlign w:val="center"/>
                </w:tcPr>
                <w:p w14:paraId="43D0B3E3">
                  <w:pPr>
                    <w:pStyle w:val="14"/>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w:t>
                  </w:r>
                </w:p>
              </w:tc>
              <w:tc>
                <w:tcPr>
                  <w:tcW w:w="761" w:type="dxa"/>
                  <w:vMerge w:val="continue"/>
                  <w:tcBorders>
                    <w:tl2br w:val="nil"/>
                    <w:tr2bl w:val="nil"/>
                  </w:tcBorders>
                  <w:vAlign w:val="center"/>
                </w:tcPr>
                <w:p w14:paraId="09D50049">
                  <w:pPr>
                    <w:pStyle w:val="14"/>
                    <w:jc w:val="center"/>
                    <w:rPr>
                      <w:color w:val="000000" w:themeColor="text1"/>
                      <w14:textFill>
                        <w14:solidFill>
                          <w14:schemeClr w14:val="tx1"/>
                        </w14:solidFill>
                      </w14:textFill>
                    </w:rPr>
                  </w:pPr>
                </w:p>
              </w:tc>
              <w:tc>
                <w:tcPr>
                  <w:tcW w:w="3443" w:type="dxa"/>
                  <w:tcBorders>
                    <w:tl2br w:val="nil"/>
                    <w:tr2bl w:val="nil"/>
                  </w:tcBorders>
                  <w:vAlign w:val="center"/>
                </w:tcPr>
                <w:p w14:paraId="6F6452F3">
                  <w:pPr>
                    <w:pStyle w:val="14"/>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尾气吸收塔（二级水喷淋）</w:t>
                  </w:r>
                </w:p>
              </w:tc>
              <w:tc>
                <w:tcPr>
                  <w:tcW w:w="2315" w:type="dxa"/>
                  <w:tcBorders>
                    <w:tl2br w:val="nil"/>
                    <w:tr2bl w:val="nil"/>
                  </w:tcBorders>
                  <w:vAlign w:val="center"/>
                </w:tcPr>
                <w:p w14:paraId="606D1BCB">
                  <w:pPr>
                    <w:pStyle w:val="14"/>
                    <w:jc w:val="center"/>
                    <w:rPr>
                      <w:rFonts w:hint="eastAsia"/>
                    </w:rPr>
                  </w:pPr>
                  <w:r>
                    <w:rPr>
                      <w:rFonts w:hint="eastAsia"/>
                    </w:rPr>
                    <w:t>有组织排放</w:t>
                  </w:r>
                </w:p>
              </w:tc>
              <w:tc>
                <w:tcPr>
                  <w:tcW w:w="3489" w:type="dxa"/>
                  <w:vMerge w:val="continue"/>
                  <w:tcBorders>
                    <w:tl2br w:val="nil"/>
                    <w:tr2bl w:val="nil"/>
                  </w:tcBorders>
                  <w:vAlign w:val="center"/>
                </w:tcPr>
                <w:p w14:paraId="2EBC634A">
                  <w:pPr>
                    <w:pStyle w:val="14"/>
                    <w:jc w:val="center"/>
                  </w:pPr>
                </w:p>
              </w:tc>
            </w:tr>
            <w:tr w14:paraId="47B62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3" w:hRule="atLeast"/>
                <w:jc w:val="center"/>
              </w:trPr>
              <w:tc>
                <w:tcPr>
                  <w:tcW w:w="1478" w:type="dxa"/>
                  <w:tcBorders>
                    <w:tl2br w:val="nil"/>
                    <w:tr2bl w:val="nil"/>
                  </w:tcBorders>
                  <w:vAlign w:val="center"/>
                </w:tcPr>
                <w:p w14:paraId="6B8F1779">
                  <w:pPr>
                    <w:pStyle w:val="14"/>
                    <w:jc w:val="center"/>
                    <w:rPr>
                      <w:rFonts w:hint="eastAsia" w:eastAsia="宋体"/>
                      <w:lang w:eastAsia="zh-CN"/>
                    </w:rPr>
                  </w:pPr>
                  <w:r>
                    <w:rPr>
                      <w:rFonts w:hint="eastAsia"/>
                      <w:lang w:eastAsia="zh-CN"/>
                    </w:rPr>
                    <w:t>氨水储罐</w:t>
                  </w:r>
                </w:p>
              </w:tc>
              <w:tc>
                <w:tcPr>
                  <w:tcW w:w="1559" w:type="dxa"/>
                  <w:tcBorders>
                    <w:tl2br w:val="nil"/>
                    <w:tr2bl w:val="nil"/>
                  </w:tcBorders>
                  <w:vAlign w:val="center"/>
                </w:tcPr>
                <w:p w14:paraId="1687513E">
                  <w:pPr>
                    <w:pStyle w:val="14"/>
                    <w:jc w:val="center"/>
                  </w:pPr>
                  <w:r>
                    <w:rPr>
                      <w:rFonts w:hint="eastAsia"/>
                    </w:rPr>
                    <w:t>呼吸阀直连</w:t>
                  </w:r>
                </w:p>
              </w:tc>
              <w:tc>
                <w:tcPr>
                  <w:tcW w:w="1272" w:type="dxa"/>
                  <w:tcBorders>
                    <w:tl2br w:val="nil"/>
                    <w:tr2bl w:val="nil"/>
                  </w:tcBorders>
                  <w:vAlign w:val="center"/>
                </w:tcPr>
                <w:p w14:paraId="1E98DF05">
                  <w:pPr>
                    <w:pStyle w:val="14"/>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8*30</w:t>
                  </w:r>
                </w:p>
              </w:tc>
              <w:tc>
                <w:tcPr>
                  <w:tcW w:w="761" w:type="dxa"/>
                  <w:vMerge w:val="continue"/>
                  <w:tcBorders>
                    <w:tl2br w:val="nil"/>
                    <w:tr2bl w:val="nil"/>
                  </w:tcBorders>
                  <w:vAlign w:val="center"/>
                </w:tcPr>
                <w:p w14:paraId="30066938">
                  <w:pPr>
                    <w:pStyle w:val="14"/>
                    <w:jc w:val="center"/>
                    <w:rPr>
                      <w:color w:val="000000" w:themeColor="text1"/>
                      <w14:textFill>
                        <w14:solidFill>
                          <w14:schemeClr w14:val="tx1"/>
                        </w14:solidFill>
                      </w14:textFill>
                    </w:rPr>
                  </w:pPr>
                </w:p>
              </w:tc>
              <w:tc>
                <w:tcPr>
                  <w:tcW w:w="3443" w:type="dxa"/>
                  <w:tcBorders>
                    <w:tl2br w:val="nil"/>
                    <w:tr2bl w:val="nil"/>
                  </w:tcBorders>
                  <w:vAlign w:val="center"/>
                </w:tcPr>
                <w:p w14:paraId="25A5C6C2">
                  <w:pPr>
                    <w:pStyle w:val="14"/>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尾气吸收塔（二级水喷淋）</w:t>
                  </w:r>
                </w:p>
              </w:tc>
              <w:tc>
                <w:tcPr>
                  <w:tcW w:w="2315" w:type="dxa"/>
                  <w:tcBorders>
                    <w:tl2br w:val="nil"/>
                    <w:tr2bl w:val="nil"/>
                  </w:tcBorders>
                  <w:vAlign w:val="center"/>
                </w:tcPr>
                <w:p w14:paraId="5CA955DC">
                  <w:pPr>
                    <w:pStyle w:val="14"/>
                    <w:jc w:val="center"/>
                  </w:pPr>
                  <w:r>
                    <w:rPr>
                      <w:rFonts w:hint="eastAsia"/>
                    </w:rPr>
                    <w:t>有组织排放</w:t>
                  </w:r>
                </w:p>
              </w:tc>
              <w:tc>
                <w:tcPr>
                  <w:tcW w:w="3489" w:type="dxa"/>
                  <w:vMerge w:val="continue"/>
                  <w:tcBorders>
                    <w:tl2br w:val="nil"/>
                    <w:tr2bl w:val="nil"/>
                  </w:tcBorders>
                  <w:vAlign w:val="center"/>
                </w:tcPr>
                <w:p w14:paraId="3955E5AD">
                  <w:pPr>
                    <w:pStyle w:val="14"/>
                    <w:jc w:val="center"/>
                  </w:pPr>
                </w:p>
              </w:tc>
            </w:tr>
            <w:tr w14:paraId="64199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4" w:hRule="atLeast"/>
                <w:jc w:val="center"/>
              </w:trPr>
              <w:tc>
                <w:tcPr>
                  <w:tcW w:w="1478" w:type="dxa"/>
                  <w:tcBorders>
                    <w:tl2br w:val="nil"/>
                    <w:tr2bl w:val="nil"/>
                  </w:tcBorders>
                  <w:vAlign w:val="center"/>
                </w:tcPr>
                <w:p w14:paraId="1A316A45">
                  <w:pPr>
                    <w:pStyle w:val="14"/>
                    <w:jc w:val="center"/>
                    <w:rPr>
                      <w:rFonts w:hint="eastAsia" w:eastAsia="宋体"/>
                      <w:lang w:eastAsia="zh-CN"/>
                    </w:rPr>
                  </w:pPr>
                  <w:r>
                    <w:rPr>
                      <w:rFonts w:hint="eastAsia"/>
                      <w:lang w:eastAsia="zh-CN"/>
                    </w:rPr>
                    <w:t>氨水装车</w:t>
                  </w:r>
                </w:p>
              </w:tc>
              <w:tc>
                <w:tcPr>
                  <w:tcW w:w="1559" w:type="dxa"/>
                  <w:tcBorders>
                    <w:tl2br w:val="nil"/>
                    <w:tr2bl w:val="nil"/>
                  </w:tcBorders>
                  <w:vAlign w:val="center"/>
                </w:tcPr>
                <w:p w14:paraId="4925C094">
                  <w:pPr>
                    <w:pStyle w:val="14"/>
                    <w:jc w:val="center"/>
                    <w:rPr>
                      <w:rFonts w:hint="eastAsia" w:eastAsia="宋体"/>
                      <w:lang w:eastAsia="zh-CN"/>
                    </w:rPr>
                  </w:pPr>
                  <w:r>
                    <w:rPr>
                      <w:rFonts w:hint="eastAsia"/>
                      <w:lang w:eastAsia="zh-CN"/>
                    </w:rPr>
                    <w:t>规范操作</w:t>
                  </w:r>
                </w:p>
              </w:tc>
              <w:tc>
                <w:tcPr>
                  <w:tcW w:w="2033" w:type="dxa"/>
                  <w:gridSpan w:val="2"/>
                  <w:tcBorders>
                    <w:tl2br w:val="nil"/>
                    <w:tr2bl w:val="nil"/>
                  </w:tcBorders>
                  <w:vAlign w:val="center"/>
                </w:tcPr>
                <w:p w14:paraId="30F0AEA2">
                  <w:pPr>
                    <w:pStyle w:val="14"/>
                    <w:jc w:val="center"/>
                  </w:pPr>
                  <w:r>
                    <w:rPr>
                      <w:rFonts w:hint="eastAsia"/>
                    </w:rPr>
                    <w:t>/</w:t>
                  </w:r>
                </w:p>
              </w:tc>
              <w:tc>
                <w:tcPr>
                  <w:tcW w:w="3443" w:type="dxa"/>
                  <w:tcBorders>
                    <w:tl2br w:val="nil"/>
                    <w:tr2bl w:val="nil"/>
                  </w:tcBorders>
                  <w:vAlign w:val="center"/>
                </w:tcPr>
                <w:p w14:paraId="30A93DF6">
                  <w:pPr>
                    <w:pStyle w:val="14"/>
                    <w:jc w:val="center"/>
                    <w:rPr>
                      <w:rFonts w:hint="eastAsia" w:eastAsia="宋体"/>
                      <w:lang w:val="en-US" w:eastAsia="zh-CN"/>
                    </w:rPr>
                  </w:pPr>
                  <w:r>
                    <w:rPr>
                      <w:rFonts w:hint="eastAsia"/>
                      <w:lang w:val="en-US" w:eastAsia="zh-CN"/>
                    </w:rPr>
                    <w:t>/</w:t>
                  </w:r>
                </w:p>
              </w:tc>
              <w:tc>
                <w:tcPr>
                  <w:tcW w:w="2315" w:type="dxa"/>
                  <w:tcBorders>
                    <w:tl2br w:val="nil"/>
                    <w:tr2bl w:val="nil"/>
                  </w:tcBorders>
                  <w:vAlign w:val="center"/>
                </w:tcPr>
                <w:p w14:paraId="0E7C8487">
                  <w:pPr>
                    <w:pStyle w:val="14"/>
                    <w:jc w:val="center"/>
                  </w:pPr>
                  <w:r>
                    <w:rPr>
                      <w:rFonts w:hint="eastAsia"/>
                    </w:rPr>
                    <w:t>无组织排放</w:t>
                  </w:r>
                </w:p>
              </w:tc>
              <w:tc>
                <w:tcPr>
                  <w:tcW w:w="3489" w:type="dxa"/>
                  <w:tcBorders>
                    <w:tl2br w:val="nil"/>
                    <w:tr2bl w:val="nil"/>
                  </w:tcBorders>
                  <w:vAlign w:val="center"/>
                </w:tcPr>
                <w:p w14:paraId="3B643962">
                  <w:pPr>
                    <w:pStyle w:val="14"/>
                    <w:jc w:val="center"/>
                  </w:pPr>
                  <w:r>
                    <w:rPr>
                      <w:rFonts w:hint="eastAsia"/>
                    </w:rPr>
                    <w:t>/</w:t>
                  </w:r>
                </w:p>
              </w:tc>
            </w:tr>
            <w:tr w14:paraId="022E5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4" w:hRule="atLeast"/>
                <w:jc w:val="center"/>
              </w:trPr>
              <w:tc>
                <w:tcPr>
                  <w:tcW w:w="1478" w:type="dxa"/>
                  <w:tcBorders>
                    <w:tl2br w:val="nil"/>
                    <w:tr2bl w:val="nil"/>
                  </w:tcBorders>
                  <w:vAlign w:val="center"/>
                </w:tcPr>
                <w:p w14:paraId="4125A727">
                  <w:pPr>
                    <w:pStyle w:val="14"/>
                    <w:jc w:val="center"/>
                    <w:rPr>
                      <w:rFonts w:hint="eastAsia"/>
                      <w:lang w:eastAsia="zh-CN"/>
                    </w:rPr>
                  </w:pPr>
                  <w:r>
                    <w:rPr>
                      <w:rFonts w:hint="eastAsia"/>
                      <w:lang w:eastAsia="zh-CN"/>
                    </w:rPr>
                    <w:t>柴油发电机</w:t>
                  </w:r>
                </w:p>
              </w:tc>
              <w:tc>
                <w:tcPr>
                  <w:tcW w:w="1559" w:type="dxa"/>
                  <w:tcBorders>
                    <w:tl2br w:val="nil"/>
                    <w:tr2bl w:val="nil"/>
                  </w:tcBorders>
                  <w:vAlign w:val="center"/>
                </w:tcPr>
                <w:p w14:paraId="6CF78CE6">
                  <w:pPr>
                    <w:pStyle w:val="14"/>
                    <w:jc w:val="center"/>
                    <w:rPr>
                      <w:rFonts w:hint="default"/>
                      <w:lang w:val="en-US" w:eastAsia="zh-CN"/>
                    </w:rPr>
                  </w:pPr>
                  <w:r>
                    <w:rPr>
                      <w:rFonts w:hint="eastAsia"/>
                      <w:lang w:val="en-US" w:eastAsia="zh-CN"/>
                    </w:rPr>
                    <w:t>/</w:t>
                  </w:r>
                </w:p>
              </w:tc>
              <w:tc>
                <w:tcPr>
                  <w:tcW w:w="2033" w:type="dxa"/>
                  <w:gridSpan w:val="2"/>
                  <w:tcBorders>
                    <w:tl2br w:val="nil"/>
                    <w:tr2bl w:val="nil"/>
                  </w:tcBorders>
                  <w:vAlign w:val="center"/>
                </w:tcPr>
                <w:p w14:paraId="072DCEB1">
                  <w:pPr>
                    <w:pStyle w:val="14"/>
                    <w:jc w:val="center"/>
                    <w:rPr>
                      <w:rFonts w:hint="eastAsia" w:eastAsia="宋体"/>
                      <w:lang w:val="en-US" w:eastAsia="zh-CN"/>
                    </w:rPr>
                  </w:pPr>
                  <w:r>
                    <w:rPr>
                      <w:rFonts w:hint="eastAsia"/>
                      <w:lang w:val="en-US" w:eastAsia="zh-CN"/>
                    </w:rPr>
                    <w:t>/</w:t>
                  </w:r>
                </w:p>
              </w:tc>
              <w:tc>
                <w:tcPr>
                  <w:tcW w:w="3443" w:type="dxa"/>
                  <w:tcBorders>
                    <w:tl2br w:val="nil"/>
                    <w:tr2bl w:val="nil"/>
                  </w:tcBorders>
                  <w:vAlign w:val="center"/>
                </w:tcPr>
                <w:p w14:paraId="58A2F72A">
                  <w:pPr>
                    <w:pStyle w:val="14"/>
                    <w:jc w:val="center"/>
                    <w:rPr>
                      <w:rFonts w:hint="default"/>
                      <w:lang w:val="en-US" w:eastAsia="zh-CN"/>
                    </w:rPr>
                  </w:pPr>
                  <w:r>
                    <w:rPr>
                      <w:rFonts w:hint="eastAsia"/>
                      <w:lang w:val="en-US" w:eastAsia="zh-CN"/>
                    </w:rPr>
                    <w:t>/</w:t>
                  </w:r>
                </w:p>
              </w:tc>
              <w:tc>
                <w:tcPr>
                  <w:tcW w:w="2315" w:type="dxa"/>
                  <w:tcBorders>
                    <w:tl2br w:val="nil"/>
                    <w:tr2bl w:val="nil"/>
                  </w:tcBorders>
                  <w:vAlign w:val="center"/>
                </w:tcPr>
                <w:p w14:paraId="51C596E6">
                  <w:pPr>
                    <w:pStyle w:val="14"/>
                    <w:jc w:val="center"/>
                    <w:rPr>
                      <w:rFonts w:hint="eastAsia" w:eastAsia="宋体"/>
                      <w:lang w:eastAsia="zh-CN"/>
                    </w:rPr>
                  </w:pPr>
                  <w:r>
                    <w:rPr>
                      <w:rFonts w:hint="eastAsia"/>
                      <w:lang w:eastAsia="zh-CN"/>
                    </w:rPr>
                    <w:t>无组织排放</w:t>
                  </w:r>
                </w:p>
              </w:tc>
              <w:tc>
                <w:tcPr>
                  <w:tcW w:w="3489" w:type="dxa"/>
                  <w:tcBorders>
                    <w:tl2br w:val="nil"/>
                    <w:tr2bl w:val="nil"/>
                  </w:tcBorders>
                  <w:vAlign w:val="center"/>
                </w:tcPr>
                <w:p w14:paraId="18B199EB">
                  <w:pPr>
                    <w:pStyle w:val="14"/>
                    <w:jc w:val="center"/>
                    <w:rPr>
                      <w:rFonts w:hint="eastAsia" w:eastAsia="宋体"/>
                      <w:lang w:val="en-US" w:eastAsia="zh-CN"/>
                    </w:rPr>
                  </w:pPr>
                  <w:r>
                    <w:rPr>
                      <w:rFonts w:hint="eastAsia"/>
                      <w:lang w:val="en-US" w:eastAsia="zh-CN"/>
                    </w:rPr>
                    <w:t>1条5m高烟管排放</w:t>
                  </w:r>
                </w:p>
              </w:tc>
            </w:tr>
          </w:tbl>
          <w:p w14:paraId="39A84904">
            <w:pPr>
              <w:pStyle w:val="14"/>
            </w:pPr>
          </w:p>
          <w:p w14:paraId="29C1EAF1">
            <w:pPr>
              <w:adjustRightInd w:val="0"/>
              <w:ind w:firstLine="480" w:firstLineChars="200"/>
              <w:textAlignment w:val="baseline"/>
            </w:pPr>
            <w:r>
              <w:t>根据前文计算，</w:t>
            </w:r>
            <w:r>
              <w:rPr>
                <w:rFonts w:hint="eastAsia"/>
              </w:rPr>
              <w:t>本项目全厂废气产排情况一览表如下</w:t>
            </w:r>
            <w:r>
              <w:t>。</w:t>
            </w:r>
            <w:r>
              <w:tab/>
            </w:r>
          </w:p>
          <w:p w14:paraId="581DD36F">
            <w:pPr>
              <w:widowControl/>
              <w:adjustRightInd w:val="0"/>
              <w:snapToGrid w:val="0"/>
              <w:spacing w:line="240" w:lineRule="auto"/>
              <w:jc w:val="center"/>
              <w:rPr>
                <w:b/>
              </w:rPr>
            </w:pPr>
            <w:r>
              <w:rPr>
                <w:b/>
              </w:rPr>
              <w:t>表</w:t>
            </w:r>
            <w:r>
              <w:rPr>
                <w:rFonts w:hint="eastAsia"/>
                <w:b/>
              </w:rPr>
              <w:t xml:space="preserve">4-8 </w:t>
            </w:r>
            <w:r>
              <w:rPr>
                <w:b/>
              </w:rPr>
              <w:t>项目</w:t>
            </w:r>
            <w:r>
              <w:rPr>
                <w:rFonts w:hint="eastAsia"/>
                <w:b/>
              </w:rPr>
              <w:t>废气产生及排放负荷一览表（有组织）</w:t>
            </w:r>
          </w:p>
          <w:tbl>
            <w:tblPr>
              <w:tblStyle w:val="12"/>
              <w:tblW w:w="1464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867"/>
              <w:gridCol w:w="1440"/>
              <w:gridCol w:w="1041"/>
              <w:gridCol w:w="1028"/>
              <w:gridCol w:w="1149"/>
              <w:gridCol w:w="1548"/>
              <w:gridCol w:w="1683"/>
              <w:gridCol w:w="1403"/>
              <w:gridCol w:w="1185"/>
              <w:gridCol w:w="1524"/>
              <w:gridCol w:w="1774"/>
            </w:tblGrid>
            <w:tr w14:paraId="54367A03">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54" w:hRule="atLeast"/>
                <w:jc w:val="center"/>
              </w:trPr>
              <w:tc>
                <w:tcPr>
                  <w:tcW w:w="867" w:type="dxa"/>
                  <w:vMerge w:val="restart"/>
                  <w:vAlign w:val="center"/>
                </w:tcPr>
                <w:p w14:paraId="16EB2B14">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排气筒</w:t>
                  </w:r>
                </w:p>
              </w:tc>
              <w:tc>
                <w:tcPr>
                  <w:tcW w:w="1440" w:type="dxa"/>
                  <w:vMerge w:val="restart"/>
                  <w:vAlign w:val="center"/>
                </w:tcPr>
                <w:p w14:paraId="2C3E27B3">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污染</w:t>
                  </w:r>
                  <w:r>
                    <w:rPr>
                      <w:b/>
                      <w:bCs/>
                      <w:color w:val="000000" w:themeColor="text1"/>
                      <w:sz w:val="21"/>
                      <w14:textFill>
                        <w14:solidFill>
                          <w14:schemeClr w14:val="tx1"/>
                        </w14:solidFill>
                      </w14:textFill>
                    </w:rPr>
                    <w:t>因子名称</w:t>
                  </w:r>
                </w:p>
              </w:tc>
              <w:tc>
                <w:tcPr>
                  <w:tcW w:w="1041" w:type="dxa"/>
                  <w:vMerge w:val="restart"/>
                  <w:vAlign w:val="center"/>
                </w:tcPr>
                <w:p w14:paraId="7B76D527">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收集效率（%）</w:t>
                  </w:r>
                </w:p>
              </w:tc>
              <w:tc>
                <w:tcPr>
                  <w:tcW w:w="1028" w:type="dxa"/>
                  <w:vMerge w:val="restart"/>
                  <w:vAlign w:val="center"/>
                </w:tcPr>
                <w:p w14:paraId="70D2683B">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设计风量（m</w:t>
                  </w:r>
                  <w:r>
                    <w:rPr>
                      <w:rFonts w:hint="eastAsia"/>
                      <w:b/>
                      <w:bCs/>
                      <w:color w:val="000000" w:themeColor="text1"/>
                      <w:sz w:val="21"/>
                      <w:vertAlign w:val="superscript"/>
                      <w14:textFill>
                        <w14:solidFill>
                          <w14:schemeClr w14:val="tx1"/>
                        </w14:solidFill>
                      </w14:textFill>
                    </w:rPr>
                    <w:t>3</w:t>
                  </w:r>
                  <w:r>
                    <w:rPr>
                      <w:rFonts w:hint="eastAsia"/>
                      <w:b/>
                      <w:bCs/>
                      <w:color w:val="000000" w:themeColor="text1"/>
                      <w:sz w:val="21"/>
                      <w14:textFill>
                        <w14:solidFill>
                          <w14:schemeClr w14:val="tx1"/>
                        </w14:solidFill>
                      </w14:textFill>
                    </w:rPr>
                    <w:t>/h）</w:t>
                  </w:r>
                </w:p>
              </w:tc>
              <w:tc>
                <w:tcPr>
                  <w:tcW w:w="4380" w:type="dxa"/>
                  <w:gridSpan w:val="3"/>
                  <w:vAlign w:val="center"/>
                </w:tcPr>
                <w:p w14:paraId="0394716F">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产生</w:t>
                  </w:r>
                  <w:r>
                    <w:rPr>
                      <w:b/>
                      <w:bCs/>
                      <w:color w:val="000000" w:themeColor="text1"/>
                      <w:sz w:val="21"/>
                      <w14:textFill>
                        <w14:solidFill>
                          <w14:schemeClr w14:val="tx1"/>
                        </w14:solidFill>
                      </w14:textFill>
                    </w:rPr>
                    <w:t>情况</w:t>
                  </w:r>
                </w:p>
              </w:tc>
              <w:tc>
                <w:tcPr>
                  <w:tcW w:w="5886" w:type="dxa"/>
                  <w:gridSpan w:val="4"/>
                  <w:vAlign w:val="center"/>
                </w:tcPr>
                <w:p w14:paraId="5EC9EFD2">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有组织排放</w:t>
                  </w:r>
                  <w:r>
                    <w:rPr>
                      <w:b/>
                      <w:bCs/>
                      <w:color w:val="000000" w:themeColor="text1"/>
                      <w:sz w:val="21"/>
                      <w14:textFill>
                        <w14:solidFill>
                          <w14:schemeClr w14:val="tx1"/>
                        </w14:solidFill>
                      </w14:textFill>
                    </w:rPr>
                    <w:t>情况</w:t>
                  </w:r>
                </w:p>
              </w:tc>
            </w:tr>
            <w:tr w14:paraId="4215C0E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69" w:hRule="atLeast"/>
                <w:jc w:val="center"/>
              </w:trPr>
              <w:tc>
                <w:tcPr>
                  <w:tcW w:w="867" w:type="dxa"/>
                  <w:vMerge w:val="continue"/>
                  <w:vAlign w:val="center"/>
                </w:tcPr>
                <w:p w14:paraId="5CC6565B">
                  <w:pPr>
                    <w:adjustRightInd w:val="0"/>
                    <w:snapToGrid w:val="0"/>
                    <w:spacing w:line="240" w:lineRule="auto"/>
                    <w:jc w:val="center"/>
                    <w:rPr>
                      <w:b/>
                      <w:bCs/>
                      <w:color w:val="000000" w:themeColor="text1"/>
                      <w:sz w:val="21"/>
                      <w14:textFill>
                        <w14:solidFill>
                          <w14:schemeClr w14:val="tx1"/>
                        </w14:solidFill>
                      </w14:textFill>
                    </w:rPr>
                  </w:pPr>
                </w:p>
              </w:tc>
              <w:tc>
                <w:tcPr>
                  <w:tcW w:w="1440" w:type="dxa"/>
                  <w:vMerge w:val="continue"/>
                  <w:vAlign w:val="center"/>
                </w:tcPr>
                <w:p w14:paraId="0F0832D6">
                  <w:pPr>
                    <w:adjustRightInd w:val="0"/>
                    <w:snapToGrid w:val="0"/>
                    <w:spacing w:line="240" w:lineRule="auto"/>
                    <w:jc w:val="center"/>
                    <w:rPr>
                      <w:b/>
                      <w:bCs/>
                      <w:color w:val="000000" w:themeColor="text1"/>
                      <w:sz w:val="21"/>
                      <w14:textFill>
                        <w14:solidFill>
                          <w14:schemeClr w14:val="tx1"/>
                        </w14:solidFill>
                      </w14:textFill>
                    </w:rPr>
                  </w:pPr>
                </w:p>
              </w:tc>
              <w:tc>
                <w:tcPr>
                  <w:tcW w:w="1041" w:type="dxa"/>
                  <w:vMerge w:val="continue"/>
                  <w:vAlign w:val="center"/>
                </w:tcPr>
                <w:p w14:paraId="4B9ADE9E">
                  <w:pPr>
                    <w:adjustRightInd w:val="0"/>
                    <w:snapToGrid w:val="0"/>
                    <w:spacing w:line="240" w:lineRule="auto"/>
                    <w:jc w:val="center"/>
                    <w:rPr>
                      <w:b/>
                      <w:bCs/>
                      <w:color w:val="000000" w:themeColor="text1"/>
                      <w:sz w:val="21"/>
                      <w14:textFill>
                        <w14:solidFill>
                          <w14:schemeClr w14:val="tx1"/>
                        </w14:solidFill>
                      </w14:textFill>
                    </w:rPr>
                  </w:pPr>
                </w:p>
              </w:tc>
              <w:tc>
                <w:tcPr>
                  <w:tcW w:w="1028" w:type="dxa"/>
                  <w:vMerge w:val="continue"/>
                  <w:vAlign w:val="center"/>
                </w:tcPr>
                <w:p w14:paraId="5120555C">
                  <w:pPr>
                    <w:adjustRightInd w:val="0"/>
                    <w:snapToGrid w:val="0"/>
                    <w:spacing w:line="240" w:lineRule="auto"/>
                    <w:jc w:val="center"/>
                    <w:rPr>
                      <w:b/>
                      <w:bCs/>
                      <w:color w:val="000000" w:themeColor="text1"/>
                      <w:sz w:val="21"/>
                      <w14:textFill>
                        <w14:solidFill>
                          <w14:schemeClr w14:val="tx1"/>
                        </w14:solidFill>
                      </w14:textFill>
                    </w:rPr>
                  </w:pPr>
                </w:p>
              </w:tc>
              <w:tc>
                <w:tcPr>
                  <w:tcW w:w="1149" w:type="dxa"/>
                  <w:vAlign w:val="center"/>
                </w:tcPr>
                <w:p w14:paraId="5EB0ED5E">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产生量(t/a)</w:t>
                  </w:r>
                </w:p>
              </w:tc>
              <w:tc>
                <w:tcPr>
                  <w:tcW w:w="1548" w:type="dxa"/>
                  <w:vAlign w:val="center"/>
                </w:tcPr>
                <w:p w14:paraId="34CDD4CE">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产生</w:t>
                  </w:r>
                  <w:r>
                    <w:rPr>
                      <w:b/>
                      <w:bCs/>
                      <w:color w:val="000000" w:themeColor="text1"/>
                      <w:sz w:val="21"/>
                      <w14:textFill>
                        <w14:solidFill>
                          <w14:schemeClr w14:val="tx1"/>
                        </w14:solidFill>
                      </w14:textFill>
                    </w:rPr>
                    <w:t>速率</w:t>
                  </w:r>
                  <w:r>
                    <w:rPr>
                      <w:rFonts w:hint="eastAsia"/>
                      <w:b/>
                      <w:bCs/>
                      <w:color w:val="000000" w:themeColor="text1"/>
                      <w:sz w:val="21"/>
                      <w14:textFill>
                        <w14:solidFill>
                          <w14:schemeClr w14:val="tx1"/>
                        </w14:solidFill>
                      </w14:textFill>
                    </w:rPr>
                    <w:t>(kg/h)</w:t>
                  </w:r>
                </w:p>
              </w:tc>
              <w:tc>
                <w:tcPr>
                  <w:tcW w:w="1683" w:type="dxa"/>
                  <w:vAlign w:val="center"/>
                </w:tcPr>
                <w:p w14:paraId="7972CBF9">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产生</w:t>
                  </w:r>
                  <w:r>
                    <w:rPr>
                      <w:b/>
                      <w:bCs/>
                      <w:color w:val="000000" w:themeColor="text1"/>
                      <w:sz w:val="21"/>
                      <w14:textFill>
                        <w14:solidFill>
                          <w14:schemeClr w14:val="tx1"/>
                        </w14:solidFill>
                      </w14:textFill>
                    </w:rPr>
                    <w:t>浓度</w:t>
                  </w:r>
                  <w:r>
                    <w:rPr>
                      <w:rFonts w:hint="eastAsia"/>
                      <w:b/>
                      <w:bCs/>
                      <w:color w:val="000000" w:themeColor="text1"/>
                      <w:sz w:val="21"/>
                      <w14:textFill>
                        <w14:solidFill>
                          <w14:schemeClr w14:val="tx1"/>
                        </w14:solidFill>
                      </w14:textFill>
                    </w:rPr>
                    <w:t>(mg/m</w:t>
                  </w:r>
                  <w:r>
                    <w:rPr>
                      <w:rFonts w:hint="eastAsia"/>
                      <w:b/>
                      <w:bCs/>
                      <w:color w:val="000000" w:themeColor="text1"/>
                      <w:sz w:val="21"/>
                      <w:vertAlign w:val="superscript"/>
                      <w14:textFill>
                        <w14:solidFill>
                          <w14:schemeClr w14:val="tx1"/>
                        </w14:solidFill>
                      </w14:textFill>
                    </w:rPr>
                    <w:t>3</w:t>
                  </w:r>
                  <w:r>
                    <w:rPr>
                      <w:rFonts w:hint="eastAsia"/>
                      <w:b/>
                      <w:bCs/>
                      <w:color w:val="000000" w:themeColor="text1"/>
                      <w:sz w:val="21"/>
                      <w14:textFill>
                        <w14:solidFill>
                          <w14:schemeClr w14:val="tx1"/>
                        </w14:solidFill>
                      </w14:textFill>
                    </w:rPr>
                    <w:t>)</w:t>
                  </w:r>
                </w:p>
              </w:tc>
              <w:tc>
                <w:tcPr>
                  <w:tcW w:w="1403" w:type="dxa"/>
                  <w:vAlign w:val="center"/>
                </w:tcPr>
                <w:p w14:paraId="76DB8899">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处理效率（%）</w:t>
                  </w:r>
                </w:p>
              </w:tc>
              <w:tc>
                <w:tcPr>
                  <w:tcW w:w="1185" w:type="dxa"/>
                  <w:vAlign w:val="center"/>
                </w:tcPr>
                <w:p w14:paraId="2DCF76F7">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排放量</w:t>
                  </w:r>
                  <w:r>
                    <w:rPr>
                      <w:b/>
                      <w:bCs/>
                      <w:color w:val="000000" w:themeColor="text1"/>
                      <w:sz w:val="21"/>
                      <w14:textFill>
                        <w14:solidFill>
                          <w14:schemeClr w14:val="tx1"/>
                        </w14:solidFill>
                      </w14:textFill>
                    </w:rPr>
                    <w:t>(</w:t>
                  </w:r>
                  <w:r>
                    <w:rPr>
                      <w:rFonts w:hint="eastAsia"/>
                      <w:b/>
                      <w:bCs/>
                      <w:color w:val="000000" w:themeColor="text1"/>
                      <w:sz w:val="21"/>
                      <w14:textFill>
                        <w14:solidFill>
                          <w14:schemeClr w14:val="tx1"/>
                        </w14:solidFill>
                      </w14:textFill>
                    </w:rPr>
                    <w:t>t/a</w:t>
                  </w:r>
                  <w:r>
                    <w:rPr>
                      <w:b/>
                      <w:bCs/>
                      <w:color w:val="000000" w:themeColor="text1"/>
                      <w:sz w:val="21"/>
                      <w14:textFill>
                        <w14:solidFill>
                          <w14:schemeClr w14:val="tx1"/>
                        </w14:solidFill>
                      </w14:textFill>
                    </w:rPr>
                    <w:t>)</w:t>
                  </w:r>
                </w:p>
              </w:tc>
              <w:tc>
                <w:tcPr>
                  <w:tcW w:w="1524" w:type="dxa"/>
                  <w:vAlign w:val="center"/>
                </w:tcPr>
                <w:p w14:paraId="08789CA2">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排放</w:t>
                  </w:r>
                  <w:r>
                    <w:rPr>
                      <w:b/>
                      <w:bCs/>
                      <w:color w:val="000000" w:themeColor="text1"/>
                      <w:sz w:val="21"/>
                      <w14:textFill>
                        <w14:solidFill>
                          <w14:schemeClr w14:val="tx1"/>
                        </w14:solidFill>
                      </w14:textFill>
                    </w:rPr>
                    <w:t>速率</w:t>
                  </w:r>
                  <w:r>
                    <w:rPr>
                      <w:rFonts w:hint="eastAsia"/>
                      <w:b/>
                      <w:bCs/>
                      <w:color w:val="000000" w:themeColor="text1"/>
                      <w:sz w:val="21"/>
                      <w14:textFill>
                        <w14:solidFill>
                          <w14:schemeClr w14:val="tx1"/>
                        </w14:solidFill>
                      </w14:textFill>
                    </w:rPr>
                    <w:t>(kg/h)</w:t>
                  </w:r>
                </w:p>
              </w:tc>
              <w:tc>
                <w:tcPr>
                  <w:tcW w:w="1774" w:type="dxa"/>
                  <w:vAlign w:val="center"/>
                </w:tcPr>
                <w:p w14:paraId="60D52811">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排放</w:t>
                  </w:r>
                  <w:r>
                    <w:rPr>
                      <w:b/>
                      <w:bCs/>
                      <w:color w:val="000000" w:themeColor="text1"/>
                      <w:sz w:val="21"/>
                      <w14:textFill>
                        <w14:solidFill>
                          <w14:schemeClr w14:val="tx1"/>
                        </w14:solidFill>
                      </w14:textFill>
                    </w:rPr>
                    <w:t>浓</w:t>
                  </w:r>
                  <w:r>
                    <w:rPr>
                      <w:rFonts w:hint="eastAsia"/>
                      <w:b/>
                      <w:bCs/>
                      <w:color w:val="000000" w:themeColor="text1"/>
                      <w:sz w:val="21"/>
                      <w14:textFill>
                        <w14:solidFill>
                          <w14:schemeClr w14:val="tx1"/>
                        </w14:solidFill>
                      </w14:textFill>
                    </w:rPr>
                    <w:t>度（mg/m</w:t>
                  </w:r>
                  <w:r>
                    <w:rPr>
                      <w:rFonts w:hint="eastAsia"/>
                      <w:b/>
                      <w:bCs/>
                      <w:color w:val="000000" w:themeColor="text1"/>
                      <w:sz w:val="21"/>
                      <w:vertAlign w:val="superscript"/>
                      <w14:textFill>
                        <w14:solidFill>
                          <w14:schemeClr w14:val="tx1"/>
                        </w14:solidFill>
                      </w14:textFill>
                    </w:rPr>
                    <w:t>3</w:t>
                  </w:r>
                  <w:r>
                    <w:rPr>
                      <w:rFonts w:hint="eastAsia"/>
                      <w:b/>
                      <w:bCs/>
                      <w:color w:val="000000" w:themeColor="text1"/>
                      <w:sz w:val="21"/>
                      <w14:textFill>
                        <w14:solidFill>
                          <w14:schemeClr w14:val="tx1"/>
                        </w14:solidFill>
                      </w14:textFill>
                    </w:rPr>
                    <w:t>)</w:t>
                  </w:r>
                </w:p>
              </w:tc>
            </w:tr>
            <w:tr w14:paraId="68864DD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37" w:hRule="atLeast"/>
                <w:jc w:val="center"/>
              </w:trPr>
              <w:tc>
                <w:tcPr>
                  <w:tcW w:w="867" w:type="dxa"/>
                  <w:vAlign w:val="center"/>
                </w:tcPr>
                <w:p w14:paraId="64D7A5A0">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DA001</w:t>
                  </w:r>
                </w:p>
              </w:tc>
              <w:tc>
                <w:tcPr>
                  <w:tcW w:w="1440" w:type="dxa"/>
                  <w:vAlign w:val="center"/>
                </w:tcPr>
                <w:p w14:paraId="0196842D">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氨</w:t>
                  </w:r>
                </w:p>
              </w:tc>
              <w:tc>
                <w:tcPr>
                  <w:tcW w:w="1041" w:type="dxa"/>
                  <w:vAlign w:val="center"/>
                </w:tcPr>
                <w:p w14:paraId="5B9BDCD5">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c>
                <w:tcPr>
                  <w:tcW w:w="1028" w:type="dxa"/>
                  <w:vAlign w:val="center"/>
                </w:tcPr>
                <w:p w14:paraId="5B622B6D">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5</w:t>
                  </w:r>
                  <w:r>
                    <w:rPr>
                      <w:rFonts w:hint="eastAsia"/>
                      <w:color w:val="000000" w:themeColor="text1"/>
                      <w:sz w:val="21"/>
                      <w14:textFill>
                        <w14:solidFill>
                          <w14:schemeClr w14:val="tx1"/>
                        </w14:solidFill>
                      </w14:textFill>
                    </w:rPr>
                    <w:t>00</w:t>
                  </w:r>
                </w:p>
              </w:tc>
              <w:tc>
                <w:tcPr>
                  <w:tcW w:w="1149" w:type="dxa"/>
                  <w:vAlign w:val="center"/>
                </w:tcPr>
                <w:p w14:paraId="77990949">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21.0852</w:t>
                  </w:r>
                </w:p>
              </w:tc>
              <w:tc>
                <w:tcPr>
                  <w:tcW w:w="1548" w:type="dxa"/>
                  <w:vAlign w:val="center"/>
                </w:tcPr>
                <w:p w14:paraId="06F02E92">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2.9285</w:t>
                  </w:r>
                </w:p>
              </w:tc>
              <w:tc>
                <w:tcPr>
                  <w:tcW w:w="1683" w:type="dxa"/>
                  <w:vAlign w:val="center"/>
                </w:tcPr>
                <w:p w14:paraId="4A8A8B64">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5857</w:t>
                  </w:r>
                </w:p>
              </w:tc>
              <w:tc>
                <w:tcPr>
                  <w:tcW w:w="1403" w:type="dxa"/>
                  <w:vAlign w:val="center"/>
                </w:tcPr>
                <w:p w14:paraId="1FE13912">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95</w:t>
                  </w:r>
                </w:p>
              </w:tc>
              <w:tc>
                <w:tcPr>
                  <w:tcW w:w="1185" w:type="dxa"/>
                  <w:vAlign w:val="center"/>
                </w:tcPr>
                <w:p w14:paraId="71DB7931">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1.0543</w:t>
                  </w:r>
                </w:p>
              </w:tc>
              <w:tc>
                <w:tcPr>
                  <w:tcW w:w="1524" w:type="dxa"/>
                  <w:vAlign w:val="center"/>
                </w:tcPr>
                <w:p w14:paraId="456B9C65">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0.1465</w:t>
                  </w:r>
                </w:p>
              </w:tc>
              <w:tc>
                <w:tcPr>
                  <w:tcW w:w="1774" w:type="dxa"/>
                  <w:vAlign w:val="center"/>
                </w:tcPr>
                <w:p w14:paraId="23F7B257">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293</w:t>
                  </w:r>
                </w:p>
              </w:tc>
            </w:tr>
          </w:tbl>
          <w:p w14:paraId="307F6F4A">
            <w:pPr>
              <w:pStyle w:val="14"/>
            </w:pPr>
          </w:p>
          <w:p w14:paraId="4B0C15DA">
            <w:pPr>
              <w:pStyle w:val="15"/>
            </w:pPr>
            <w:r>
              <w:t>表</w:t>
            </w:r>
            <w:r>
              <w:rPr>
                <w:rFonts w:hint="eastAsia"/>
              </w:rPr>
              <w:t>4-9 本</w:t>
            </w:r>
            <w:r>
              <w:t>项目</w:t>
            </w:r>
            <w:r>
              <w:rPr>
                <w:rFonts w:hint="eastAsia"/>
              </w:rPr>
              <w:t>全厂废气产生及排放负荷一览表（无组织）</w:t>
            </w:r>
          </w:p>
          <w:tbl>
            <w:tblPr>
              <w:tblStyle w:val="12"/>
              <w:tblW w:w="13612"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957"/>
              <w:gridCol w:w="4364"/>
              <w:gridCol w:w="4364"/>
            </w:tblGrid>
            <w:tr w14:paraId="1E52864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27" w:type="dxa"/>
                  <w:vMerge w:val="restart"/>
                  <w:vAlign w:val="center"/>
                </w:tcPr>
                <w:p w14:paraId="5EC9E179">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2957" w:type="dxa"/>
                  <w:vMerge w:val="restart"/>
                  <w:vAlign w:val="center"/>
                </w:tcPr>
                <w:p w14:paraId="76B4681F">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w:t>
                  </w:r>
                  <w:r>
                    <w:rPr>
                      <w:b/>
                      <w:bCs/>
                      <w:color w:val="000000" w:themeColor="text1"/>
                      <w14:textFill>
                        <w14:solidFill>
                          <w14:schemeClr w14:val="tx1"/>
                        </w14:solidFill>
                      </w14:textFill>
                    </w:rPr>
                    <w:t>因子名称</w:t>
                  </w:r>
                </w:p>
              </w:tc>
              <w:tc>
                <w:tcPr>
                  <w:tcW w:w="8728" w:type="dxa"/>
                  <w:gridSpan w:val="2"/>
                  <w:vAlign w:val="center"/>
                </w:tcPr>
                <w:p w14:paraId="467CB972">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无组织排放情况</w:t>
                  </w:r>
                </w:p>
              </w:tc>
            </w:tr>
            <w:tr w14:paraId="4E50523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7" w:type="dxa"/>
                  <w:vMerge w:val="continue"/>
                  <w:vAlign w:val="center"/>
                </w:tcPr>
                <w:p w14:paraId="7B7BCB73">
                  <w:pPr>
                    <w:pStyle w:val="14"/>
                    <w:rPr>
                      <w:b/>
                      <w:bCs/>
                      <w:color w:val="000000" w:themeColor="text1"/>
                      <w14:textFill>
                        <w14:solidFill>
                          <w14:schemeClr w14:val="tx1"/>
                        </w14:solidFill>
                      </w14:textFill>
                    </w:rPr>
                  </w:pPr>
                </w:p>
              </w:tc>
              <w:tc>
                <w:tcPr>
                  <w:tcW w:w="2957" w:type="dxa"/>
                  <w:vMerge w:val="continue"/>
                  <w:vAlign w:val="center"/>
                </w:tcPr>
                <w:p w14:paraId="367C124B">
                  <w:pPr>
                    <w:pStyle w:val="14"/>
                    <w:rPr>
                      <w:b/>
                      <w:bCs/>
                      <w:color w:val="000000" w:themeColor="text1"/>
                      <w14:textFill>
                        <w14:solidFill>
                          <w14:schemeClr w14:val="tx1"/>
                        </w14:solidFill>
                      </w14:textFill>
                    </w:rPr>
                  </w:pPr>
                </w:p>
              </w:tc>
              <w:tc>
                <w:tcPr>
                  <w:tcW w:w="4364" w:type="dxa"/>
                  <w:vAlign w:val="center"/>
                </w:tcPr>
                <w:p w14:paraId="403E78D5">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排放量(t/a)</w:t>
                  </w:r>
                </w:p>
              </w:tc>
              <w:tc>
                <w:tcPr>
                  <w:tcW w:w="4364" w:type="dxa"/>
                  <w:vAlign w:val="center"/>
                </w:tcPr>
                <w:p w14:paraId="047A32A9">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w:t>
                  </w:r>
                  <w:r>
                    <w:rPr>
                      <w:b/>
                      <w:bCs/>
                      <w:color w:val="000000" w:themeColor="text1"/>
                      <w14:textFill>
                        <w14:solidFill>
                          <w14:schemeClr w14:val="tx1"/>
                        </w14:solidFill>
                      </w14:textFill>
                    </w:rPr>
                    <w:t>速率</w:t>
                  </w:r>
                  <w:r>
                    <w:rPr>
                      <w:rFonts w:hint="eastAsia"/>
                      <w:b/>
                      <w:bCs/>
                      <w:color w:val="000000" w:themeColor="text1"/>
                      <w14:textFill>
                        <w14:solidFill>
                          <w14:schemeClr w14:val="tx1"/>
                        </w14:solidFill>
                      </w14:textFill>
                    </w:rPr>
                    <w:t>(kg/h)</w:t>
                  </w:r>
                </w:p>
              </w:tc>
            </w:tr>
            <w:tr w14:paraId="04ECF62A">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7" w:type="dxa"/>
                  <w:vAlign w:val="center"/>
                </w:tcPr>
                <w:p w14:paraId="1C1DD74A">
                  <w:pPr>
                    <w:pStyle w:val="14"/>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跑冒滴漏废气</w:t>
                  </w:r>
                </w:p>
              </w:tc>
              <w:tc>
                <w:tcPr>
                  <w:tcW w:w="2957" w:type="dxa"/>
                  <w:vAlign w:val="center"/>
                </w:tcPr>
                <w:p w14:paraId="391E1575">
                  <w:pPr>
                    <w:pStyle w:val="14"/>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w:t>
                  </w:r>
                </w:p>
              </w:tc>
              <w:tc>
                <w:tcPr>
                  <w:tcW w:w="4364" w:type="dxa"/>
                  <w:vAlign w:val="center"/>
                </w:tcPr>
                <w:p w14:paraId="5B8D16BC">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0.0277</w:t>
                  </w:r>
                </w:p>
              </w:tc>
              <w:tc>
                <w:tcPr>
                  <w:tcW w:w="4364" w:type="dxa"/>
                  <w:vAlign w:val="center"/>
                </w:tcPr>
                <w:p w14:paraId="15CBBDCC">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0.0032</w:t>
                  </w:r>
                </w:p>
              </w:tc>
            </w:tr>
            <w:tr w14:paraId="6D85347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927" w:type="dxa"/>
                  <w:vMerge w:val="restart"/>
                  <w:vAlign w:val="center"/>
                </w:tcPr>
                <w:p w14:paraId="61A510FF">
                  <w:pPr>
                    <w:pStyle w:val="14"/>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发电机废气</w:t>
                  </w:r>
                </w:p>
              </w:tc>
              <w:tc>
                <w:tcPr>
                  <w:tcW w:w="2957" w:type="dxa"/>
                  <w:vAlign w:val="center"/>
                </w:tcPr>
                <w:p w14:paraId="41B92BD8">
                  <w:pPr>
                    <w:pStyle w:val="14"/>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烟尘</w:t>
                  </w:r>
                </w:p>
              </w:tc>
              <w:tc>
                <w:tcPr>
                  <w:tcW w:w="4364" w:type="dxa"/>
                  <w:vAlign w:val="center"/>
                </w:tcPr>
                <w:p w14:paraId="43AE8F1D">
                  <w:pPr>
                    <w:pStyle w:val="14"/>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0.4224</w:t>
                  </w:r>
                </w:p>
              </w:tc>
              <w:tc>
                <w:tcPr>
                  <w:tcW w:w="4364" w:type="dxa"/>
                  <w:vAlign w:val="center"/>
                </w:tcPr>
                <w:p w14:paraId="0D943456">
                  <w:pPr>
                    <w:pStyle w:val="14"/>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0.0176</w:t>
                  </w:r>
                </w:p>
              </w:tc>
            </w:tr>
            <w:tr w14:paraId="0D37EF4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927" w:type="dxa"/>
                  <w:vMerge w:val="continue"/>
                  <w:vAlign w:val="center"/>
                </w:tcPr>
                <w:p w14:paraId="52A81997">
                  <w:pPr>
                    <w:pStyle w:val="14"/>
                  </w:pPr>
                </w:p>
              </w:tc>
              <w:tc>
                <w:tcPr>
                  <w:tcW w:w="2957" w:type="dxa"/>
                  <w:vAlign w:val="center"/>
                </w:tcPr>
                <w:p w14:paraId="71026306">
                  <w:pPr>
                    <w:pStyle w:val="14"/>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p>
              </w:tc>
              <w:tc>
                <w:tcPr>
                  <w:tcW w:w="4364" w:type="dxa"/>
                  <w:vAlign w:val="center"/>
                </w:tcPr>
                <w:p w14:paraId="4FF0FBAA">
                  <w:pPr>
                    <w:pStyle w:val="14"/>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0.0845</w:t>
                  </w:r>
                </w:p>
              </w:tc>
              <w:tc>
                <w:tcPr>
                  <w:tcW w:w="4364" w:type="dxa"/>
                  <w:vAlign w:val="center"/>
                </w:tcPr>
                <w:p w14:paraId="5BC80606">
                  <w:pPr>
                    <w:pStyle w:val="14"/>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0.0036</w:t>
                  </w:r>
                </w:p>
              </w:tc>
            </w:tr>
            <w:tr w14:paraId="060835AB">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927" w:type="dxa"/>
                  <w:vMerge w:val="continue"/>
                  <w:vAlign w:val="center"/>
                </w:tcPr>
                <w:p w14:paraId="643C0B40">
                  <w:pPr>
                    <w:pStyle w:val="14"/>
                    <w:rPr>
                      <w:rFonts w:hint="eastAsia"/>
                      <w:color w:val="000000" w:themeColor="text1"/>
                      <w:lang w:eastAsia="zh-CN"/>
                      <w14:textFill>
                        <w14:solidFill>
                          <w14:schemeClr w14:val="tx1"/>
                        </w14:solidFill>
                      </w14:textFill>
                    </w:rPr>
                  </w:pPr>
                </w:p>
              </w:tc>
              <w:tc>
                <w:tcPr>
                  <w:tcW w:w="2957" w:type="dxa"/>
                  <w:vAlign w:val="center"/>
                </w:tcPr>
                <w:p w14:paraId="7254FF7A">
                  <w:pPr>
                    <w:pStyle w:val="14"/>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NOx</w:t>
                  </w:r>
                </w:p>
              </w:tc>
              <w:tc>
                <w:tcPr>
                  <w:tcW w:w="4364" w:type="dxa"/>
                  <w:vAlign w:val="center"/>
                </w:tcPr>
                <w:p w14:paraId="1476D45D">
                  <w:pPr>
                    <w:pStyle w:val="14"/>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9.7631</w:t>
                  </w:r>
                </w:p>
              </w:tc>
              <w:tc>
                <w:tcPr>
                  <w:tcW w:w="4364" w:type="dxa"/>
                  <w:vAlign w:val="center"/>
                </w:tcPr>
                <w:p w14:paraId="5FB1FF11">
                  <w:pPr>
                    <w:pStyle w:val="14"/>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0.4068</w:t>
                  </w:r>
                </w:p>
              </w:tc>
            </w:tr>
          </w:tbl>
          <w:p w14:paraId="4B4B64CF">
            <w:pPr>
              <w:pStyle w:val="14"/>
            </w:pPr>
          </w:p>
          <w:p w14:paraId="516FFD29">
            <w:pPr>
              <w:adjustRightInd w:val="0"/>
              <w:snapToGrid w:val="0"/>
              <w:ind w:firstLine="482" w:firstLineChars="200"/>
              <w:rPr>
                <w:b/>
                <w:bCs/>
              </w:rPr>
            </w:pPr>
            <w:r>
              <w:rPr>
                <w:rFonts w:hint="eastAsia"/>
                <w:b/>
                <w:bCs/>
              </w:rPr>
              <w:t>3、排气口设置情况及监测计划</w:t>
            </w:r>
          </w:p>
          <w:p w14:paraId="5A3FB1AF">
            <w:pPr>
              <w:pStyle w:val="15"/>
            </w:pPr>
            <w:r>
              <w:rPr>
                <w:rFonts w:hint="eastAsia"/>
              </w:rPr>
              <w:t>表4-10 项目全厂排放口基本情况一览表</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hemeFill="background1"/>
              <w:tblLayout w:type="fixed"/>
              <w:tblCellMar>
                <w:top w:w="0" w:type="dxa"/>
                <w:left w:w="57" w:type="dxa"/>
                <w:bottom w:w="0" w:type="dxa"/>
                <w:right w:w="57" w:type="dxa"/>
              </w:tblCellMar>
            </w:tblPr>
            <w:tblGrid>
              <w:gridCol w:w="891"/>
              <w:gridCol w:w="1585"/>
              <w:gridCol w:w="2920"/>
              <w:gridCol w:w="1702"/>
              <w:gridCol w:w="1341"/>
              <w:gridCol w:w="1615"/>
              <w:gridCol w:w="1616"/>
              <w:gridCol w:w="1284"/>
              <w:gridCol w:w="1023"/>
            </w:tblGrid>
            <w:tr w14:paraId="017AA3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hemeFill="background1"/>
                <w:tblCellMar>
                  <w:top w:w="0" w:type="dxa"/>
                  <w:left w:w="57" w:type="dxa"/>
                  <w:bottom w:w="0" w:type="dxa"/>
                  <w:right w:w="57" w:type="dxa"/>
                </w:tblCellMar>
              </w:tblPrEx>
              <w:trPr>
                <w:trHeight w:val="312" w:hRule="atLeast"/>
                <w:jc w:val="center"/>
              </w:trPr>
              <w:tc>
                <w:tcPr>
                  <w:tcW w:w="891" w:type="dxa"/>
                  <w:tcBorders>
                    <w:tl2br w:val="nil"/>
                    <w:tr2bl w:val="nil"/>
                  </w:tcBorders>
                  <w:shd w:val="clear" w:color="auto" w:fill="FFFFFF" w:themeFill="background1"/>
                  <w:vAlign w:val="center"/>
                </w:tcPr>
                <w:p w14:paraId="61F8641C">
                  <w:pPr>
                    <w:pStyle w:val="14"/>
                    <w:rPr>
                      <w:b/>
                      <w:bCs/>
                    </w:rPr>
                  </w:pPr>
                  <w:r>
                    <w:rPr>
                      <w:b/>
                      <w:bCs/>
                    </w:rPr>
                    <w:t>排放口编号</w:t>
                  </w:r>
                </w:p>
              </w:tc>
              <w:tc>
                <w:tcPr>
                  <w:tcW w:w="1585" w:type="dxa"/>
                  <w:tcBorders>
                    <w:tl2br w:val="nil"/>
                    <w:tr2bl w:val="nil"/>
                  </w:tcBorders>
                  <w:shd w:val="clear" w:color="auto" w:fill="FFFFFF" w:themeFill="background1"/>
                  <w:vAlign w:val="center"/>
                </w:tcPr>
                <w:p w14:paraId="01A321E7">
                  <w:pPr>
                    <w:pStyle w:val="14"/>
                    <w:rPr>
                      <w:b/>
                      <w:bCs/>
                    </w:rPr>
                  </w:pPr>
                  <w:r>
                    <w:rPr>
                      <w:b/>
                      <w:bCs/>
                    </w:rPr>
                    <w:t>排放口名称</w:t>
                  </w:r>
                </w:p>
              </w:tc>
              <w:tc>
                <w:tcPr>
                  <w:tcW w:w="2920" w:type="dxa"/>
                  <w:tcBorders>
                    <w:tl2br w:val="nil"/>
                    <w:tr2bl w:val="nil"/>
                  </w:tcBorders>
                  <w:shd w:val="clear" w:color="auto" w:fill="FFFFFF" w:themeFill="background1"/>
                  <w:vAlign w:val="center"/>
                </w:tcPr>
                <w:p w14:paraId="778D7379">
                  <w:pPr>
                    <w:pStyle w:val="14"/>
                    <w:rPr>
                      <w:b/>
                      <w:bCs/>
                    </w:rPr>
                  </w:pPr>
                  <w:r>
                    <w:rPr>
                      <w:b/>
                      <w:bCs/>
                    </w:rPr>
                    <w:t>污染物种类</w:t>
                  </w:r>
                </w:p>
              </w:tc>
              <w:tc>
                <w:tcPr>
                  <w:tcW w:w="1702" w:type="dxa"/>
                  <w:tcBorders>
                    <w:tl2br w:val="nil"/>
                    <w:tr2bl w:val="nil"/>
                  </w:tcBorders>
                  <w:shd w:val="clear" w:color="auto" w:fill="FFFFFF" w:themeFill="background1"/>
                  <w:vAlign w:val="center"/>
                </w:tcPr>
                <w:p w14:paraId="49758568">
                  <w:pPr>
                    <w:pStyle w:val="14"/>
                    <w:rPr>
                      <w:b/>
                      <w:bCs/>
                    </w:rPr>
                  </w:pPr>
                  <w:r>
                    <w:rPr>
                      <w:b/>
                      <w:bCs/>
                    </w:rPr>
                    <w:t>排气筒高度（m）</w:t>
                  </w:r>
                </w:p>
              </w:tc>
              <w:tc>
                <w:tcPr>
                  <w:tcW w:w="1341" w:type="dxa"/>
                  <w:tcBorders>
                    <w:tl2br w:val="nil"/>
                    <w:tr2bl w:val="nil"/>
                  </w:tcBorders>
                  <w:shd w:val="clear" w:color="auto" w:fill="FFFFFF" w:themeFill="background1"/>
                  <w:vAlign w:val="center"/>
                </w:tcPr>
                <w:p w14:paraId="5C294ACF">
                  <w:pPr>
                    <w:pStyle w:val="14"/>
                    <w:rPr>
                      <w:b/>
                      <w:bCs/>
                    </w:rPr>
                  </w:pPr>
                  <w:r>
                    <w:rPr>
                      <w:b/>
                      <w:bCs/>
                    </w:rPr>
                    <w:t>排气筒出口内径（m）</w:t>
                  </w:r>
                </w:p>
              </w:tc>
              <w:tc>
                <w:tcPr>
                  <w:tcW w:w="1615" w:type="dxa"/>
                  <w:tcBorders>
                    <w:tl2br w:val="nil"/>
                    <w:tr2bl w:val="nil"/>
                  </w:tcBorders>
                  <w:shd w:val="clear" w:color="auto" w:fill="FFFFFF" w:themeFill="background1"/>
                  <w:vAlign w:val="center"/>
                </w:tcPr>
                <w:p w14:paraId="0F840F96">
                  <w:pPr>
                    <w:pStyle w:val="14"/>
                    <w:rPr>
                      <w:b/>
                      <w:bCs/>
                    </w:rPr>
                  </w:pPr>
                  <w:r>
                    <w:rPr>
                      <w:rFonts w:hint="eastAsia"/>
                      <w:b/>
                      <w:bCs/>
                    </w:rPr>
                    <w:t>标况风量（m</w:t>
                  </w:r>
                  <w:r>
                    <w:rPr>
                      <w:rFonts w:hint="eastAsia"/>
                      <w:b/>
                      <w:bCs/>
                      <w:vertAlign w:val="superscript"/>
                    </w:rPr>
                    <w:t>3</w:t>
                  </w:r>
                  <w:r>
                    <w:rPr>
                      <w:rFonts w:hint="eastAsia"/>
                      <w:b/>
                      <w:bCs/>
                    </w:rPr>
                    <w:t>/h）</w:t>
                  </w:r>
                </w:p>
              </w:tc>
              <w:tc>
                <w:tcPr>
                  <w:tcW w:w="1616" w:type="dxa"/>
                  <w:tcBorders>
                    <w:tl2br w:val="nil"/>
                    <w:tr2bl w:val="nil"/>
                  </w:tcBorders>
                  <w:shd w:val="clear" w:color="auto" w:fill="FFFFFF" w:themeFill="background1"/>
                  <w:vAlign w:val="center"/>
                </w:tcPr>
                <w:p w14:paraId="5C9EC3A2">
                  <w:pPr>
                    <w:pStyle w:val="14"/>
                    <w:rPr>
                      <w:b/>
                      <w:bCs/>
                    </w:rPr>
                  </w:pPr>
                  <w:r>
                    <w:rPr>
                      <w:rFonts w:hint="eastAsia"/>
                      <w:b/>
                      <w:bCs/>
                    </w:rPr>
                    <w:t>烟气流速（m/s）</w:t>
                  </w:r>
                </w:p>
              </w:tc>
              <w:tc>
                <w:tcPr>
                  <w:tcW w:w="1284" w:type="dxa"/>
                  <w:tcBorders>
                    <w:tl2br w:val="nil"/>
                    <w:tr2bl w:val="nil"/>
                  </w:tcBorders>
                  <w:shd w:val="clear" w:color="auto" w:fill="FFFFFF" w:themeFill="background1"/>
                  <w:vAlign w:val="center"/>
                </w:tcPr>
                <w:p w14:paraId="74B31E42">
                  <w:pPr>
                    <w:pStyle w:val="14"/>
                    <w:rPr>
                      <w:b/>
                      <w:bCs/>
                    </w:rPr>
                  </w:pPr>
                  <w:r>
                    <w:rPr>
                      <w:b/>
                      <w:bCs/>
                    </w:rPr>
                    <w:t>排气温度（℃）</w:t>
                  </w:r>
                </w:p>
              </w:tc>
              <w:tc>
                <w:tcPr>
                  <w:tcW w:w="1023" w:type="dxa"/>
                  <w:tcBorders>
                    <w:tl2br w:val="nil"/>
                    <w:tr2bl w:val="nil"/>
                  </w:tcBorders>
                  <w:shd w:val="clear" w:color="auto" w:fill="FFFFFF" w:themeFill="background1"/>
                  <w:vAlign w:val="center"/>
                </w:tcPr>
                <w:p w14:paraId="00CD089F">
                  <w:pPr>
                    <w:pStyle w:val="14"/>
                    <w:rPr>
                      <w:b/>
                      <w:bCs/>
                    </w:rPr>
                  </w:pPr>
                  <w:r>
                    <w:rPr>
                      <w:b/>
                      <w:bCs/>
                    </w:rPr>
                    <w:t>其他信息</w:t>
                  </w:r>
                </w:p>
              </w:tc>
            </w:tr>
            <w:tr w14:paraId="3AFBAE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91" w:type="dxa"/>
                  <w:tcBorders>
                    <w:tl2br w:val="nil"/>
                    <w:tr2bl w:val="nil"/>
                  </w:tcBorders>
                  <w:shd w:val="clear" w:color="auto" w:fill="FFFFFF" w:themeFill="background1"/>
                  <w:vAlign w:val="center"/>
                </w:tcPr>
                <w:p w14:paraId="50E54A9C">
                  <w:pPr>
                    <w:pStyle w:val="14"/>
                  </w:pPr>
                  <w:r>
                    <w:t>DA001</w:t>
                  </w:r>
                </w:p>
              </w:tc>
              <w:tc>
                <w:tcPr>
                  <w:tcW w:w="1585" w:type="dxa"/>
                  <w:tcBorders>
                    <w:tl2br w:val="nil"/>
                    <w:tr2bl w:val="nil"/>
                  </w:tcBorders>
                  <w:shd w:val="clear" w:color="auto" w:fill="FFFFFF" w:themeFill="background1"/>
                  <w:vAlign w:val="center"/>
                </w:tcPr>
                <w:p w14:paraId="4A377163">
                  <w:pPr>
                    <w:pStyle w:val="14"/>
                  </w:pPr>
                  <w:r>
                    <w:rPr>
                      <w:rFonts w:hint="eastAsia"/>
                    </w:rPr>
                    <w:t>有机废气</w:t>
                  </w:r>
                  <w:r>
                    <w:t>排放口</w:t>
                  </w:r>
                </w:p>
              </w:tc>
              <w:tc>
                <w:tcPr>
                  <w:tcW w:w="2920" w:type="dxa"/>
                  <w:tcBorders>
                    <w:tl2br w:val="nil"/>
                    <w:tr2bl w:val="nil"/>
                  </w:tcBorders>
                  <w:shd w:val="clear" w:color="auto" w:fill="FFFFFF" w:themeFill="background1"/>
                  <w:vAlign w:val="center"/>
                </w:tcPr>
                <w:p w14:paraId="78B185E7">
                  <w:pPr>
                    <w:pStyle w:val="14"/>
                    <w:rPr>
                      <w:rFonts w:hint="eastAsia" w:eastAsia="宋体"/>
                      <w:lang w:eastAsia="zh-CN"/>
                    </w:rPr>
                  </w:pPr>
                  <w:r>
                    <w:rPr>
                      <w:rFonts w:hint="eastAsia"/>
                      <w:lang w:eastAsia="zh-CN"/>
                    </w:rPr>
                    <w:t>氨</w:t>
                  </w:r>
                </w:p>
              </w:tc>
              <w:tc>
                <w:tcPr>
                  <w:tcW w:w="1702" w:type="dxa"/>
                  <w:tcBorders>
                    <w:tl2br w:val="nil"/>
                    <w:tr2bl w:val="nil"/>
                  </w:tcBorders>
                  <w:shd w:val="clear" w:color="auto" w:fill="FFFFFF" w:themeFill="background1"/>
                  <w:vAlign w:val="center"/>
                </w:tcPr>
                <w:p w14:paraId="35589308">
                  <w:pPr>
                    <w:pStyle w:val="14"/>
                  </w:pPr>
                  <w:r>
                    <w:rPr>
                      <w:rFonts w:hint="eastAsia"/>
                    </w:rPr>
                    <w:t>1</w:t>
                  </w:r>
                  <w:r>
                    <w:t>5</w:t>
                  </w:r>
                </w:p>
              </w:tc>
              <w:tc>
                <w:tcPr>
                  <w:tcW w:w="1341" w:type="dxa"/>
                  <w:tcBorders>
                    <w:tl2br w:val="nil"/>
                    <w:tr2bl w:val="nil"/>
                  </w:tcBorders>
                  <w:shd w:val="clear" w:color="auto" w:fill="FFFFFF" w:themeFill="background1"/>
                  <w:vAlign w:val="center"/>
                </w:tcPr>
                <w:p w14:paraId="25660C27">
                  <w:pPr>
                    <w:pStyle w:val="14"/>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w:t>
                  </w:r>
                </w:p>
              </w:tc>
              <w:tc>
                <w:tcPr>
                  <w:tcW w:w="1615" w:type="dxa"/>
                  <w:tcBorders>
                    <w:tl2br w:val="nil"/>
                    <w:tr2bl w:val="nil"/>
                  </w:tcBorders>
                  <w:shd w:val="clear" w:color="auto" w:fill="FFFFFF" w:themeFill="background1"/>
                  <w:vAlign w:val="center"/>
                </w:tcPr>
                <w:p w14:paraId="10069581">
                  <w:pPr>
                    <w:pStyle w:val="14"/>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00</w:t>
                  </w:r>
                </w:p>
              </w:tc>
              <w:tc>
                <w:tcPr>
                  <w:tcW w:w="1616" w:type="dxa"/>
                  <w:tcBorders>
                    <w:tl2br w:val="nil"/>
                    <w:tr2bl w:val="nil"/>
                  </w:tcBorders>
                  <w:shd w:val="clear" w:color="auto" w:fill="FFFFFF" w:themeFill="background1"/>
                  <w:vAlign w:val="center"/>
                </w:tcPr>
                <w:p w14:paraId="7544C6BD">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4.42</w:t>
                  </w:r>
                </w:p>
              </w:tc>
              <w:tc>
                <w:tcPr>
                  <w:tcW w:w="1284" w:type="dxa"/>
                  <w:tcBorders>
                    <w:tl2br w:val="nil"/>
                    <w:tr2bl w:val="nil"/>
                  </w:tcBorders>
                  <w:shd w:val="clear" w:color="auto" w:fill="FFFFFF" w:themeFill="background1"/>
                  <w:vAlign w:val="center"/>
                </w:tcPr>
                <w:p w14:paraId="1401029B">
                  <w:pPr>
                    <w:pStyle w:val="14"/>
                  </w:pPr>
                  <w:r>
                    <w:rPr>
                      <w:rFonts w:hint="eastAsia"/>
                    </w:rPr>
                    <w:t>25</w:t>
                  </w:r>
                </w:p>
              </w:tc>
              <w:tc>
                <w:tcPr>
                  <w:tcW w:w="1023" w:type="dxa"/>
                  <w:tcBorders>
                    <w:tl2br w:val="nil"/>
                    <w:tr2bl w:val="nil"/>
                  </w:tcBorders>
                  <w:shd w:val="clear" w:color="auto" w:fill="FFFFFF" w:themeFill="background1"/>
                  <w:vAlign w:val="center"/>
                </w:tcPr>
                <w:p w14:paraId="1546E903">
                  <w:pPr>
                    <w:pStyle w:val="14"/>
                  </w:pPr>
                  <w:r>
                    <w:rPr>
                      <w:rFonts w:hint="eastAsia"/>
                    </w:rPr>
                    <w:t>/</w:t>
                  </w:r>
                </w:p>
              </w:tc>
            </w:tr>
          </w:tbl>
          <w:p w14:paraId="67E35FA2">
            <w:pPr>
              <w:pStyle w:val="15"/>
            </w:pPr>
          </w:p>
          <w:p w14:paraId="7120D83C">
            <w:pPr>
              <w:adjustRightInd w:val="0"/>
              <w:snapToGrid w:val="0"/>
              <w:ind w:firstLine="480" w:firstLineChars="200"/>
            </w:pPr>
            <w:r>
              <w:rPr>
                <w:rFonts w:hint="eastAsia"/>
              </w:rPr>
              <w:t>（1）达标排放分析</w:t>
            </w:r>
          </w:p>
          <w:p w14:paraId="0430BDF6">
            <w:pPr>
              <w:adjustRightInd w:val="0"/>
              <w:snapToGrid w:val="0"/>
              <w:ind w:firstLine="480" w:firstLineChars="200"/>
            </w:pPr>
            <w:r>
              <w:rPr>
                <w:rFonts w:hint="eastAsia"/>
              </w:rPr>
              <w:t>①有组织排放达标分析：项目废气有组织排放和达标情况见下表。</w:t>
            </w:r>
          </w:p>
          <w:p w14:paraId="168A8C31">
            <w:pPr>
              <w:autoSpaceDE w:val="0"/>
              <w:autoSpaceDN w:val="0"/>
              <w:adjustRightInd w:val="0"/>
              <w:snapToGrid w:val="0"/>
              <w:spacing w:line="240" w:lineRule="auto"/>
              <w:jc w:val="center"/>
              <w:textAlignment w:val="baseline"/>
              <w:rPr>
                <w:b/>
                <w:kern w:val="24"/>
                <w:szCs w:val="20"/>
              </w:rPr>
            </w:pPr>
            <w:r>
              <w:rPr>
                <w:b/>
                <w:kern w:val="24"/>
                <w:szCs w:val="20"/>
              </w:rPr>
              <w:t>表4-</w:t>
            </w:r>
            <w:r>
              <w:rPr>
                <w:rFonts w:hint="eastAsia"/>
                <w:b/>
                <w:kern w:val="24"/>
                <w:szCs w:val="20"/>
              </w:rPr>
              <w:t>11</w:t>
            </w:r>
            <w:r>
              <w:rPr>
                <w:b/>
                <w:kern w:val="24"/>
                <w:szCs w:val="20"/>
              </w:rPr>
              <w:t xml:space="preserve"> </w:t>
            </w:r>
            <w:r>
              <w:rPr>
                <w:rFonts w:hint="eastAsia"/>
                <w:b/>
                <w:kern w:val="24"/>
                <w:szCs w:val="20"/>
              </w:rPr>
              <w:t>项目废气</w:t>
            </w:r>
            <w:r>
              <w:rPr>
                <w:b/>
                <w:kern w:val="24"/>
                <w:szCs w:val="20"/>
              </w:rPr>
              <w:t>排放标准及达标分析</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0" w:type="dxa"/>
                <w:left w:w="57" w:type="dxa"/>
                <w:bottom w:w="0" w:type="dxa"/>
                <w:right w:w="57" w:type="dxa"/>
              </w:tblCellMar>
            </w:tblPr>
            <w:tblGrid>
              <w:gridCol w:w="846"/>
              <w:gridCol w:w="1264"/>
              <w:gridCol w:w="1549"/>
              <w:gridCol w:w="1101"/>
              <w:gridCol w:w="979"/>
              <w:gridCol w:w="3777"/>
              <w:gridCol w:w="1409"/>
              <w:gridCol w:w="975"/>
              <w:gridCol w:w="952"/>
              <w:gridCol w:w="1171"/>
              <w:gridCol w:w="579"/>
            </w:tblGrid>
            <w:tr w14:paraId="591590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846" w:type="dxa"/>
                  <w:vMerge w:val="restart"/>
                  <w:tcBorders>
                    <w:tl2br w:val="nil"/>
                    <w:tr2bl w:val="nil"/>
                  </w:tcBorders>
                  <w:shd w:val="clear" w:color="auto" w:fill="FFFFFF"/>
                  <w:vAlign w:val="center"/>
                </w:tcPr>
                <w:p w14:paraId="5BC076A3">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排放口编号</w:t>
                  </w:r>
                </w:p>
              </w:tc>
              <w:tc>
                <w:tcPr>
                  <w:tcW w:w="1264" w:type="dxa"/>
                  <w:vMerge w:val="restart"/>
                  <w:tcBorders>
                    <w:tl2br w:val="nil"/>
                    <w:tr2bl w:val="nil"/>
                  </w:tcBorders>
                  <w:shd w:val="clear" w:color="auto" w:fill="FFFFFF"/>
                  <w:vAlign w:val="center"/>
                </w:tcPr>
                <w:p w14:paraId="7E75DDB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排放口名称</w:t>
                  </w:r>
                </w:p>
              </w:tc>
              <w:tc>
                <w:tcPr>
                  <w:tcW w:w="1549" w:type="dxa"/>
                  <w:vMerge w:val="restart"/>
                  <w:tcBorders>
                    <w:tl2br w:val="nil"/>
                    <w:tr2bl w:val="nil"/>
                  </w:tcBorders>
                  <w:shd w:val="clear" w:color="auto" w:fill="FFFFFF"/>
                  <w:vAlign w:val="center"/>
                </w:tcPr>
                <w:p w14:paraId="39A45765">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污染物种类</w:t>
                  </w:r>
                </w:p>
              </w:tc>
              <w:tc>
                <w:tcPr>
                  <w:tcW w:w="2080" w:type="dxa"/>
                  <w:gridSpan w:val="2"/>
                  <w:tcBorders>
                    <w:tl2br w:val="nil"/>
                    <w:tr2bl w:val="nil"/>
                  </w:tcBorders>
                  <w:shd w:val="clear" w:color="auto" w:fill="FFFFFF"/>
                  <w:vAlign w:val="center"/>
                </w:tcPr>
                <w:p w14:paraId="1707A26A">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排放源强</w:t>
                  </w:r>
                </w:p>
              </w:tc>
              <w:tc>
                <w:tcPr>
                  <w:tcW w:w="6161" w:type="dxa"/>
                  <w:gridSpan w:val="3"/>
                  <w:tcBorders>
                    <w:tl2br w:val="nil"/>
                    <w:tr2bl w:val="nil"/>
                  </w:tcBorders>
                  <w:shd w:val="clear" w:color="auto" w:fill="FFFFFF"/>
                  <w:vAlign w:val="center"/>
                </w:tcPr>
                <w:p w14:paraId="598F2098">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国家或地方污染物排放标准</w:t>
                  </w:r>
                </w:p>
              </w:tc>
              <w:tc>
                <w:tcPr>
                  <w:tcW w:w="952" w:type="dxa"/>
                  <w:vMerge w:val="restart"/>
                  <w:tcBorders>
                    <w:tl2br w:val="nil"/>
                    <w:tr2bl w:val="nil"/>
                  </w:tcBorders>
                  <w:shd w:val="clear" w:color="auto" w:fill="FFFFFF"/>
                  <w:vAlign w:val="center"/>
                </w:tcPr>
                <w:p w14:paraId="46DD9672">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排气筒高度（m）</w:t>
                  </w:r>
                </w:p>
              </w:tc>
              <w:tc>
                <w:tcPr>
                  <w:tcW w:w="1171" w:type="dxa"/>
                  <w:vMerge w:val="restart"/>
                  <w:tcBorders>
                    <w:tl2br w:val="nil"/>
                    <w:tr2bl w:val="nil"/>
                  </w:tcBorders>
                  <w:shd w:val="clear" w:color="auto" w:fill="FFFFFF"/>
                  <w:vAlign w:val="center"/>
                </w:tcPr>
                <w:p w14:paraId="40F855A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治理措施</w:t>
                  </w:r>
                </w:p>
              </w:tc>
              <w:tc>
                <w:tcPr>
                  <w:tcW w:w="579" w:type="dxa"/>
                  <w:vMerge w:val="restart"/>
                  <w:tcBorders>
                    <w:tl2br w:val="nil"/>
                    <w:tr2bl w:val="nil"/>
                  </w:tcBorders>
                  <w:shd w:val="clear" w:color="auto" w:fill="FFFFFF"/>
                  <w:vAlign w:val="center"/>
                </w:tcPr>
                <w:p w14:paraId="663D54B1">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达标情况</w:t>
                  </w:r>
                </w:p>
              </w:tc>
            </w:tr>
            <w:tr w14:paraId="1E969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jc w:val="center"/>
              </w:trPr>
              <w:tc>
                <w:tcPr>
                  <w:tcW w:w="846" w:type="dxa"/>
                  <w:vMerge w:val="continue"/>
                  <w:tcBorders>
                    <w:tl2br w:val="nil"/>
                    <w:tr2bl w:val="nil"/>
                  </w:tcBorders>
                  <w:shd w:val="clear" w:color="auto" w:fill="FFFFFF"/>
                  <w:vAlign w:val="center"/>
                </w:tcPr>
                <w:p w14:paraId="3749537A">
                  <w:pPr>
                    <w:adjustRightInd w:val="0"/>
                    <w:snapToGrid w:val="0"/>
                    <w:spacing w:line="240" w:lineRule="auto"/>
                    <w:jc w:val="center"/>
                    <w:rPr>
                      <w:b/>
                      <w:bCs/>
                      <w:color w:val="000000" w:themeColor="text1"/>
                      <w:sz w:val="21"/>
                      <w14:textFill>
                        <w14:solidFill>
                          <w14:schemeClr w14:val="tx1"/>
                        </w14:solidFill>
                      </w14:textFill>
                    </w:rPr>
                  </w:pPr>
                </w:p>
              </w:tc>
              <w:tc>
                <w:tcPr>
                  <w:tcW w:w="1264" w:type="dxa"/>
                  <w:vMerge w:val="continue"/>
                  <w:tcBorders>
                    <w:tl2br w:val="nil"/>
                    <w:tr2bl w:val="nil"/>
                  </w:tcBorders>
                  <w:shd w:val="clear" w:color="auto" w:fill="FFFFFF"/>
                  <w:vAlign w:val="center"/>
                </w:tcPr>
                <w:p w14:paraId="74A24EF5">
                  <w:pPr>
                    <w:adjustRightInd w:val="0"/>
                    <w:snapToGrid w:val="0"/>
                    <w:spacing w:line="240" w:lineRule="auto"/>
                    <w:jc w:val="center"/>
                    <w:rPr>
                      <w:b/>
                      <w:bCs/>
                      <w:color w:val="000000" w:themeColor="text1"/>
                      <w:sz w:val="21"/>
                      <w14:textFill>
                        <w14:solidFill>
                          <w14:schemeClr w14:val="tx1"/>
                        </w14:solidFill>
                      </w14:textFill>
                    </w:rPr>
                  </w:pPr>
                </w:p>
              </w:tc>
              <w:tc>
                <w:tcPr>
                  <w:tcW w:w="1549" w:type="dxa"/>
                  <w:vMerge w:val="continue"/>
                  <w:tcBorders>
                    <w:tl2br w:val="nil"/>
                    <w:tr2bl w:val="nil"/>
                  </w:tcBorders>
                  <w:shd w:val="clear" w:color="auto" w:fill="FFFFFF"/>
                  <w:vAlign w:val="center"/>
                </w:tcPr>
                <w:p w14:paraId="2ECC55E3">
                  <w:pPr>
                    <w:adjustRightInd w:val="0"/>
                    <w:snapToGrid w:val="0"/>
                    <w:spacing w:line="240" w:lineRule="auto"/>
                    <w:jc w:val="center"/>
                    <w:rPr>
                      <w:b/>
                      <w:bCs/>
                      <w:color w:val="000000" w:themeColor="text1"/>
                      <w:sz w:val="21"/>
                      <w14:textFill>
                        <w14:solidFill>
                          <w14:schemeClr w14:val="tx1"/>
                        </w14:solidFill>
                      </w14:textFill>
                    </w:rPr>
                  </w:pPr>
                </w:p>
              </w:tc>
              <w:tc>
                <w:tcPr>
                  <w:tcW w:w="1101" w:type="dxa"/>
                  <w:tcBorders>
                    <w:tl2br w:val="nil"/>
                    <w:tr2bl w:val="nil"/>
                  </w:tcBorders>
                  <w:shd w:val="clear" w:color="auto" w:fill="FFFFFF"/>
                  <w:vAlign w:val="center"/>
                </w:tcPr>
                <w:p w14:paraId="3FBAF5CB">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排放浓度</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mg/m</w:t>
                  </w:r>
                  <w:r>
                    <w:rPr>
                      <w:b/>
                      <w:bCs/>
                      <w:color w:val="000000" w:themeColor="text1"/>
                      <w:sz w:val="21"/>
                      <w:vertAlign w:val="superscript"/>
                      <w14:textFill>
                        <w14:solidFill>
                          <w14:schemeClr w14:val="tx1"/>
                        </w14:solidFill>
                      </w14:textFill>
                    </w:rPr>
                    <w:t>3</w:t>
                  </w:r>
                  <w:r>
                    <w:rPr>
                      <w:rFonts w:hint="eastAsia"/>
                      <w:b/>
                      <w:bCs/>
                      <w:color w:val="000000" w:themeColor="text1"/>
                      <w:sz w:val="21"/>
                      <w14:textFill>
                        <w14:solidFill>
                          <w14:schemeClr w14:val="tx1"/>
                        </w14:solidFill>
                      </w14:textFill>
                    </w:rPr>
                    <w:t>）</w:t>
                  </w:r>
                </w:p>
              </w:tc>
              <w:tc>
                <w:tcPr>
                  <w:tcW w:w="979" w:type="dxa"/>
                  <w:tcBorders>
                    <w:tl2br w:val="nil"/>
                    <w:tr2bl w:val="nil"/>
                  </w:tcBorders>
                  <w:shd w:val="clear" w:color="auto" w:fill="FFFFFF"/>
                  <w:vAlign w:val="center"/>
                </w:tcPr>
                <w:p w14:paraId="7D9E3BD1">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排放速率</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kg/h</w:t>
                  </w:r>
                  <w:r>
                    <w:rPr>
                      <w:rFonts w:hint="eastAsia"/>
                      <w:b/>
                      <w:bCs/>
                      <w:color w:val="000000" w:themeColor="text1"/>
                      <w:sz w:val="21"/>
                      <w14:textFill>
                        <w14:solidFill>
                          <w14:schemeClr w14:val="tx1"/>
                        </w14:solidFill>
                      </w14:textFill>
                    </w:rPr>
                    <w:t>）</w:t>
                  </w:r>
                </w:p>
              </w:tc>
              <w:tc>
                <w:tcPr>
                  <w:tcW w:w="3777" w:type="dxa"/>
                  <w:tcBorders>
                    <w:tl2br w:val="nil"/>
                    <w:tr2bl w:val="nil"/>
                  </w:tcBorders>
                  <w:shd w:val="clear" w:color="auto" w:fill="FFFFFF"/>
                  <w:vAlign w:val="center"/>
                </w:tcPr>
                <w:p w14:paraId="52616626">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名称</w:t>
                  </w:r>
                </w:p>
              </w:tc>
              <w:tc>
                <w:tcPr>
                  <w:tcW w:w="1409" w:type="dxa"/>
                  <w:tcBorders>
                    <w:tl2br w:val="nil"/>
                    <w:tr2bl w:val="nil"/>
                  </w:tcBorders>
                  <w:shd w:val="clear" w:color="auto" w:fill="FFFFFF"/>
                  <w:vAlign w:val="center"/>
                </w:tcPr>
                <w:p w14:paraId="0833C0D7">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浓度限值</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mg/m</w:t>
                  </w:r>
                  <w:r>
                    <w:rPr>
                      <w:b/>
                      <w:bCs/>
                      <w:color w:val="000000" w:themeColor="text1"/>
                      <w:sz w:val="21"/>
                      <w:vertAlign w:val="superscript"/>
                      <w14:textFill>
                        <w14:solidFill>
                          <w14:schemeClr w14:val="tx1"/>
                        </w14:solidFill>
                      </w14:textFill>
                    </w:rPr>
                    <w:t>3</w:t>
                  </w:r>
                  <w:r>
                    <w:rPr>
                      <w:rFonts w:hint="eastAsia"/>
                      <w:b/>
                      <w:bCs/>
                      <w:color w:val="000000" w:themeColor="text1"/>
                      <w:sz w:val="21"/>
                      <w14:textFill>
                        <w14:solidFill>
                          <w14:schemeClr w14:val="tx1"/>
                        </w14:solidFill>
                      </w14:textFill>
                    </w:rPr>
                    <w:t>）</w:t>
                  </w:r>
                </w:p>
              </w:tc>
              <w:tc>
                <w:tcPr>
                  <w:tcW w:w="975" w:type="dxa"/>
                  <w:tcBorders>
                    <w:tl2br w:val="nil"/>
                    <w:tr2bl w:val="nil"/>
                  </w:tcBorders>
                  <w:shd w:val="clear" w:color="auto" w:fill="FFFFFF"/>
                  <w:vAlign w:val="center"/>
                </w:tcPr>
                <w:p w14:paraId="32BBE1F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速率限值（kg/h）</w:t>
                  </w:r>
                </w:p>
              </w:tc>
              <w:tc>
                <w:tcPr>
                  <w:tcW w:w="952" w:type="dxa"/>
                  <w:vMerge w:val="continue"/>
                  <w:tcBorders>
                    <w:tl2br w:val="nil"/>
                    <w:tr2bl w:val="nil"/>
                  </w:tcBorders>
                  <w:shd w:val="clear" w:color="auto" w:fill="FFFFFF"/>
                  <w:vAlign w:val="center"/>
                </w:tcPr>
                <w:p w14:paraId="79F17F73">
                  <w:pPr>
                    <w:adjustRightInd w:val="0"/>
                    <w:snapToGrid w:val="0"/>
                    <w:spacing w:line="240" w:lineRule="auto"/>
                    <w:jc w:val="center"/>
                    <w:rPr>
                      <w:b/>
                      <w:bCs/>
                      <w:color w:val="000000" w:themeColor="text1"/>
                      <w:sz w:val="21"/>
                      <w14:textFill>
                        <w14:solidFill>
                          <w14:schemeClr w14:val="tx1"/>
                        </w14:solidFill>
                      </w14:textFill>
                    </w:rPr>
                  </w:pPr>
                </w:p>
              </w:tc>
              <w:tc>
                <w:tcPr>
                  <w:tcW w:w="1171" w:type="dxa"/>
                  <w:vMerge w:val="continue"/>
                  <w:tcBorders>
                    <w:tl2br w:val="nil"/>
                    <w:tr2bl w:val="nil"/>
                  </w:tcBorders>
                  <w:shd w:val="clear" w:color="auto" w:fill="FFFFFF"/>
                  <w:vAlign w:val="center"/>
                </w:tcPr>
                <w:p w14:paraId="28FCE301">
                  <w:pPr>
                    <w:adjustRightInd w:val="0"/>
                    <w:snapToGrid w:val="0"/>
                    <w:spacing w:line="240" w:lineRule="auto"/>
                    <w:jc w:val="center"/>
                    <w:rPr>
                      <w:b/>
                      <w:bCs/>
                      <w:color w:val="000000" w:themeColor="text1"/>
                      <w:sz w:val="21"/>
                      <w14:textFill>
                        <w14:solidFill>
                          <w14:schemeClr w14:val="tx1"/>
                        </w14:solidFill>
                      </w14:textFill>
                    </w:rPr>
                  </w:pPr>
                </w:p>
              </w:tc>
              <w:tc>
                <w:tcPr>
                  <w:tcW w:w="579" w:type="dxa"/>
                  <w:vMerge w:val="continue"/>
                  <w:tcBorders>
                    <w:tl2br w:val="nil"/>
                    <w:tr2bl w:val="nil"/>
                  </w:tcBorders>
                  <w:shd w:val="clear" w:color="auto" w:fill="FFFFFF"/>
                  <w:vAlign w:val="center"/>
                </w:tcPr>
                <w:p w14:paraId="49F82291">
                  <w:pPr>
                    <w:adjustRightInd w:val="0"/>
                    <w:snapToGrid w:val="0"/>
                    <w:spacing w:line="240" w:lineRule="auto"/>
                    <w:jc w:val="center"/>
                    <w:rPr>
                      <w:b/>
                      <w:bCs/>
                      <w:color w:val="000000" w:themeColor="text1"/>
                      <w:sz w:val="21"/>
                      <w14:textFill>
                        <w14:solidFill>
                          <w14:schemeClr w14:val="tx1"/>
                        </w14:solidFill>
                      </w14:textFill>
                    </w:rPr>
                  </w:pPr>
                </w:p>
              </w:tc>
            </w:tr>
            <w:tr w14:paraId="0E36F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0" w:type="dxa"/>
                  <w:left w:w="57" w:type="dxa"/>
                  <w:bottom w:w="0" w:type="dxa"/>
                  <w:right w:w="57" w:type="dxa"/>
                </w:tblCellMar>
              </w:tblPrEx>
              <w:trPr>
                <w:jc w:val="center"/>
              </w:trPr>
              <w:tc>
                <w:tcPr>
                  <w:tcW w:w="846" w:type="dxa"/>
                  <w:tcBorders>
                    <w:tl2br w:val="nil"/>
                    <w:tr2bl w:val="nil"/>
                  </w:tcBorders>
                  <w:shd w:val="clear" w:color="auto" w:fill="FFFFFF"/>
                  <w:vAlign w:val="center"/>
                </w:tcPr>
                <w:p w14:paraId="0BEC72D0">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DA001</w:t>
                  </w:r>
                </w:p>
              </w:tc>
              <w:tc>
                <w:tcPr>
                  <w:tcW w:w="1264" w:type="dxa"/>
                  <w:tcBorders>
                    <w:tl2br w:val="nil"/>
                    <w:tr2bl w:val="nil"/>
                  </w:tcBorders>
                  <w:shd w:val="clear" w:color="auto" w:fill="FFFFFF"/>
                  <w:vAlign w:val="center"/>
                </w:tcPr>
                <w:p w14:paraId="1794A969">
                  <w:pPr>
                    <w:pStyle w:val="14"/>
                    <w:rPr>
                      <w:color w:val="000000" w:themeColor="text1"/>
                      <w:kern w:val="2"/>
                      <w:szCs w:val="24"/>
                      <w14:textFill>
                        <w14:solidFill>
                          <w14:schemeClr w14:val="tx1"/>
                        </w14:solidFill>
                      </w14:textFill>
                    </w:rPr>
                  </w:pPr>
                  <w:r>
                    <w:rPr>
                      <w:rFonts w:hint="eastAsia"/>
                      <w:color w:val="000000" w:themeColor="text1"/>
                      <w:lang w:eastAsia="zh-CN"/>
                      <w14:textFill>
                        <w14:solidFill>
                          <w14:schemeClr w14:val="tx1"/>
                        </w14:solidFill>
                      </w14:textFill>
                    </w:rPr>
                    <w:t>尾气吸收塔</w:t>
                  </w:r>
                  <w:r>
                    <w:rPr>
                      <w:rFonts w:hint="eastAsia"/>
                      <w:color w:val="000000" w:themeColor="text1"/>
                      <w14:textFill>
                        <w14:solidFill>
                          <w14:schemeClr w14:val="tx1"/>
                        </w14:solidFill>
                      </w14:textFill>
                    </w:rPr>
                    <w:t>废气排放口</w:t>
                  </w:r>
                </w:p>
              </w:tc>
              <w:tc>
                <w:tcPr>
                  <w:tcW w:w="1549" w:type="dxa"/>
                  <w:tcBorders>
                    <w:tl2br w:val="nil"/>
                    <w:tr2bl w:val="nil"/>
                  </w:tcBorders>
                  <w:shd w:val="clear" w:color="auto" w:fill="FFFFFF"/>
                  <w:vAlign w:val="center"/>
                </w:tcPr>
                <w:p w14:paraId="4BCA502C">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氨</w:t>
                  </w:r>
                </w:p>
              </w:tc>
              <w:tc>
                <w:tcPr>
                  <w:tcW w:w="1101" w:type="dxa"/>
                  <w:tcBorders>
                    <w:tl2br w:val="nil"/>
                    <w:tr2bl w:val="nil"/>
                  </w:tcBorders>
                  <w:shd w:val="clear" w:color="auto" w:fill="FFFFFF"/>
                  <w:vAlign w:val="center"/>
                </w:tcPr>
                <w:p w14:paraId="338DB1A7">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293</w:t>
                  </w:r>
                </w:p>
              </w:tc>
              <w:tc>
                <w:tcPr>
                  <w:tcW w:w="979" w:type="dxa"/>
                  <w:tcBorders>
                    <w:tl2br w:val="nil"/>
                    <w:tr2bl w:val="nil"/>
                  </w:tcBorders>
                  <w:shd w:val="clear" w:color="auto" w:fill="FFFFFF"/>
                  <w:vAlign w:val="center"/>
                </w:tcPr>
                <w:p w14:paraId="33F00AA7">
                  <w:pPr>
                    <w:pStyle w:val="14"/>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1465</w:t>
                  </w:r>
                </w:p>
              </w:tc>
              <w:tc>
                <w:tcPr>
                  <w:tcW w:w="3777" w:type="dxa"/>
                  <w:tcBorders>
                    <w:tl2br w:val="nil"/>
                    <w:tr2bl w:val="nil"/>
                  </w:tcBorders>
                  <w:shd w:val="clear" w:color="auto" w:fill="FFFFFF"/>
                  <w:vAlign w:val="center"/>
                </w:tcPr>
                <w:p w14:paraId="167111B4">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《恶臭污染物排放标准》（GB14554-93）表1恶臭污染物厂界标准值二级新扩改建标准</w:t>
                  </w:r>
                </w:p>
              </w:tc>
              <w:tc>
                <w:tcPr>
                  <w:tcW w:w="1409" w:type="dxa"/>
                  <w:tcBorders>
                    <w:tl2br w:val="nil"/>
                    <w:tr2bl w:val="nil"/>
                  </w:tcBorders>
                  <w:shd w:val="clear" w:color="auto" w:fill="FFFFFF"/>
                  <w:vAlign w:val="center"/>
                </w:tcPr>
                <w:p w14:paraId="51550366">
                  <w:pPr>
                    <w:adjustRightInd w:val="0"/>
                    <w:snapToGrid w:val="0"/>
                    <w:spacing w:line="240" w:lineRule="auto"/>
                    <w:jc w:val="center"/>
                    <w:rPr>
                      <w:rFonts w:hint="eastAsia" w:eastAsia="宋体"/>
                      <w:color w:val="000000" w:themeColor="text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975" w:type="dxa"/>
                  <w:tcBorders>
                    <w:tl2br w:val="nil"/>
                    <w:tr2bl w:val="nil"/>
                  </w:tcBorders>
                  <w:shd w:val="clear" w:color="auto" w:fill="FFFFFF"/>
                  <w:vAlign w:val="center"/>
                </w:tcPr>
                <w:p w14:paraId="1D888B57">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4.9</w:t>
                  </w:r>
                </w:p>
              </w:tc>
              <w:tc>
                <w:tcPr>
                  <w:tcW w:w="952" w:type="dxa"/>
                  <w:tcBorders>
                    <w:tl2br w:val="nil"/>
                    <w:tr2bl w:val="nil"/>
                  </w:tcBorders>
                  <w:shd w:val="clear" w:color="auto" w:fill="FFFFFF"/>
                  <w:vAlign w:val="center"/>
                </w:tcPr>
                <w:p w14:paraId="15533F8B">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15</w:t>
                  </w:r>
                </w:p>
              </w:tc>
              <w:tc>
                <w:tcPr>
                  <w:tcW w:w="1171" w:type="dxa"/>
                  <w:tcBorders>
                    <w:tl2br w:val="nil"/>
                    <w:tr2bl w:val="nil"/>
                  </w:tcBorders>
                  <w:shd w:val="clear" w:color="auto" w:fill="FFFFFF"/>
                  <w:vAlign w:val="center"/>
                </w:tcPr>
                <w:p w14:paraId="6B2488DB">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尾气吸收塔</w:t>
                  </w:r>
                </w:p>
              </w:tc>
              <w:tc>
                <w:tcPr>
                  <w:tcW w:w="579" w:type="dxa"/>
                  <w:tcBorders>
                    <w:tl2br w:val="nil"/>
                    <w:tr2bl w:val="nil"/>
                  </w:tcBorders>
                  <w:shd w:val="clear" w:color="auto" w:fill="FFFFFF"/>
                  <w:vAlign w:val="center"/>
                </w:tcPr>
                <w:p w14:paraId="0A7BE7E4">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r>
          </w:tbl>
          <w:p w14:paraId="6A59CDF2">
            <w:pPr>
              <w:pStyle w:val="14"/>
            </w:pPr>
          </w:p>
          <w:p w14:paraId="0685B3C2">
            <w:pPr>
              <w:adjustRightInd w:val="0"/>
              <w:snapToGrid w:val="0"/>
              <w:ind w:firstLine="480" w:firstLineChars="200"/>
            </w:pPr>
            <w:r>
              <w:rPr>
                <w:rFonts w:hint="eastAsia"/>
              </w:rPr>
              <w:t>②无组织排放达标分析</w:t>
            </w:r>
          </w:p>
          <w:p w14:paraId="47ADF545">
            <w:pPr>
              <w:adjustRightInd w:val="0"/>
              <w:snapToGrid w:val="0"/>
              <w:ind w:firstLine="480" w:firstLineChars="200"/>
            </w:pPr>
            <w:r>
              <w:rPr>
                <w:rFonts w:hint="eastAsia"/>
              </w:rPr>
              <w:t>本项目无组织废气主要包括有无组织</w:t>
            </w:r>
            <w:r>
              <w:rPr>
                <w:rFonts w:hint="eastAsia"/>
                <w:lang w:eastAsia="zh-CN"/>
              </w:rPr>
              <w:t>氨、烟尘、二氧化硫和氮氧化物</w:t>
            </w:r>
            <w:r>
              <w:rPr>
                <w:rFonts w:hint="eastAsia"/>
              </w:rPr>
              <w:t>，本项目</w:t>
            </w:r>
            <w:r>
              <w:rPr>
                <w:rFonts w:hint="eastAsia"/>
                <w:lang w:eastAsia="zh-CN"/>
              </w:rPr>
              <w:t>氨水卸入槽罐车过程可能产生少量跑冒滴漏氨</w:t>
            </w:r>
            <w:r>
              <w:rPr>
                <w:rFonts w:hint="eastAsia"/>
              </w:rPr>
              <w:t>，无组织</w:t>
            </w:r>
            <w:r>
              <w:rPr>
                <w:rFonts w:hint="eastAsia"/>
                <w:lang w:eastAsia="zh-CN"/>
              </w:rPr>
              <w:t>氨</w:t>
            </w:r>
            <w:r>
              <w:rPr>
                <w:rFonts w:hint="eastAsia"/>
              </w:rPr>
              <w:t>废气排放满足《恶臭污染物排放标准》（GB14554-93）表1恶臭污染物厂界标准值二级新扩改建标准（</w:t>
            </w:r>
            <w:r>
              <w:rPr>
                <w:rFonts w:hint="eastAsia"/>
                <w:lang w:eastAsia="zh-CN"/>
              </w:rPr>
              <w:t>氨</w:t>
            </w:r>
            <w:r>
              <w:rPr>
                <w:rFonts w:hint="eastAsia"/>
              </w:rPr>
              <w:t>≤</w:t>
            </w:r>
            <w:r>
              <w:rPr>
                <w:rFonts w:hint="eastAsia"/>
                <w:lang w:val="en-US" w:eastAsia="zh-CN"/>
              </w:rPr>
              <w:t>1.5</w:t>
            </w:r>
            <w:r>
              <w:rPr>
                <w:rFonts w:hint="eastAsia"/>
              </w:rPr>
              <w:t>mg/m</w:t>
            </w:r>
            <w:r>
              <w:rPr>
                <w:rFonts w:hint="eastAsia"/>
                <w:vertAlign w:val="superscript"/>
              </w:rPr>
              <w:t>3</w:t>
            </w:r>
            <w:r>
              <w:rPr>
                <w:rFonts w:hint="eastAsia"/>
              </w:rPr>
              <w:t>）；项目发电机废气污染物排放执行《大气污染物综合排放标准》(GB16297-1996)新污染源最高允许排放浓度限值</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烟尘</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120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550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NOx</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14:paraId="38F4387A">
            <w:pPr>
              <w:adjustRightInd w:val="0"/>
              <w:snapToGrid w:val="0"/>
              <w:ind w:firstLine="480" w:firstLineChars="200"/>
            </w:pPr>
            <w:r>
              <w:rPr>
                <w:rFonts w:hint="eastAsia"/>
              </w:rPr>
              <w:t>（2）非正产工况分析</w:t>
            </w:r>
          </w:p>
          <w:p w14:paraId="0C9B6AAC">
            <w:pPr>
              <w:adjustRightInd w:val="0"/>
              <w:snapToGrid w:val="0"/>
              <w:ind w:firstLine="480" w:firstLineChars="200"/>
            </w:pPr>
            <w:r>
              <w:rPr>
                <w:rFonts w:hint="eastAsia"/>
              </w:rPr>
              <w:t>非正常排放指生产中开停车（工、炉）、设备检修、工艺设备运转异常等非正常工况下的污染物排放，以及污染排放控制措施达不到应有效率等情况下的排放。</w:t>
            </w:r>
          </w:p>
          <w:p w14:paraId="1CC376C0">
            <w:pPr>
              <w:adjustRightInd w:val="0"/>
              <w:snapToGrid w:val="0"/>
              <w:ind w:firstLine="480" w:firstLineChars="200"/>
            </w:pPr>
            <w:r>
              <w:rPr>
                <w:rFonts w:hint="eastAsia"/>
              </w:rPr>
              <w:t>项目非正常工况污染源主要为</w:t>
            </w:r>
            <w:r>
              <w:rPr>
                <w:rFonts w:hint="eastAsia"/>
                <w:color w:val="000000" w:themeColor="text1"/>
                <w:lang w:eastAsia="zh-CN"/>
                <w14:textFill>
                  <w14:solidFill>
                    <w14:schemeClr w14:val="tx1"/>
                  </w14:solidFill>
                </w14:textFill>
              </w:rPr>
              <w:t>尾气吸收塔</w:t>
            </w:r>
            <w:r>
              <w:rPr>
                <w:rFonts w:hint="eastAsia"/>
              </w:rPr>
              <w:t>理措施出现故障，达不到应有效率但还能运转时情况下的排放，其处理效率按0计。项目非正常工况废气的排放及达标情况如下表所示：</w:t>
            </w:r>
          </w:p>
          <w:p w14:paraId="67AD0133">
            <w:pPr>
              <w:pStyle w:val="15"/>
            </w:pPr>
            <w:r>
              <w:rPr>
                <w:rFonts w:hint="eastAsia"/>
              </w:rPr>
              <w:t>表</w:t>
            </w:r>
            <w:r>
              <w:t xml:space="preserve">4-12 </w:t>
            </w:r>
            <w:r>
              <w:rPr>
                <w:rFonts w:hint="eastAsia"/>
              </w:rPr>
              <w:t>项目非正常排放参数表</w:t>
            </w:r>
          </w:p>
          <w:tbl>
            <w:tblPr>
              <w:tblStyle w:val="11"/>
              <w:tblW w:w="146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95"/>
              <w:gridCol w:w="2709"/>
              <w:gridCol w:w="1851"/>
              <w:gridCol w:w="2589"/>
              <w:gridCol w:w="1355"/>
              <w:gridCol w:w="1294"/>
              <w:gridCol w:w="1016"/>
              <w:gridCol w:w="811"/>
              <w:gridCol w:w="856"/>
              <w:gridCol w:w="1322"/>
            </w:tblGrid>
            <w:tr w14:paraId="65F1E4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tblHeader/>
                <w:jc w:val="center"/>
              </w:trPr>
              <w:tc>
                <w:tcPr>
                  <w:tcW w:w="895" w:type="dxa"/>
                  <w:tcBorders>
                    <w:tl2br w:val="nil"/>
                    <w:tr2bl w:val="nil"/>
                  </w:tcBorders>
                  <w:shd w:val="clear" w:color="auto" w:fill="FFFFFF" w:themeFill="background1"/>
                  <w:vAlign w:val="center"/>
                </w:tcPr>
                <w:p w14:paraId="2D0E10D9">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排放源编号</w:t>
                  </w:r>
                </w:p>
              </w:tc>
              <w:tc>
                <w:tcPr>
                  <w:tcW w:w="2709" w:type="dxa"/>
                  <w:tcBorders>
                    <w:tl2br w:val="nil"/>
                    <w:tr2bl w:val="nil"/>
                  </w:tcBorders>
                  <w:shd w:val="clear" w:color="auto" w:fill="FFFFFF" w:themeFill="background1"/>
                  <w:vAlign w:val="center"/>
                </w:tcPr>
                <w:p w14:paraId="06CC72DA">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排放源名称</w:t>
                  </w:r>
                </w:p>
              </w:tc>
              <w:tc>
                <w:tcPr>
                  <w:tcW w:w="1851" w:type="dxa"/>
                  <w:tcBorders>
                    <w:tl2br w:val="nil"/>
                    <w:tr2bl w:val="nil"/>
                  </w:tcBorders>
                  <w:shd w:val="clear" w:color="auto" w:fill="FFFFFF" w:themeFill="background1"/>
                  <w:vAlign w:val="center"/>
                </w:tcPr>
                <w:p w14:paraId="0AF69F2D">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非正常排放原因废气处理设施故障</w:t>
                  </w:r>
                </w:p>
              </w:tc>
              <w:tc>
                <w:tcPr>
                  <w:tcW w:w="2589" w:type="dxa"/>
                  <w:tcBorders>
                    <w:tl2br w:val="nil"/>
                    <w:tr2bl w:val="nil"/>
                  </w:tcBorders>
                  <w:shd w:val="clear" w:color="auto" w:fill="FFFFFF" w:themeFill="background1"/>
                  <w:vAlign w:val="center"/>
                </w:tcPr>
                <w:p w14:paraId="3F84FF54">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1355" w:type="dxa"/>
                  <w:tcBorders>
                    <w:tl2br w:val="nil"/>
                    <w:tr2bl w:val="nil"/>
                  </w:tcBorders>
                  <w:shd w:val="clear" w:color="auto" w:fill="FFFFFF" w:themeFill="background1"/>
                  <w:vAlign w:val="center"/>
                </w:tcPr>
                <w:p w14:paraId="2747B1F7">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非正常排放浓度</w:t>
                  </w: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1294" w:type="dxa"/>
                  <w:tcBorders>
                    <w:tl2br w:val="nil"/>
                    <w:tr2bl w:val="nil"/>
                  </w:tcBorders>
                  <w:shd w:val="clear" w:color="auto" w:fill="FFFFFF" w:themeFill="background1"/>
                  <w:vAlign w:val="center"/>
                </w:tcPr>
                <w:p w14:paraId="6C621B6F">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非正常排放速率（</w:t>
                  </w:r>
                  <w:r>
                    <w:rPr>
                      <w:b/>
                      <w:bCs/>
                      <w:color w:val="000000" w:themeColor="text1"/>
                      <w14:textFill>
                        <w14:solidFill>
                          <w14:schemeClr w14:val="tx1"/>
                        </w14:solidFill>
                      </w14:textFill>
                    </w:rPr>
                    <w:t>kg/h</w:t>
                  </w:r>
                  <w:r>
                    <w:rPr>
                      <w:rFonts w:hint="eastAsia"/>
                      <w:b/>
                      <w:bCs/>
                      <w:color w:val="000000" w:themeColor="text1"/>
                      <w14:textFill>
                        <w14:solidFill>
                          <w14:schemeClr w14:val="tx1"/>
                        </w14:solidFill>
                      </w14:textFill>
                    </w:rPr>
                    <w:t>）</w:t>
                  </w:r>
                </w:p>
              </w:tc>
              <w:tc>
                <w:tcPr>
                  <w:tcW w:w="1016" w:type="dxa"/>
                  <w:tcBorders>
                    <w:tl2br w:val="nil"/>
                    <w:tr2bl w:val="nil"/>
                  </w:tcBorders>
                  <w:shd w:val="clear" w:color="auto" w:fill="FFFFFF" w:themeFill="background1"/>
                  <w:vAlign w:val="center"/>
                </w:tcPr>
                <w:p w14:paraId="2C4A8A02">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单次持续时间</w:t>
                  </w:r>
                  <w:r>
                    <w:rPr>
                      <w:b/>
                      <w:bCs/>
                      <w:color w:val="000000" w:themeColor="text1"/>
                      <w14:textFill>
                        <w14:solidFill>
                          <w14:schemeClr w14:val="tx1"/>
                        </w14:solidFill>
                      </w14:textFill>
                    </w:rPr>
                    <w:t>/h</w:t>
                  </w:r>
                </w:p>
              </w:tc>
              <w:tc>
                <w:tcPr>
                  <w:tcW w:w="811" w:type="dxa"/>
                  <w:tcBorders>
                    <w:tl2br w:val="nil"/>
                    <w:tr2bl w:val="nil"/>
                  </w:tcBorders>
                  <w:shd w:val="clear" w:color="auto" w:fill="FFFFFF" w:themeFill="background1"/>
                  <w:vAlign w:val="center"/>
                </w:tcPr>
                <w:p w14:paraId="28CEB01E">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年发生频次</w:t>
                  </w:r>
                </w:p>
              </w:tc>
              <w:tc>
                <w:tcPr>
                  <w:tcW w:w="856" w:type="dxa"/>
                  <w:tcBorders>
                    <w:tl2br w:val="nil"/>
                    <w:tr2bl w:val="nil"/>
                  </w:tcBorders>
                  <w:shd w:val="clear" w:color="auto" w:fill="FFFFFF" w:themeFill="background1"/>
                  <w:vAlign w:val="center"/>
                </w:tcPr>
                <w:p w14:paraId="6F40473C">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排放量（</w:t>
                  </w:r>
                  <w:r>
                    <w:rPr>
                      <w:b/>
                      <w:bCs/>
                      <w:color w:val="000000" w:themeColor="text1"/>
                      <w14:textFill>
                        <w14:solidFill>
                          <w14:schemeClr w14:val="tx1"/>
                        </w14:solidFill>
                      </w14:textFill>
                    </w:rPr>
                    <w:t>kg/a</w:t>
                  </w:r>
                  <w:r>
                    <w:rPr>
                      <w:rFonts w:hint="eastAsia"/>
                      <w:b/>
                      <w:bCs/>
                      <w:color w:val="000000" w:themeColor="text1"/>
                      <w14:textFill>
                        <w14:solidFill>
                          <w14:schemeClr w14:val="tx1"/>
                        </w14:solidFill>
                      </w14:textFill>
                    </w:rPr>
                    <w:t>）</w:t>
                  </w:r>
                </w:p>
              </w:tc>
              <w:tc>
                <w:tcPr>
                  <w:tcW w:w="1322" w:type="dxa"/>
                  <w:tcBorders>
                    <w:tl2br w:val="nil"/>
                    <w:tr2bl w:val="nil"/>
                  </w:tcBorders>
                  <w:shd w:val="clear" w:color="auto" w:fill="FFFFFF" w:themeFill="background1"/>
                  <w:vAlign w:val="center"/>
                </w:tcPr>
                <w:p w14:paraId="1631E998">
                  <w:pPr>
                    <w:pStyle w:val="14"/>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应对措施</w:t>
                  </w:r>
                </w:p>
              </w:tc>
            </w:tr>
            <w:tr w14:paraId="593B0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72" w:hRule="atLeast"/>
                <w:jc w:val="center"/>
              </w:trPr>
              <w:tc>
                <w:tcPr>
                  <w:tcW w:w="895" w:type="dxa"/>
                  <w:tcBorders>
                    <w:tl2br w:val="nil"/>
                    <w:tr2bl w:val="nil"/>
                  </w:tcBorders>
                  <w:shd w:val="clear" w:color="auto" w:fill="FFFFFF" w:themeFill="background1"/>
                  <w:vAlign w:val="center"/>
                </w:tcPr>
                <w:p w14:paraId="0358FA83">
                  <w:pPr>
                    <w:adjustRightInd w:val="0"/>
                    <w:snapToGrid w:val="0"/>
                    <w:spacing w:line="240" w:lineRule="auto"/>
                    <w:jc w:val="center"/>
                    <w:rPr>
                      <w:color w:val="000000" w:themeColor="text1"/>
                      <w14:textFill>
                        <w14:solidFill>
                          <w14:schemeClr w14:val="tx1"/>
                        </w14:solidFill>
                      </w14:textFill>
                    </w:rPr>
                  </w:pPr>
                  <w:r>
                    <w:rPr>
                      <w:color w:val="000000" w:themeColor="text1"/>
                      <w:sz w:val="21"/>
                      <w14:textFill>
                        <w14:solidFill>
                          <w14:schemeClr w14:val="tx1"/>
                        </w14:solidFill>
                      </w14:textFill>
                    </w:rPr>
                    <w:t>DA001</w:t>
                  </w:r>
                </w:p>
              </w:tc>
              <w:tc>
                <w:tcPr>
                  <w:tcW w:w="2709" w:type="dxa"/>
                  <w:tcBorders>
                    <w:tl2br w:val="nil"/>
                    <w:tr2bl w:val="nil"/>
                  </w:tcBorders>
                  <w:shd w:val="clear" w:color="auto" w:fill="FFFFFF" w:themeFill="background1"/>
                  <w:vAlign w:val="center"/>
                </w:tcPr>
                <w:p w14:paraId="745CB197">
                  <w:pPr>
                    <w:pStyle w:val="14"/>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尾气吸收塔</w:t>
                  </w:r>
                  <w:r>
                    <w:rPr>
                      <w:rFonts w:hint="eastAsia"/>
                      <w:color w:val="000000" w:themeColor="text1"/>
                      <w14:textFill>
                        <w14:solidFill>
                          <w14:schemeClr w14:val="tx1"/>
                        </w14:solidFill>
                      </w14:textFill>
                    </w:rPr>
                    <w:t>废气排放口</w:t>
                  </w:r>
                </w:p>
              </w:tc>
              <w:tc>
                <w:tcPr>
                  <w:tcW w:w="1851" w:type="dxa"/>
                  <w:tcBorders>
                    <w:tl2br w:val="nil"/>
                    <w:tr2bl w:val="nil"/>
                  </w:tcBorders>
                  <w:shd w:val="clear" w:color="auto" w:fill="FFFFFF" w:themeFill="background1"/>
                  <w:vAlign w:val="center"/>
                </w:tcPr>
                <w:p w14:paraId="7058FEA2">
                  <w:pPr>
                    <w:pStyle w:val="1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废气处理设施故障</w:t>
                  </w:r>
                </w:p>
              </w:tc>
              <w:tc>
                <w:tcPr>
                  <w:tcW w:w="2589" w:type="dxa"/>
                  <w:tcBorders>
                    <w:tl2br w:val="nil"/>
                    <w:tr2bl w:val="nil"/>
                  </w:tcBorders>
                  <w:shd w:val="clear" w:color="auto" w:fill="FFFFFF" w:themeFill="background1"/>
                  <w:vAlign w:val="center"/>
                </w:tcPr>
                <w:p w14:paraId="46FE6D0D">
                  <w:pPr>
                    <w:adjustRightInd w:val="0"/>
                    <w:snapToGrid w:val="0"/>
                    <w:spacing w:line="240" w:lineRule="auto"/>
                    <w:jc w:val="center"/>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氨</w:t>
                  </w:r>
                </w:p>
              </w:tc>
              <w:tc>
                <w:tcPr>
                  <w:tcW w:w="1355" w:type="dxa"/>
                  <w:tcBorders>
                    <w:tl2br w:val="nil"/>
                    <w:tr2bl w:val="nil"/>
                  </w:tcBorders>
                  <w:shd w:val="clear" w:color="auto" w:fill="FFFFFF" w:themeFill="background1"/>
                  <w:vAlign w:val="center"/>
                </w:tcPr>
                <w:p w14:paraId="7BB47F9D">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5857</w:t>
                  </w:r>
                </w:p>
              </w:tc>
              <w:tc>
                <w:tcPr>
                  <w:tcW w:w="1294" w:type="dxa"/>
                  <w:tcBorders>
                    <w:tl2br w:val="nil"/>
                    <w:tr2bl w:val="nil"/>
                  </w:tcBorders>
                  <w:shd w:val="clear" w:color="auto" w:fill="FFFFFF" w:themeFill="background1"/>
                  <w:vAlign w:val="center"/>
                </w:tcPr>
                <w:p w14:paraId="11BF13E1">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2.9285</w:t>
                  </w:r>
                </w:p>
              </w:tc>
              <w:tc>
                <w:tcPr>
                  <w:tcW w:w="1016" w:type="dxa"/>
                  <w:tcBorders>
                    <w:tl2br w:val="nil"/>
                    <w:tr2bl w:val="nil"/>
                  </w:tcBorders>
                  <w:shd w:val="clear" w:color="auto" w:fill="FFFFFF" w:themeFill="background1"/>
                  <w:vAlign w:val="center"/>
                </w:tcPr>
                <w:p w14:paraId="18207396">
                  <w:pPr>
                    <w:pStyle w:val="14"/>
                    <w:rPr>
                      <w:color w:val="000000" w:themeColor="text1"/>
                      <w14:textFill>
                        <w14:solidFill>
                          <w14:schemeClr w14:val="tx1"/>
                        </w14:solidFill>
                      </w14:textFill>
                    </w:rPr>
                  </w:pPr>
                  <w:r>
                    <w:rPr>
                      <w:color w:val="000000" w:themeColor="text1"/>
                      <w14:textFill>
                        <w14:solidFill>
                          <w14:schemeClr w14:val="tx1"/>
                        </w14:solidFill>
                      </w14:textFill>
                    </w:rPr>
                    <w:t>1h</w:t>
                  </w:r>
                </w:p>
              </w:tc>
              <w:tc>
                <w:tcPr>
                  <w:tcW w:w="811" w:type="dxa"/>
                  <w:tcBorders>
                    <w:tl2br w:val="nil"/>
                    <w:tr2bl w:val="nil"/>
                  </w:tcBorders>
                  <w:shd w:val="clear" w:color="auto" w:fill="FFFFFF" w:themeFill="background1"/>
                  <w:vAlign w:val="center"/>
                </w:tcPr>
                <w:p w14:paraId="1913CF05">
                  <w:pPr>
                    <w:pStyle w:val="14"/>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次</w:t>
                  </w:r>
                </w:p>
              </w:tc>
              <w:tc>
                <w:tcPr>
                  <w:tcW w:w="856" w:type="dxa"/>
                  <w:tcBorders>
                    <w:tl2br w:val="nil"/>
                    <w:tr2bl w:val="nil"/>
                  </w:tcBorders>
                  <w:shd w:val="clear" w:color="auto" w:fill="FFFFFF" w:themeFill="background1"/>
                  <w:vAlign w:val="center"/>
                </w:tcPr>
                <w:p w14:paraId="3A6F154D">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2.9285</w:t>
                  </w:r>
                </w:p>
              </w:tc>
              <w:tc>
                <w:tcPr>
                  <w:tcW w:w="1322" w:type="dxa"/>
                  <w:tcBorders>
                    <w:tl2br w:val="nil"/>
                    <w:tr2bl w:val="nil"/>
                  </w:tcBorders>
                  <w:shd w:val="clear" w:color="auto" w:fill="FFFFFF" w:themeFill="background1"/>
                  <w:vAlign w:val="center"/>
                </w:tcPr>
                <w:p w14:paraId="40DB52D7">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非正常排放时停产维修</w:t>
                  </w:r>
                </w:p>
              </w:tc>
            </w:tr>
          </w:tbl>
          <w:p w14:paraId="3B00345F">
            <w:pPr>
              <w:pStyle w:val="15"/>
            </w:pPr>
          </w:p>
          <w:p w14:paraId="59C523D0">
            <w:pPr>
              <w:adjustRightInd w:val="0"/>
              <w:snapToGrid w:val="0"/>
              <w:ind w:firstLine="480" w:firstLineChars="200"/>
            </w:pPr>
            <w:r>
              <w:rPr>
                <w:rFonts w:hint="eastAsia"/>
              </w:rPr>
              <w:t>建设单位应严格控制废气非正常排放，并采取以下措施：</w:t>
            </w:r>
          </w:p>
          <w:p w14:paraId="7AE01897">
            <w:pPr>
              <w:adjustRightInd w:val="0"/>
              <w:snapToGrid w:val="0"/>
              <w:ind w:firstLine="480" w:firstLineChars="200"/>
            </w:pPr>
            <w:r>
              <w:rPr>
                <w:rFonts w:hint="eastAsia"/>
              </w:rPr>
              <w:t>①制定环保设备例行检查制度，加强定期维护保养，发现风机故障、损坏或排风管道破损时，应立即停止生产活动，对设备或管道进行维修，待恢复正常后方正常运行。</w:t>
            </w:r>
          </w:p>
          <w:p w14:paraId="5799FE3C">
            <w:pPr>
              <w:adjustRightInd w:val="0"/>
              <w:snapToGrid w:val="0"/>
              <w:ind w:firstLine="480" w:firstLineChars="200"/>
            </w:pPr>
            <w:r>
              <w:rPr>
                <w:rFonts w:hint="eastAsia"/>
              </w:rPr>
              <w:t>②定期检修废气处理装置故障，确保净化效率符合要求；检修时应停止生产活动，杜绝废气未经处理直接排放。</w:t>
            </w:r>
          </w:p>
          <w:p w14:paraId="25CF81E0">
            <w:pPr>
              <w:adjustRightInd w:val="0"/>
              <w:snapToGrid w:val="0"/>
              <w:ind w:firstLine="480" w:firstLineChars="200"/>
            </w:pPr>
            <w:r>
              <w:rPr>
                <w:rFonts w:hint="eastAsia"/>
              </w:rPr>
              <w:t>③设员工兼职环保管理，对环保管理人员及技术人员进行岗位培训，委托具有专业资质的环境检测单位对项目排放的各类废气污染物进行定期监测。</w:t>
            </w:r>
          </w:p>
          <w:p w14:paraId="2894BC21">
            <w:pPr>
              <w:adjustRightInd w:val="0"/>
              <w:snapToGrid w:val="0"/>
              <w:ind w:firstLine="480" w:firstLineChars="200"/>
            </w:pPr>
          </w:p>
        </w:tc>
      </w:tr>
    </w:tbl>
    <w:p w14:paraId="19B4DE8D">
      <w:pPr>
        <w:pStyle w:val="14"/>
      </w:pPr>
    </w:p>
    <w:p w14:paraId="41A57418">
      <w:pPr>
        <w:tabs>
          <w:tab w:val="left" w:pos="649"/>
        </w:tabs>
        <w:adjustRightInd w:val="0"/>
        <w:snapToGrid w:val="0"/>
        <w:ind w:firstLine="480" w:firstLineChars="200"/>
        <w:rPr>
          <w:rFonts w:cs="宋体"/>
        </w:rPr>
        <w:sectPr>
          <w:pgSz w:w="16840" w:h="11907" w:orient="landscape"/>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101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9662"/>
      </w:tblGrid>
      <w:tr w14:paraId="20480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29" w:hRule="atLeast"/>
          <w:jc w:val="center"/>
        </w:trPr>
        <w:tc>
          <w:tcPr>
            <w:tcW w:w="564" w:type="dxa"/>
            <w:vAlign w:val="center"/>
          </w:tcPr>
          <w:p w14:paraId="70917B18">
            <w:pPr>
              <w:adjustRightInd w:val="0"/>
              <w:snapToGrid w:val="0"/>
              <w:jc w:val="center"/>
              <w:rPr>
                <w:rFonts w:ascii="宋体" w:hAnsi="宋体" w:cs="宋体"/>
                <w:kern w:val="0"/>
                <w:szCs w:val="21"/>
              </w:rPr>
            </w:pPr>
          </w:p>
        </w:tc>
        <w:tc>
          <w:tcPr>
            <w:tcW w:w="9538" w:type="dxa"/>
            <w:vAlign w:val="center"/>
          </w:tcPr>
          <w:p w14:paraId="76098059">
            <w:pPr>
              <w:ind w:firstLine="482" w:firstLineChars="200"/>
              <w:rPr>
                <w:b/>
                <w:bCs/>
              </w:rPr>
            </w:pPr>
            <w:r>
              <w:rPr>
                <w:rFonts w:hint="eastAsia"/>
                <w:b/>
                <w:bCs/>
              </w:rPr>
              <w:t>4、生产废气治理措施及可行性分析</w:t>
            </w:r>
          </w:p>
          <w:p w14:paraId="506557F1">
            <w:pPr>
              <w:adjustRightInd w:val="0"/>
              <w:snapToGrid w:val="0"/>
              <w:ind w:firstLine="480" w:firstLineChars="200"/>
            </w:pPr>
            <w:r>
              <w:rPr>
                <w:rFonts w:hint="eastAsia"/>
              </w:rPr>
              <w:t>本项目各储罐均为密闭储罐，其大小呼吸阀门通过阀门与尾气吸收塔密闭连接，其产生的氨废气经管道排入尾气吸收塔</w:t>
            </w:r>
            <w:r>
              <w:rPr>
                <w:rFonts w:hint="eastAsia"/>
                <w:lang w:eastAsia="zh-CN"/>
              </w:rPr>
              <w:t>（二级水喷淋）</w:t>
            </w:r>
            <w:r>
              <w:rPr>
                <w:rFonts w:hint="eastAsia"/>
              </w:rPr>
              <w:t xml:space="preserve">进行处理，处理后尾气通过尾气吸收塔15m高排气筒（DA001）排放。废气经尾气吸收塔（二级水喷淋）处理后，均能达标排放，对外环境影响较小。根据《排污许可证申请与核发技术规范 </w:t>
            </w:r>
            <w:r>
              <w:rPr>
                <w:rFonts w:hint="eastAsia"/>
                <w:lang w:eastAsia="zh-CN"/>
              </w:rPr>
              <w:t>无机化学工业</w:t>
            </w:r>
            <w:r>
              <w:rPr>
                <w:rFonts w:hint="eastAsia"/>
              </w:rPr>
              <w:t>》（HJ</w:t>
            </w:r>
            <w:r>
              <w:rPr>
                <w:rFonts w:hint="eastAsia"/>
                <w:lang w:val="en-US" w:eastAsia="zh-CN"/>
              </w:rPr>
              <w:t>1035</w:t>
            </w:r>
            <w:r>
              <w:rPr>
                <w:rFonts w:hint="eastAsia"/>
              </w:rPr>
              <w:t>-201</w:t>
            </w:r>
            <w:r>
              <w:rPr>
                <w:rFonts w:hint="eastAsia"/>
                <w:lang w:val="en-US" w:eastAsia="zh-CN"/>
              </w:rPr>
              <w:t>9</w:t>
            </w:r>
            <w:r>
              <w:rPr>
                <w:rFonts w:hint="eastAsia"/>
              </w:rPr>
              <w:t>）</w:t>
            </w:r>
            <w:r>
              <w:rPr>
                <w:rFonts w:hint="eastAsia"/>
                <w:lang w:eastAsia="zh-CN"/>
              </w:rPr>
              <w:t>附</w:t>
            </w:r>
            <w:r>
              <w:rPr>
                <w:rFonts w:hint="eastAsia"/>
              </w:rPr>
              <w:t>表A.1废气治理可行技术表，</w:t>
            </w:r>
            <w:r>
              <w:rPr>
                <w:rFonts w:hint="eastAsia"/>
                <w:lang w:eastAsia="zh-CN"/>
              </w:rPr>
              <w:t>氨</w:t>
            </w:r>
            <w:r>
              <w:rPr>
                <w:rFonts w:hint="eastAsia"/>
              </w:rPr>
              <w:t>的</w:t>
            </w:r>
            <w:r>
              <w:rPr>
                <w:rFonts w:hint="eastAsia"/>
                <w:lang w:eastAsia="zh-CN"/>
              </w:rPr>
              <w:t>处理</w:t>
            </w:r>
            <w:r>
              <w:rPr>
                <w:rFonts w:hint="eastAsia"/>
              </w:rPr>
              <w:t>可行技术为</w:t>
            </w:r>
            <w:r>
              <w:rPr>
                <w:rFonts w:hint="eastAsia"/>
                <w:lang w:eastAsia="zh-CN"/>
              </w:rPr>
              <w:t>吸收法</w:t>
            </w:r>
            <w:r>
              <w:rPr>
                <w:rFonts w:hint="eastAsia"/>
              </w:rPr>
              <w:t>（详见下表），本项目</w:t>
            </w:r>
            <w:r>
              <w:rPr>
                <w:rFonts w:hint="eastAsia"/>
                <w:lang w:eastAsia="zh-CN"/>
              </w:rPr>
              <w:t>氨</w:t>
            </w:r>
            <w:r>
              <w:rPr>
                <w:rFonts w:hint="eastAsia"/>
              </w:rPr>
              <w:t>废气采用</w:t>
            </w:r>
            <w:r>
              <w:rPr>
                <w:rFonts w:hint="eastAsia"/>
                <w:lang w:eastAsia="zh-CN"/>
              </w:rPr>
              <w:t>尾气吸收塔（二级水喷淋）</w:t>
            </w:r>
            <w:r>
              <w:rPr>
                <w:rFonts w:hint="eastAsia"/>
              </w:rPr>
              <w:t>处理，废气治理设施为可行技术。</w:t>
            </w:r>
          </w:p>
          <w:p w14:paraId="581516BD">
            <w:pPr>
              <w:autoSpaceDE w:val="0"/>
              <w:autoSpaceDN w:val="0"/>
              <w:adjustRightInd w:val="0"/>
              <w:snapToGrid w:val="0"/>
              <w:spacing w:line="240" w:lineRule="auto"/>
              <w:jc w:val="center"/>
              <w:textAlignment w:val="baseline"/>
              <w:rPr>
                <w:b/>
                <w:kern w:val="24"/>
                <w:szCs w:val="20"/>
              </w:rPr>
            </w:pPr>
            <w:r>
              <w:rPr>
                <w:rFonts w:hint="eastAsia"/>
                <w:b/>
                <w:kern w:val="24"/>
                <w:szCs w:val="20"/>
              </w:rPr>
              <w:t>表4-13 排污单位废气治理可行技术参照表</w:t>
            </w:r>
          </w:p>
          <w:tbl>
            <w:tblPr>
              <w:tblStyle w:val="12"/>
              <w:tblW w:w="91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46"/>
              <w:gridCol w:w="2818"/>
              <w:gridCol w:w="1090"/>
              <w:gridCol w:w="3304"/>
            </w:tblGrid>
            <w:tr w14:paraId="5E71B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1946" w:type="dxa"/>
                  <w:tcBorders>
                    <w:tl2br w:val="nil"/>
                    <w:tr2bl w:val="nil"/>
                  </w:tcBorders>
                  <w:vAlign w:val="center"/>
                </w:tcPr>
                <w:p w14:paraId="416FA8A4">
                  <w:pPr>
                    <w:adjustRightInd w:val="0"/>
                    <w:snapToGrid w:val="0"/>
                    <w:spacing w:line="240" w:lineRule="auto"/>
                    <w:jc w:val="center"/>
                    <w:rPr>
                      <w:b/>
                      <w:bCs/>
                      <w:sz w:val="21"/>
                    </w:rPr>
                  </w:pPr>
                  <w:r>
                    <w:rPr>
                      <w:rFonts w:hint="eastAsia"/>
                      <w:b/>
                      <w:bCs/>
                      <w:sz w:val="21"/>
                    </w:rPr>
                    <w:t>污染物产生设施</w:t>
                  </w:r>
                </w:p>
              </w:tc>
              <w:tc>
                <w:tcPr>
                  <w:tcW w:w="2818" w:type="dxa"/>
                  <w:tcBorders>
                    <w:tl2br w:val="nil"/>
                    <w:tr2bl w:val="nil"/>
                  </w:tcBorders>
                  <w:vAlign w:val="center"/>
                </w:tcPr>
                <w:p w14:paraId="25F3D50E">
                  <w:pPr>
                    <w:adjustRightInd w:val="0"/>
                    <w:snapToGrid w:val="0"/>
                    <w:spacing w:line="240" w:lineRule="auto"/>
                    <w:jc w:val="center"/>
                    <w:rPr>
                      <w:b/>
                      <w:bCs/>
                      <w:sz w:val="21"/>
                    </w:rPr>
                  </w:pPr>
                  <w:r>
                    <w:rPr>
                      <w:rFonts w:hint="eastAsia"/>
                      <w:b/>
                      <w:bCs/>
                      <w:sz w:val="21"/>
                    </w:rPr>
                    <w:t>污染物种类</w:t>
                  </w:r>
                </w:p>
              </w:tc>
              <w:tc>
                <w:tcPr>
                  <w:tcW w:w="1090" w:type="dxa"/>
                  <w:tcBorders>
                    <w:tl2br w:val="nil"/>
                    <w:tr2bl w:val="nil"/>
                  </w:tcBorders>
                  <w:vAlign w:val="center"/>
                </w:tcPr>
                <w:p w14:paraId="26CB2D73">
                  <w:pPr>
                    <w:adjustRightInd w:val="0"/>
                    <w:snapToGrid w:val="0"/>
                    <w:spacing w:line="240" w:lineRule="auto"/>
                    <w:jc w:val="center"/>
                    <w:rPr>
                      <w:b/>
                      <w:bCs/>
                      <w:sz w:val="21"/>
                    </w:rPr>
                  </w:pPr>
                  <w:r>
                    <w:rPr>
                      <w:rFonts w:hint="eastAsia"/>
                      <w:b/>
                      <w:bCs/>
                      <w:sz w:val="21"/>
                    </w:rPr>
                    <w:t>排放形式</w:t>
                  </w:r>
                </w:p>
              </w:tc>
              <w:tc>
                <w:tcPr>
                  <w:tcW w:w="3304" w:type="dxa"/>
                  <w:tcBorders>
                    <w:tl2br w:val="nil"/>
                    <w:tr2bl w:val="nil"/>
                  </w:tcBorders>
                  <w:vAlign w:val="center"/>
                </w:tcPr>
                <w:p w14:paraId="3CD5D0F4">
                  <w:pPr>
                    <w:adjustRightInd w:val="0"/>
                    <w:snapToGrid w:val="0"/>
                    <w:spacing w:line="240" w:lineRule="auto"/>
                    <w:jc w:val="center"/>
                    <w:rPr>
                      <w:b/>
                      <w:bCs/>
                      <w:sz w:val="21"/>
                    </w:rPr>
                  </w:pPr>
                  <w:r>
                    <w:rPr>
                      <w:rFonts w:hint="eastAsia"/>
                      <w:b/>
                      <w:bCs/>
                      <w:sz w:val="21"/>
                    </w:rPr>
                    <w:t>可行技术</w:t>
                  </w:r>
                </w:p>
              </w:tc>
            </w:tr>
            <w:tr w14:paraId="1002F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8" w:hRule="atLeast"/>
                <w:jc w:val="center"/>
              </w:trPr>
              <w:tc>
                <w:tcPr>
                  <w:tcW w:w="1946" w:type="dxa"/>
                  <w:tcBorders>
                    <w:tl2br w:val="nil"/>
                    <w:tr2bl w:val="nil"/>
                  </w:tcBorders>
                  <w:vAlign w:val="center"/>
                </w:tcPr>
                <w:p w14:paraId="78BA881D">
                  <w:pPr>
                    <w:adjustRightInd w:val="0"/>
                    <w:snapToGrid w:val="0"/>
                    <w:spacing w:line="240" w:lineRule="auto"/>
                    <w:jc w:val="center"/>
                    <w:rPr>
                      <w:rFonts w:hint="eastAsia" w:eastAsia="宋体"/>
                      <w:sz w:val="21"/>
                      <w:lang w:eastAsia="zh-CN"/>
                    </w:rPr>
                  </w:pPr>
                  <w:r>
                    <w:rPr>
                      <w:rFonts w:hint="eastAsia"/>
                      <w:sz w:val="21"/>
                      <w:lang w:eastAsia="zh-CN"/>
                    </w:rPr>
                    <w:t>各储罐</w:t>
                  </w:r>
                </w:p>
              </w:tc>
              <w:tc>
                <w:tcPr>
                  <w:tcW w:w="2818" w:type="dxa"/>
                  <w:tcBorders>
                    <w:tl2br w:val="nil"/>
                    <w:tr2bl w:val="nil"/>
                  </w:tcBorders>
                  <w:vAlign w:val="center"/>
                </w:tcPr>
                <w:p w14:paraId="1CB8298F">
                  <w:pPr>
                    <w:adjustRightInd w:val="0"/>
                    <w:snapToGrid w:val="0"/>
                    <w:spacing w:line="240" w:lineRule="auto"/>
                    <w:jc w:val="center"/>
                    <w:rPr>
                      <w:rFonts w:hint="eastAsia" w:eastAsia="宋体"/>
                      <w:sz w:val="21"/>
                      <w:lang w:eastAsia="zh-CN"/>
                    </w:rPr>
                  </w:pPr>
                  <w:r>
                    <w:rPr>
                      <w:rFonts w:hint="eastAsia"/>
                      <w:sz w:val="21"/>
                      <w:lang w:eastAsia="zh-CN"/>
                    </w:rPr>
                    <w:t>氨</w:t>
                  </w:r>
                </w:p>
              </w:tc>
              <w:tc>
                <w:tcPr>
                  <w:tcW w:w="1090" w:type="dxa"/>
                  <w:tcBorders>
                    <w:tl2br w:val="nil"/>
                    <w:tr2bl w:val="nil"/>
                  </w:tcBorders>
                  <w:vAlign w:val="center"/>
                </w:tcPr>
                <w:p w14:paraId="0D9144F0">
                  <w:pPr>
                    <w:adjustRightInd w:val="0"/>
                    <w:snapToGrid w:val="0"/>
                    <w:spacing w:line="240" w:lineRule="auto"/>
                    <w:jc w:val="center"/>
                    <w:rPr>
                      <w:rFonts w:hint="eastAsia" w:eastAsia="宋体"/>
                      <w:sz w:val="21"/>
                      <w:lang w:eastAsia="zh-CN"/>
                    </w:rPr>
                  </w:pPr>
                  <w:r>
                    <w:rPr>
                      <w:rFonts w:hint="eastAsia"/>
                      <w:sz w:val="21"/>
                      <w:lang w:eastAsia="zh-CN"/>
                    </w:rPr>
                    <w:t>有组织</w:t>
                  </w:r>
                </w:p>
              </w:tc>
              <w:tc>
                <w:tcPr>
                  <w:tcW w:w="3304" w:type="dxa"/>
                  <w:tcBorders>
                    <w:tl2br w:val="nil"/>
                    <w:tr2bl w:val="nil"/>
                  </w:tcBorders>
                  <w:vAlign w:val="center"/>
                </w:tcPr>
                <w:p w14:paraId="485C5E77">
                  <w:pPr>
                    <w:adjustRightInd w:val="0"/>
                    <w:snapToGrid w:val="0"/>
                    <w:spacing w:line="240" w:lineRule="auto"/>
                    <w:jc w:val="center"/>
                    <w:rPr>
                      <w:rFonts w:hint="eastAsia" w:eastAsia="宋体"/>
                      <w:sz w:val="21"/>
                      <w:lang w:eastAsia="zh-CN"/>
                    </w:rPr>
                  </w:pPr>
                  <w:r>
                    <w:rPr>
                      <w:rFonts w:hint="eastAsia"/>
                      <w:sz w:val="21"/>
                      <w:lang w:eastAsia="zh-CN"/>
                    </w:rPr>
                    <w:t>吸收法</w:t>
                  </w:r>
                </w:p>
              </w:tc>
            </w:tr>
          </w:tbl>
          <w:p w14:paraId="5E2ACC13">
            <w:pPr>
              <w:adjustRightInd w:val="0"/>
              <w:snapToGrid w:val="0"/>
              <w:spacing w:line="240" w:lineRule="auto"/>
              <w:jc w:val="center"/>
              <w:rPr>
                <w:sz w:val="21"/>
              </w:rPr>
            </w:pPr>
          </w:p>
          <w:p w14:paraId="3B2EAFDE">
            <w:pPr>
              <w:ind w:firstLine="482" w:firstLineChars="200"/>
              <w:rPr>
                <w:b/>
                <w:bCs/>
              </w:rPr>
            </w:pPr>
            <w:r>
              <w:rPr>
                <w:rFonts w:hint="eastAsia"/>
                <w:b/>
                <w:bCs/>
              </w:rPr>
              <w:t>5、监测计划</w:t>
            </w:r>
          </w:p>
          <w:p w14:paraId="610873BB">
            <w:pPr>
              <w:ind w:firstLine="480" w:firstLineChars="200"/>
            </w:pPr>
            <w:r>
              <w:rPr>
                <w:rFonts w:hint="eastAsia"/>
                <w:color w:val="000000" w:themeColor="text1"/>
                <w:lang w:eastAsia="zh-CN"/>
                <w14:textFill>
                  <w14:solidFill>
                    <w14:schemeClr w14:val="tx1"/>
                  </w14:solidFill>
                </w14:textFill>
              </w:rPr>
              <w:t>参考</w:t>
            </w:r>
            <w:r>
              <w:rPr>
                <w:rFonts w:hint="eastAsia"/>
                <w:color w:val="000000" w:themeColor="text1"/>
                <w14:textFill>
                  <w14:solidFill>
                    <w14:schemeClr w14:val="tx1"/>
                  </w14:solidFill>
                </w14:textFill>
              </w:rPr>
              <w:t>《排污许可证申请与核发技术规范 磷肥、钾肥、复混钾肥、有机肥料及微生物肥料工业》（HJ 864.2-2018）</w:t>
            </w:r>
            <w:r>
              <w:rPr>
                <w:rFonts w:hint="eastAsia"/>
                <w:color w:val="000000" w:themeColor="text1"/>
                <w:lang w:eastAsia="zh-CN"/>
                <w14:textFill>
                  <w14:solidFill>
                    <w14:schemeClr w14:val="tx1"/>
                  </w14:solidFill>
                </w14:textFill>
              </w:rPr>
              <w:t>中的有机肥料工业</w:t>
            </w:r>
            <w:r>
              <w:rPr>
                <w:rFonts w:hint="eastAsia"/>
              </w:rPr>
              <w:t>，排污单位在申请排污许可证时，应当按照上述标准确定的产排污节点、排放口、污染控制项目及许可限值等，且按照上述技术规范的较严者制定自行监测方案。</w:t>
            </w:r>
          </w:p>
          <w:p w14:paraId="3BAE58D0">
            <w:pPr>
              <w:ind w:firstLine="480" w:firstLineChars="200"/>
            </w:pPr>
            <w:r>
              <w:rPr>
                <w:rFonts w:hint="eastAsia"/>
              </w:rPr>
              <w:t>本项目废气污染源监测计划见下表：</w:t>
            </w:r>
          </w:p>
          <w:p w14:paraId="57696BAE">
            <w:pPr>
              <w:pStyle w:val="15"/>
            </w:pPr>
            <w:r>
              <w:rPr>
                <w:rFonts w:hint="eastAsia"/>
              </w:rPr>
              <w:t>表4-14 项目全厂废气监测计划一览表</w:t>
            </w:r>
          </w:p>
          <w:tbl>
            <w:tblPr>
              <w:tblStyle w:val="11"/>
              <w:tblW w:w="944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1072"/>
              <w:gridCol w:w="1197"/>
              <w:gridCol w:w="1263"/>
              <w:gridCol w:w="5914"/>
            </w:tblGrid>
            <w:tr w14:paraId="081AF9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jc w:val="center"/>
              </w:trPr>
              <w:tc>
                <w:tcPr>
                  <w:tcW w:w="1072" w:type="dxa"/>
                  <w:tcBorders>
                    <w:tl2br w:val="nil"/>
                    <w:tr2bl w:val="nil"/>
                  </w:tcBorders>
                  <w:shd w:val="clear" w:color="auto" w:fill="FFFFFF" w:themeFill="background1"/>
                  <w:vAlign w:val="center"/>
                </w:tcPr>
                <w:p w14:paraId="5E593BA3">
                  <w:pPr>
                    <w:pStyle w:val="14"/>
                    <w:rPr>
                      <w:b/>
                      <w:bCs/>
                    </w:rPr>
                  </w:pPr>
                  <w:r>
                    <w:rPr>
                      <w:b/>
                      <w:bCs/>
                    </w:rPr>
                    <w:t>监测点位</w:t>
                  </w:r>
                </w:p>
              </w:tc>
              <w:tc>
                <w:tcPr>
                  <w:tcW w:w="1197" w:type="dxa"/>
                  <w:tcBorders>
                    <w:tl2br w:val="nil"/>
                    <w:tr2bl w:val="nil"/>
                  </w:tcBorders>
                  <w:shd w:val="clear" w:color="auto" w:fill="FFFFFF" w:themeFill="background1"/>
                  <w:vAlign w:val="center"/>
                </w:tcPr>
                <w:p w14:paraId="4883D39D">
                  <w:pPr>
                    <w:pStyle w:val="14"/>
                    <w:rPr>
                      <w:b/>
                      <w:bCs/>
                    </w:rPr>
                  </w:pPr>
                  <w:r>
                    <w:rPr>
                      <w:b/>
                      <w:bCs/>
                    </w:rPr>
                    <w:t>监测因子</w:t>
                  </w:r>
                </w:p>
              </w:tc>
              <w:tc>
                <w:tcPr>
                  <w:tcW w:w="1263" w:type="dxa"/>
                  <w:tcBorders>
                    <w:tl2br w:val="nil"/>
                    <w:tr2bl w:val="nil"/>
                  </w:tcBorders>
                  <w:shd w:val="clear" w:color="auto" w:fill="FFFFFF" w:themeFill="background1"/>
                  <w:vAlign w:val="center"/>
                </w:tcPr>
                <w:p w14:paraId="3D766816">
                  <w:pPr>
                    <w:pStyle w:val="14"/>
                    <w:rPr>
                      <w:b/>
                      <w:bCs/>
                    </w:rPr>
                  </w:pPr>
                  <w:r>
                    <w:rPr>
                      <w:b/>
                      <w:bCs/>
                    </w:rPr>
                    <w:t>监测频次</w:t>
                  </w:r>
                </w:p>
              </w:tc>
              <w:tc>
                <w:tcPr>
                  <w:tcW w:w="5914" w:type="dxa"/>
                  <w:tcBorders>
                    <w:tl2br w:val="nil"/>
                    <w:tr2bl w:val="nil"/>
                  </w:tcBorders>
                  <w:shd w:val="clear" w:color="auto" w:fill="FFFFFF" w:themeFill="background1"/>
                  <w:vAlign w:val="center"/>
                </w:tcPr>
                <w:p w14:paraId="3D6F909D">
                  <w:pPr>
                    <w:pStyle w:val="14"/>
                    <w:rPr>
                      <w:b/>
                      <w:bCs/>
                      <w:color w:val="000000" w:themeColor="text1"/>
                      <w14:textFill>
                        <w14:solidFill>
                          <w14:schemeClr w14:val="tx1"/>
                        </w14:solidFill>
                      </w14:textFill>
                    </w:rPr>
                  </w:pPr>
                  <w:r>
                    <w:rPr>
                      <w:b/>
                      <w:bCs/>
                      <w:color w:val="000000" w:themeColor="text1"/>
                      <w14:textFill>
                        <w14:solidFill>
                          <w14:schemeClr w14:val="tx1"/>
                        </w14:solidFill>
                      </w14:textFill>
                    </w:rPr>
                    <w:t>执行标准</w:t>
                  </w:r>
                </w:p>
              </w:tc>
            </w:tr>
            <w:tr w14:paraId="640E12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33" w:hRule="atLeast"/>
                <w:jc w:val="center"/>
              </w:trPr>
              <w:tc>
                <w:tcPr>
                  <w:tcW w:w="1072" w:type="dxa"/>
                  <w:tcBorders>
                    <w:tl2br w:val="nil"/>
                    <w:tr2bl w:val="nil"/>
                  </w:tcBorders>
                  <w:shd w:val="clear" w:color="auto" w:fill="FFFFFF" w:themeFill="background1"/>
                  <w:vAlign w:val="center"/>
                </w:tcPr>
                <w:p w14:paraId="585EFFE1">
                  <w:pPr>
                    <w:pStyle w:val="14"/>
                  </w:pPr>
                  <w:r>
                    <w:t>DA001</w:t>
                  </w:r>
                </w:p>
              </w:tc>
              <w:tc>
                <w:tcPr>
                  <w:tcW w:w="1197" w:type="dxa"/>
                  <w:tcBorders>
                    <w:tl2br w:val="nil"/>
                    <w:tr2bl w:val="nil"/>
                  </w:tcBorders>
                  <w:shd w:val="clear" w:color="auto" w:fill="FFFFFF" w:themeFill="background1"/>
                  <w:vAlign w:val="center"/>
                </w:tcPr>
                <w:p w14:paraId="347C2174">
                  <w:pPr>
                    <w:pStyle w:val="14"/>
                    <w:rPr>
                      <w:rFonts w:hint="eastAsia" w:eastAsia="宋体"/>
                      <w:lang w:eastAsia="zh-CN"/>
                    </w:rPr>
                  </w:pPr>
                  <w:r>
                    <w:rPr>
                      <w:rFonts w:hint="eastAsia"/>
                      <w:lang w:eastAsia="zh-CN"/>
                    </w:rPr>
                    <w:t>氨</w:t>
                  </w:r>
                </w:p>
              </w:tc>
              <w:tc>
                <w:tcPr>
                  <w:tcW w:w="1263" w:type="dxa"/>
                  <w:tcBorders>
                    <w:tl2br w:val="nil"/>
                    <w:tr2bl w:val="nil"/>
                  </w:tcBorders>
                  <w:shd w:val="clear" w:color="auto" w:fill="FFFFFF" w:themeFill="background1"/>
                  <w:vAlign w:val="center"/>
                </w:tcPr>
                <w:p w14:paraId="4A223636">
                  <w:pPr>
                    <w:pStyle w:val="14"/>
                    <w:rPr>
                      <w:rFonts w:hint="eastAsia" w:eastAsia="宋体"/>
                      <w:lang w:eastAsia="zh-CN"/>
                    </w:rPr>
                  </w:pPr>
                  <w:r>
                    <w:t>1次/</w:t>
                  </w:r>
                  <w:r>
                    <w:rPr>
                      <w:rFonts w:hint="eastAsia"/>
                      <w:lang w:eastAsia="zh-CN"/>
                    </w:rPr>
                    <w:t>半年</w:t>
                  </w:r>
                </w:p>
              </w:tc>
              <w:tc>
                <w:tcPr>
                  <w:tcW w:w="5914" w:type="dxa"/>
                  <w:tcBorders>
                    <w:tl2br w:val="nil"/>
                    <w:tr2bl w:val="nil"/>
                  </w:tcBorders>
                  <w:shd w:val="clear" w:color="auto" w:fill="FFFFFF" w:themeFill="background1"/>
                  <w:vAlign w:val="center"/>
                </w:tcPr>
                <w:p w14:paraId="702A76AD">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《恶臭污染物排放标准》（GB14554-93）</w:t>
                  </w:r>
                </w:p>
              </w:tc>
            </w:tr>
            <w:tr w14:paraId="733CA6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 w:hRule="atLeast"/>
                <w:jc w:val="center"/>
              </w:trPr>
              <w:tc>
                <w:tcPr>
                  <w:tcW w:w="1072" w:type="dxa"/>
                  <w:tcBorders>
                    <w:tl2br w:val="nil"/>
                    <w:tr2bl w:val="nil"/>
                  </w:tcBorders>
                  <w:shd w:val="clear" w:color="auto" w:fill="FFFFFF" w:themeFill="background1"/>
                  <w:vAlign w:val="center"/>
                </w:tcPr>
                <w:p w14:paraId="621D2F3F">
                  <w:pPr>
                    <w:pStyle w:val="14"/>
                  </w:pPr>
                  <w:r>
                    <w:rPr>
                      <w:rFonts w:hint="eastAsia"/>
                    </w:rPr>
                    <w:t>厂界</w:t>
                  </w:r>
                </w:p>
              </w:tc>
              <w:tc>
                <w:tcPr>
                  <w:tcW w:w="1197" w:type="dxa"/>
                  <w:tcBorders>
                    <w:tl2br w:val="nil"/>
                    <w:tr2bl w:val="nil"/>
                  </w:tcBorders>
                  <w:shd w:val="clear" w:color="auto" w:fill="FFFFFF" w:themeFill="background1"/>
                  <w:vAlign w:val="center"/>
                </w:tcPr>
                <w:p w14:paraId="1B45CC00">
                  <w:pPr>
                    <w:pStyle w:val="14"/>
                    <w:rPr>
                      <w:rFonts w:hint="eastAsia" w:eastAsia="宋体"/>
                      <w:lang w:eastAsia="zh-CN"/>
                    </w:rPr>
                  </w:pPr>
                  <w:r>
                    <w:rPr>
                      <w:rFonts w:hint="eastAsia"/>
                      <w:lang w:eastAsia="zh-CN"/>
                    </w:rPr>
                    <w:t>氨</w:t>
                  </w:r>
                </w:p>
              </w:tc>
              <w:tc>
                <w:tcPr>
                  <w:tcW w:w="1263" w:type="dxa"/>
                  <w:tcBorders>
                    <w:tl2br w:val="nil"/>
                    <w:tr2bl w:val="nil"/>
                  </w:tcBorders>
                  <w:shd w:val="clear" w:color="auto" w:fill="FFFFFF" w:themeFill="background1"/>
                  <w:vAlign w:val="center"/>
                </w:tcPr>
                <w:p w14:paraId="748F09F1">
                  <w:pPr>
                    <w:pStyle w:val="14"/>
                    <w:rPr>
                      <w:rFonts w:hint="eastAsia" w:eastAsia="宋体"/>
                      <w:lang w:eastAsia="zh-CN"/>
                    </w:rPr>
                  </w:pPr>
                  <w:r>
                    <w:rPr>
                      <w:rFonts w:hint="eastAsia"/>
                    </w:rPr>
                    <w:t>1次/</w:t>
                  </w:r>
                  <w:r>
                    <w:rPr>
                      <w:rFonts w:hint="eastAsia"/>
                      <w:lang w:eastAsia="zh-CN"/>
                    </w:rPr>
                    <w:t>半年</w:t>
                  </w:r>
                </w:p>
              </w:tc>
              <w:tc>
                <w:tcPr>
                  <w:tcW w:w="5914" w:type="dxa"/>
                  <w:tcBorders>
                    <w:tl2br w:val="nil"/>
                    <w:tr2bl w:val="nil"/>
                  </w:tcBorders>
                  <w:shd w:val="clear" w:color="auto" w:fill="FFFFFF" w:themeFill="background1"/>
                  <w:vAlign w:val="center"/>
                </w:tcPr>
                <w:p w14:paraId="7B0E6438">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《恶臭污染物排放标准》（GB14554-93）</w:t>
                  </w:r>
                </w:p>
              </w:tc>
            </w:tr>
          </w:tbl>
          <w:p w14:paraId="4DC7E855">
            <w:pPr>
              <w:pStyle w:val="15"/>
            </w:pPr>
          </w:p>
          <w:p w14:paraId="1E2E9969">
            <w:pPr>
              <w:ind w:firstLine="482" w:firstLineChars="200"/>
              <w:rPr>
                <w:b/>
                <w:bCs/>
              </w:rPr>
            </w:pPr>
            <w:r>
              <w:rPr>
                <w:rFonts w:hint="eastAsia"/>
                <w:b/>
                <w:bCs/>
              </w:rPr>
              <w:t>6、大气影响分析</w:t>
            </w:r>
          </w:p>
          <w:p w14:paraId="5398095F">
            <w:pPr>
              <w:ind w:firstLine="480" w:firstLineChars="200"/>
            </w:pPr>
            <w:r>
              <w:rPr>
                <w:rFonts w:hint="eastAsia"/>
              </w:rPr>
              <w:t>本项目无组织废气主要包括有无组织</w:t>
            </w:r>
            <w:r>
              <w:rPr>
                <w:rFonts w:hint="eastAsia" w:eastAsia="宋体"/>
                <w:lang w:eastAsia="zh-CN"/>
              </w:rPr>
              <w:t>氨、烟尘、二氧化硫和氮氧化物</w:t>
            </w:r>
            <w:r>
              <w:rPr>
                <w:rFonts w:hint="eastAsia"/>
              </w:rPr>
              <w:t>，本项目</w:t>
            </w:r>
            <w:r>
              <w:rPr>
                <w:rFonts w:hint="eastAsia" w:eastAsia="宋体"/>
                <w:lang w:eastAsia="zh-CN"/>
              </w:rPr>
              <w:t>氨水卸入槽罐车过程可能产生少量跑冒滴漏氨</w:t>
            </w:r>
            <w:r>
              <w:rPr>
                <w:rFonts w:hint="eastAsia"/>
              </w:rPr>
              <w:t>，无组织</w:t>
            </w:r>
            <w:r>
              <w:rPr>
                <w:rFonts w:hint="eastAsia" w:eastAsia="宋体"/>
                <w:lang w:eastAsia="zh-CN"/>
              </w:rPr>
              <w:t>氨</w:t>
            </w:r>
            <w:r>
              <w:rPr>
                <w:rFonts w:hint="eastAsia"/>
              </w:rPr>
              <w:t>废气排放满足《恶臭污染物排放标准》（GB14554-93）表1恶臭污染物厂界标准值二级新扩改建标准（</w:t>
            </w:r>
            <w:r>
              <w:rPr>
                <w:rFonts w:hint="eastAsia" w:eastAsia="宋体"/>
                <w:lang w:eastAsia="zh-CN"/>
              </w:rPr>
              <w:t>氨</w:t>
            </w:r>
            <w:r>
              <w:rPr>
                <w:rFonts w:hint="eastAsia"/>
              </w:rPr>
              <w:t>≤</w:t>
            </w:r>
            <w:r>
              <w:rPr>
                <w:rFonts w:hint="eastAsia" w:ascii="Times New Roman" w:eastAsia="宋体"/>
                <w:lang w:val="en-US" w:eastAsia="zh-CN"/>
              </w:rPr>
              <w:t>1.5</w:t>
            </w:r>
            <w:r>
              <w:rPr>
                <w:rFonts w:hint="eastAsia"/>
              </w:rPr>
              <w:t>mg/m</w:t>
            </w:r>
            <w:r>
              <w:rPr>
                <w:rFonts w:hint="eastAsia"/>
                <w:vertAlign w:val="superscript"/>
              </w:rPr>
              <w:t>3</w:t>
            </w:r>
            <w:r>
              <w:rPr>
                <w:rFonts w:hint="eastAsia"/>
              </w:rPr>
              <w:t>）；项目发电机废气污染物排放执行《大气污染物综合排放标准》(GB16297-1996)新污染源最高允许排放浓度限值</w:t>
            </w:r>
            <w:r>
              <w:rPr>
                <w:rFonts w:hint="eastAsia"/>
                <w:color w:val="000000" w:themeColor="text1"/>
                <w14:textFill>
                  <w14:solidFill>
                    <w14:schemeClr w14:val="tx1"/>
                  </w14:solidFill>
                </w14:textFill>
              </w:rPr>
              <w:t>（</w:t>
            </w:r>
            <w:r>
              <w:rPr>
                <w:rFonts w:hint="eastAsia" w:eastAsia="宋体"/>
                <w:color w:val="000000" w:themeColor="text1"/>
                <w:lang w:eastAsia="zh-CN"/>
                <w14:textFill>
                  <w14:solidFill>
                    <w14:schemeClr w14:val="tx1"/>
                  </w14:solidFill>
                </w14:textFill>
              </w:rPr>
              <w:t>烟尘</w:t>
            </w:r>
            <w:r>
              <w:rPr>
                <w:rFonts w:hint="eastAsia"/>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120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SO</w:t>
            </w:r>
            <w:r>
              <w:rPr>
                <w:rFonts w:hint="eastAsia" w:ascii="Times New Roman" w:eastAsia="宋体"/>
                <w:color w:val="000000" w:themeColor="text1"/>
                <w:vertAlign w:val="subscript"/>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550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NOx</w:t>
            </w:r>
            <w:r>
              <w:rPr>
                <w:rFonts w:hint="eastAsia"/>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rPr>
              <w:t>，</w:t>
            </w:r>
            <w:r>
              <w:rPr>
                <w:rFonts w:hint="eastAsia"/>
                <w:lang w:eastAsia="zh-CN"/>
              </w:rPr>
              <w:t>无组织废气</w:t>
            </w:r>
            <w:r>
              <w:rPr>
                <w:rFonts w:hint="eastAsia"/>
              </w:rPr>
              <w:t>均能</w:t>
            </w:r>
            <w:r>
              <w:rPr>
                <w:rFonts w:hint="eastAsia"/>
                <w:color w:val="000000" w:themeColor="text1"/>
                <w:lang w:eastAsia="zh-CN"/>
                <w14:textFill>
                  <w14:solidFill>
                    <w14:schemeClr w14:val="tx1"/>
                  </w14:solidFill>
                </w14:textFill>
              </w:rPr>
              <w:t>做到厂界</w:t>
            </w:r>
            <w:r>
              <w:rPr>
                <w:rFonts w:hint="eastAsia"/>
              </w:rPr>
              <w:t>达标排放，对大气环境影响较小。</w:t>
            </w:r>
          </w:p>
          <w:p w14:paraId="716794F3">
            <w:pPr>
              <w:ind w:firstLine="480" w:firstLineChars="200"/>
            </w:pPr>
            <w:r>
              <w:rPr>
                <w:rFonts w:hint="eastAsia"/>
              </w:rPr>
              <w:t>本项目各储罐均为密闭储罐，其大小呼吸阀门通过阀门与尾气吸收塔密闭连接，其产生的氨废气经管道排入尾气吸收塔（二级水喷淋）进行处理，处理后尾气通过尾气吸收塔15m高排气筒（DA001）排放。上述</w:t>
            </w:r>
            <w:r>
              <w:rPr>
                <w:rFonts w:hint="eastAsia"/>
                <w:lang w:eastAsia="zh-CN"/>
              </w:rPr>
              <w:t>氨</w:t>
            </w:r>
            <w:r>
              <w:rPr>
                <w:rFonts w:hint="eastAsia"/>
              </w:rPr>
              <w:t>有组织排放满足《恶臭污染物排放标准》（GB14554-93）表2恶臭污染物排放标准值中15m高排气筒臭气浓度标准值，废气经尾气吸收塔（二级水喷淋）处理后，均能达标排放，对外环境影响较小。</w:t>
            </w:r>
          </w:p>
          <w:p w14:paraId="0B137076">
            <w:pPr>
              <w:ind w:firstLine="480" w:firstLineChars="200"/>
            </w:pPr>
            <w:r>
              <w:rPr>
                <w:rFonts w:hint="eastAsia"/>
              </w:rPr>
              <w:t>项目最近的敏感点为项目北面的</w:t>
            </w:r>
            <w:r>
              <w:rPr>
                <w:rFonts w:hint="eastAsia"/>
                <w:lang w:eastAsia="zh-CN"/>
              </w:rPr>
              <w:t>道城洞</w:t>
            </w:r>
            <w:r>
              <w:rPr>
                <w:rFonts w:hint="eastAsia"/>
              </w:rPr>
              <w:t>民居（距离项目排气筒最近约</w:t>
            </w:r>
            <w:r>
              <w:rPr>
                <w:rFonts w:hint="eastAsia"/>
                <w:color w:val="000000" w:themeColor="text1"/>
                <w:lang w:val="en-US" w:eastAsia="zh-CN"/>
                <w14:textFill>
                  <w14:solidFill>
                    <w14:schemeClr w14:val="tx1"/>
                  </w14:solidFill>
                </w14:textFill>
              </w:rPr>
              <w:t>460</w:t>
            </w:r>
            <w:r>
              <w:rPr>
                <w:rFonts w:hint="eastAsia"/>
                <w:color w:val="000000" w:themeColor="text1"/>
                <w14:textFill>
                  <w14:solidFill>
                    <w14:schemeClr w14:val="tx1"/>
                  </w14:solidFill>
                </w14:textFill>
              </w:rPr>
              <w:t>米</w:t>
            </w:r>
            <w:r>
              <w:rPr>
                <w:rFonts w:hint="eastAsia"/>
              </w:rPr>
              <w:t>，距离厂界约</w:t>
            </w:r>
            <w:r>
              <w:rPr>
                <w:rFonts w:hint="eastAsia"/>
                <w:color w:val="000000" w:themeColor="text1"/>
                <w:lang w:val="en-US" w:eastAsia="zh-CN"/>
                <w14:textFill>
                  <w14:solidFill>
                    <w14:schemeClr w14:val="tx1"/>
                  </w14:solidFill>
                </w14:textFill>
              </w:rPr>
              <w:t>430</w:t>
            </w:r>
            <w:r>
              <w:rPr>
                <w:rFonts w:hint="eastAsia"/>
                <w:color w:val="000000" w:themeColor="text1"/>
                <w14:textFill>
                  <w14:solidFill>
                    <w14:schemeClr w14:val="tx1"/>
                  </w14:solidFill>
                </w14:textFill>
              </w:rPr>
              <w:t>米</w:t>
            </w:r>
            <w:r>
              <w:rPr>
                <w:rFonts w:hint="eastAsia"/>
              </w:rPr>
              <w:t>），项目厂界无组织排放的废气经大气稀释后，对周围环境及敏感点影响不大。</w:t>
            </w:r>
          </w:p>
          <w:p w14:paraId="2681C5CA">
            <w:pPr>
              <w:ind w:firstLine="482" w:firstLineChars="200"/>
              <w:rPr>
                <w:b/>
                <w:bCs/>
              </w:rPr>
            </w:pPr>
            <w:r>
              <w:rPr>
                <w:rFonts w:hint="eastAsia"/>
                <w:b/>
                <w:bCs/>
              </w:rPr>
              <w:t>综合结论:</w:t>
            </w:r>
          </w:p>
          <w:p w14:paraId="5016ACC9">
            <w:pPr>
              <w:ind w:firstLine="480" w:firstLineChars="200"/>
            </w:pPr>
            <w:r>
              <w:rPr>
                <w:rFonts w:hint="eastAsia"/>
              </w:rPr>
              <w:t>202</w:t>
            </w:r>
            <w:r>
              <w:rPr>
                <w:rFonts w:hint="eastAsia"/>
                <w:lang w:val="en-US" w:eastAsia="zh-CN"/>
              </w:rPr>
              <w:t>4</w:t>
            </w:r>
            <w:r>
              <w:rPr>
                <w:rFonts w:hint="eastAsia"/>
              </w:rPr>
              <w:t>年云浮市属于环境空气质量达标区，本项目排放废气中无剧毒的物质，最近的敏感点为项目北面的道城洞民居（距离项目排气筒最近约</w:t>
            </w:r>
            <w:r>
              <w:rPr>
                <w:rFonts w:hint="eastAsia"/>
                <w:color w:val="000000" w:themeColor="text1"/>
                <w:lang w:val="en-US" w:eastAsia="zh-CN"/>
                <w14:textFill>
                  <w14:solidFill>
                    <w14:schemeClr w14:val="tx1"/>
                  </w14:solidFill>
                </w14:textFill>
              </w:rPr>
              <w:t>460</w:t>
            </w:r>
            <w:r>
              <w:rPr>
                <w:rFonts w:hint="eastAsia"/>
                <w:color w:val="000000" w:themeColor="text1"/>
                <w14:textFill>
                  <w14:solidFill>
                    <w14:schemeClr w14:val="tx1"/>
                  </w14:solidFill>
                </w14:textFill>
              </w:rPr>
              <w:t>米</w:t>
            </w:r>
            <w:r>
              <w:rPr>
                <w:rFonts w:hint="eastAsia"/>
              </w:rPr>
              <w:t>，距离厂界约</w:t>
            </w:r>
            <w:r>
              <w:rPr>
                <w:rFonts w:hint="eastAsia"/>
                <w:color w:val="000000" w:themeColor="text1"/>
                <w:lang w:val="en-US" w:eastAsia="zh-CN"/>
                <w14:textFill>
                  <w14:solidFill>
                    <w14:schemeClr w14:val="tx1"/>
                  </w14:solidFill>
                </w14:textFill>
              </w:rPr>
              <w:t>430</w:t>
            </w:r>
            <w:r>
              <w:rPr>
                <w:rFonts w:hint="eastAsia"/>
                <w:color w:val="000000" w:themeColor="text1"/>
                <w14:textFill>
                  <w14:solidFill>
                    <w14:schemeClr w14:val="tx1"/>
                  </w14:solidFill>
                </w14:textFill>
              </w:rPr>
              <w:t>米</w:t>
            </w:r>
            <w:r>
              <w:rPr>
                <w:rFonts w:hint="eastAsia"/>
              </w:rPr>
              <w:t>）。项目废气主要为氨、烟尘、二氧化硫和氮氧化物，本项目</w:t>
            </w:r>
            <w:r>
              <w:rPr>
                <w:rFonts w:hint="eastAsia"/>
                <w:lang w:eastAsia="zh-CN"/>
              </w:rPr>
              <w:t>氨</w:t>
            </w:r>
            <w:r>
              <w:rPr>
                <w:rFonts w:hint="eastAsia"/>
              </w:rPr>
              <w:t>废气经尾气吸收塔（二级水喷淋）、加强车间通风、大气稀释、扩散等治理措施，其排放浓度对周围大气环境的影响不大，环境质量可以保持现有水平。</w:t>
            </w:r>
          </w:p>
          <w:p w14:paraId="188CD5EE">
            <w:pPr>
              <w:adjustRightInd w:val="0"/>
              <w:snapToGrid w:val="0"/>
              <w:jc w:val="left"/>
            </w:pPr>
          </w:p>
        </w:tc>
      </w:tr>
    </w:tbl>
    <w:p w14:paraId="29B8E89E">
      <w:pPr>
        <w:tabs>
          <w:tab w:val="left" w:pos="649"/>
        </w:tabs>
        <w:adjustRightInd w:val="0"/>
        <w:snapToGrid w:val="0"/>
        <w:ind w:firstLine="480" w:firstLineChars="200"/>
        <w:rPr>
          <w:rFonts w:cs="宋体"/>
        </w:rPr>
      </w:pPr>
    </w:p>
    <w:p w14:paraId="143EB94A">
      <w:pPr>
        <w:tabs>
          <w:tab w:val="left" w:pos="649"/>
        </w:tabs>
        <w:adjustRightInd w:val="0"/>
        <w:snapToGrid w:val="0"/>
        <w:ind w:firstLine="480" w:firstLineChars="200"/>
        <w:rPr>
          <w:rFonts w:cs="宋体"/>
        </w:rPr>
      </w:pPr>
    </w:p>
    <w:p w14:paraId="4F4A9EDF">
      <w:pPr>
        <w:tabs>
          <w:tab w:val="left" w:pos="649"/>
        </w:tabs>
        <w:adjustRightInd w:val="0"/>
        <w:snapToGrid w:val="0"/>
        <w:ind w:firstLine="480" w:firstLineChars="200"/>
        <w:rPr>
          <w:rFonts w:cs="宋体"/>
        </w:rPr>
        <w:sectPr>
          <w:pgSz w:w="11907" w:h="16840"/>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155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4860"/>
      </w:tblGrid>
      <w:tr w14:paraId="098FF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649" w:type="dxa"/>
            <w:tcMar>
              <w:left w:w="28" w:type="dxa"/>
              <w:right w:w="28" w:type="dxa"/>
            </w:tcMar>
            <w:vAlign w:val="center"/>
          </w:tcPr>
          <w:p w14:paraId="6AD57F97">
            <w:pPr>
              <w:adjustRightInd w:val="0"/>
              <w:snapToGrid w:val="0"/>
              <w:spacing w:line="240" w:lineRule="auto"/>
              <w:jc w:val="center"/>
              <w:rPr>
                <w:rFonts w:cs="宋体"/>
              </w:rPr>
            </w:pPr>
          </w:p>
        </w:tc>
        <w:tc>
          <w:tcPr>
            <w:tcW w:w="14860" w:type="dxa"/>
          </w:tcPr>
          <w:p w14:paraId="780A47BF">
            <w:pPr>
              <w:adjustRightInd w:val="0"/>
              <w:snapToGrid w:val="0"/>
              <w:ind w:firstLine="482" w:firstLineChars="200"/>
              <w:rPr>
                <w:b/>
                <w:bCs/>
              </w:rPr>
            </w:pPr>
            <w:r>
              <w:rPr>
                <w:rFonts w:hint="eastAsia"/>
                <w:b/>
                <w:bCs/>
              </w:rPr>
              <w:t>二、废水</w:t>
            </w:r>
          </w:p>
          <w:p w14:paraId="52C88F76">
            <w:pPr>
              <w:adjustRightInd w:val="0"/>
              <w:snapToGrid w:val="0"/>
              <w:ind w:firstLine="482" w:firstLineChars="200"/>
              <w:rPr>
                <w:b/>
                <w:bCs/>
              </w:rPr>
            </w:pPr>
            <w:r>
              <w:rPr>
                <w:rFonts w:hint="eastAsia"/>
                <w:b/>
                <w:bCs/>
              </w:rPr>
              <w:t>1、产排污环节、污染物及污染治理设施</w:t>
            </w:r>
          </w:p>
          <w:p w14:paraId="5285D74B">
            <w:pPr>
              <w:adjustRightInd w:val="0"/>
              <w:snapToGrid w:val="0"/>
              <w:ind w:firstLine="480" w:firstLineChars="200"/>
            </w:pPr>
            <w:r>
              <w:rPr>
                <w:rFonts w:hint="eastAsia"/>
              </w:rPr>
              <w:t>项目主要用水分为生活用水和生产用水。项目生活用水为员工生产过程中的用水。项目生产用水主要为</w:t>
            </w:r>
            <w:r>
              <w:rPr>
                <w:rFonts w:hint="eastAsia"/>
                <w:lang w:eastAsia="zh-CN"/>
              </w:rPr>
              <w:t>纯水制备浓水</w:t>
            </w:r>
            <w:r>
              <w:rPr>
                <w:rFonts w:hint="eastAsia"/>
              </w:rPr>
              <w:t>、</w:t>
            </w:r>
            <w:r>
              <w:rPr>
                <w:rFonts w:hint="eastAsia"/>
                <w:lang w:eastAsia="zh-CN"/>
              </w:rPr>
              <w:t>球罐冷却用水</w:t>
            </w:r>
            <w:r>
              <w:rPr>
                <w:rFonts w:hint="eastAsia"/>
              </w:rPr>
              <w:t>、</w:t>
            </w:r>
            <w:r>
              <w:rPr>
                <w:rFonts w:hint="eastAsia"/>
                <w:lang w:eastAsia="zh-CN"/>
              </w:rPr>
              <w:t>吸氨器冷却</w:t>
            </w:r>
            <w:r>
              <w:rPr>
                <w:rFonts w:hint="eastAsia"/>
              </w:rPr>
              <w:t>用水。项目运营期的废水各污染物产排情况见下表。</w:t>
            </w:r>
          </w:p>
          <w:p w14:paraId="77F2D162">
            <w:pPr>
              <w:autoSpaceDE w:val="0"/>
              <w:autoSpaceDN w:val="0"/>
              <w:adjustRightInd w:val="0"/>
              <w:snapToGrid w:val="0"/>
              <w:spacing w:line="240" w:lineRule="auto"/>
              <w:jc w:val="center"/>
              <w:textAlignment w:val="baseline"/>
              <w:rPr>
                <w:b/>
                <w:kern w:val="24"/>
                <w:szCs w:val="20"/>
              </w:rPr>
            </w:pPr>
            <w:r>
              <w:rPr>
                <w:rFonts w:hint="eastAsia"/>
                <w:b/>
                <w:kern w:val="24"/>
                <w:szCs w:val="20"/>
              </w:rPr>
              <w:t>表4-15 本项目废水产排污节点、污染物及污染治理设施情况一览表</w:t>
            </w:r>
          </w:p>
          <w:tbl>
            <w:tblPr>
              <w:tblStyle w:val="11"/>
              <w:tblW w:w="1462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28" w:type="dxa"/>
                <w:left w:w="57" w:type="dxa"/>
                <w:bottom w:w="28" w:type="dxa"/>
                <w:right w:w="57" w:type="dxa"/>
              </w:tblCellMar>
            </w:tblPr>
            <w:tblGrid>
              <w:gridCol w:w="549"/>
              <w:gridCol w:w="1684"/>
              <w:gridCol w:w="2184"/>
              <w:gridCol w:w="1066"/>
              <w:gridCol w:w="2181"/>
              <w:gridCol w:w="1026"/>
              <w:gridCol w:w="1066"/>
              <w:gridCol w:w="983"/>
              <w:gridCol w:w="1197"/>
              <w:gridCol w:w="1414"/>
              <w:gridCol w:w="598"/>
              <w:gridCol w:w="677"/>
            </w:tblGrid>
            <w:tr w14:paraId="73CB4A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101" w:hRule="atLeast"/>
                <w:jc w:val="center"/>
              </w:trPr>
              <w:tc>
                <w:tcPr>
                  <w:tcW w:w="2233" w:type="dxa"/>
                  <w:gridSpan w:val="2"/>
                  <w:vMerge w:val="restart"/>
                  <w:tcBorders>
                    <w:tl2br w:val="nil"/>
                    <w:tr2bl w:val="nil"/>
                  </w:tcBorders>
                  <w:shd w:val="clear" w:color="auto" w:fill="FFFFFF"/>
                  <w:vAlign w:val="center"/>
                </w:tcPr>
                <w:p w14:paraId="4359EEBF">
                  <w:pPr>
                    <w:adjustRightInd w:val="0"/>
                    <w:snapToGrid w:val="0"/>
                    <w:spacing w:line="240" w:lineRule="auto"/>
                    <w:jc w:val="center"/>
                    <w:rPr>
                      <w:b/>
                      <w:bCs/>
                      <w:sz w:val="21"/>
                    </w:rPr>
                  </w:pPr>
                  <w:r>
                    <w:rPr>
                      <w:b/>
                      <w:bCs/>
                      <w:sz w:val="21"/>
                    </w:rPr>
                    <w:t>废水类别</w:t>
                  </w:r>
                </w:p>
              </w:tc>
              <w:tc>
                <w:tcPr>
                  <w:tcW w:w="2184" w:type="dxa"/>
                  <w:vMerge w:val="restart"/>
                  <w:tcBorders>
                    <w:tl2br w:val="nil"/>
                    <w:tr2bl w:val="nil"/>
                  </w:tcBorders>
                  <w:shd w:val="clear" w:color="auto" w:fill="FFFFFF"/>
                  <w:vAlign w:val="center"/>
                </w:tcPr>
                <w:p w14:paraId="623B20F6">
                  <w:pPr>
                    <w:adjustRightInd w:val="0"/>
                    <w:snapToGrid w:val="0"/>
                    <w:spacing w:line="240" w:lineRule="auto"/>
                    <w:jc w:val="center"/>
                    <w:rPr>
                      <w:b/>
                      <w:bCs/>
                      <w:sz w:val="21"/>
                    </w:rPr>
                  </w:pPr>
                  <w:r>
                    <w:rPr>
                      <w:b/>
                      <w:bCs/>
                      <w:sz w:val="21"/>
                    </w:rPr>
                    <w:t>污染物种类</w:t>
                  </w:r>
                </w:p>
              </w:tc>
              <w:tc>
                <w:tcPr>
                  <w:tcW w:w="7519" w:type="dxa"/>
                  <w:gridSpan w:val="6"/>
                  <w:tcBorders>
                    <w:tl2br w:val="nil"/>
                    <w:tr2bl w:val="nil"/>
                  </w:tcBorders>
                  <w:shd w:val="clear" w:color="auto" w:fill="FFFFFF"/>
                  <w:vAlign w:val="center"/>
                </w:tcPr>
                <w:p w14:paraId="44954A5A">
                  <w:pPr>
                    <w:adjustRightInd w:val="0"/>
                    <w:snapToGrid w:val="0"/>
                    <w:spacing w:line="240" w:lineRule="auto"/>
                    <w:jc w:val="center"/>
                    <w:rPr>
                      <w:b/>
                      <w:bCs/>
                      <w:sz w:val="21"/>
                    </w:rPr>
                  </w:pPr>
                  <w:r>
                    <w:rPr>
                      <w:b/>
                      <w:bCs/>
                      <w:sz w:val="21"/>
                    </w:rPr>
                    <w:t>污染治理设施</w:t>
                  </w:r>
                </w:p>
              </w:tc>
              <w:tc>
                <w:tcPr>
                  <w:tcW w:w="1414" w:type="dxa"/>
                  <w:vMerge w:val="restart"/>
                  <w:tcBorders>
                    <w:tl2br w:val="nil"/>
                    <w:tr2bl w:val="nil"/>
                  </w:tcBorders>
                  <w:shd w:val="clear" w:color="auto" w:fill="FFFFFF"/>
                  <w:vAlign w:val="center"/>
                </w:tcPr>
                <w:p w14:paraId="2503D2D6">
                  <w:pPr>
                    <w:adjustRightInd w:val="0"/>
                    <w:snapToGrid w:val="0"/>
                    <w:spacing w:line="240" w:lineRule="auto"/>
                    <w:jc w:val="center"/>
                    <w:rPr>
                      <w:b/>
                      <w:bCs/>
                      <w:sz w:val="21"/>
                    </w:rPr>
                  </w:pPr>
                  <w:r>
                    <w:rPr>
                      <w:b/>
                      <w:bCs/>
                      <w:sz w:val="21"/>
                    </w:rPr>
                    <w:t>排放去向</w:t>
                  </w:r>
                </w:p>
              </w:tc>
              <w:tc>
                <w:tcPr>
                  <w:tcW w:w="598" w:type="dxa"/>
                  <w:vMerge w:val="restart"/>
                  <w:tcBorders>
                    <w:tl2br w:val="nil"/>
                    <w:tr2bl w:val="nil"/>
                  </w:tcBorders>
                  <w:shd w:val="clear" w:color="auto" w:fill="FFFFFF"/>
                  <w:vAlign w:val="center"/>
                </w:tcPr>
                <w:p w14:paraId="427E2E3B">
                  <w:pPr>
                    <w:adjustRightInd w:val="0"/>
                    <w:snapToGrid w:val="0"/>
                    <w:spacing w:line="240" w:lineRule="auto"/>
                    <w:jc w:val="center"/>
                    <w:rPr>
                      <w:b/>
                      <w:bCs/>
                      <w:sz w:val="21"/>
                    </w:rPr>
                  </w:pPr>
                  <w:r>
                    <w:rPr>
                      <w:b/>
                      <w:bCs/>
                      <w:sz w:val="21"/>
                    </w:rPr>
                    <w:t>排放方式</w:t>
                  </w:r>
                </w:p>
              </w:tc>
              <w:tc>
                <w:tcPr>
                  <w:tcW w:w="677" w:type="dxa"/>
                  <w:vMerge w:val="restart"/>
                  <w:tcBorders>
                    <w:tl2br w:val="nil"/>
                    <w:tr2bl w:val="nil"/>
                  </w:tcBorders>
                  <w:shd w:val="clear" w:color="auto" w:fill="FFFFFF"/>
                  <w:vAlign w:val="center"/>
                </w:tcPr>
                <w:p w14:paraId="7AA91A5A">
                  <w:pPr>
                    <w:adjustRightInd w:val="0"/>
                    <w:snapToGrid w:val="0"/>
                    <w:spacing w:line="240" w:lineRule="auto"/>
                    <w:jc w:val="center"/>
                    <w:rPr>
                      <w:b/>
                      <w:bCs/>
                      <w:sz w:val="21"/>
                    </w:rPr>
                  </w:pPr>
                  <w:r>
                    <w:rPr>
                      <w:b/>
                      <w:bCs/>
                      <w:sz w:val="21"/>
                    </w:rPr>
                    <w:t>排放规律</w:t>
                  </w:r>
                </w:p>
              </w:tc>
            </w:tr>
            <w:tr w14:paraId="7158A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562" w:hRule="atLeast"/>
                <w:jc w:val="center"/>
              </w:trPr>
              <w:tc>
                <w:tcPr>
                  <w:tcW w:w="2233" w:type="dxa"/>
                  <w:gridSpan w:val="2"/>
                  <w:vMerge w:val="continue"/>
                  <w:tcBorders>
                    <w:tl2br w:val="nil"/>
                    <w:tr2bl w:val="nil"/>
                  </w:tcBorders>
                  <w:shd w:val="clear" w:color="auto" w:fill="FFFFFF"/>
                  <w:vAlign w:val="center"/>
                </w:tcPr>
                <w:p w14:paraId="7E5D5353">
                  <w:pPr>
                    <w:adjustRightInd w:val="0"/>
                    <w:snapToGrid w:val="0"/>
                    <w:spacing w:line="240" w:lineRule="auto"/>
                    <w:jc w:val="center"/>
                    <w:rPr>
                      <w:b/>
                      <w:bCs/>
                      <w:sz w:val="21"/>
                    </w:rPr>
                  </w:pPr>
                </w:p>
              </w:tc>
              <w:tc>
                <w:tcPr>
                  <w:tcW w:w="2184" w:type="dxa"/>
                  <w:vMerge w:val="continue"/>
                  <w:tcBorders>
                    <w:tl2br w:val="nil"/>
                    <w:tr2bl w:val="nil"/>
                  </w:tcBorders>
                  <w:shd w:val="clear" w:color="auto" w:fill="FFFFFF"/>
                  <w:vAlign w:val="center"/>
                </w:tcPr>
                <w:p w14:paraId="2522B2A6">
                  <w:pPr>
                    <w:adjustRightInd w:val="0"/>
                    <w:snapToGrid w:val="0"/>
                    <w:spacing w:line="240" w:lineRule="auto"/>
                    <w:jc w:val="center"/>
                    <w:rPr>
                      <w:b/>
                      <w:bCs/>
                      <w:sz w:val="21"/>
                    </w:rPr>
                  </w:pPr>
                </w:p>
              </w:tc>
              <w:tc>
                <w:tcPr>
                  <w:tcW w:w="1066" w:type="dxa"/>
                  <w:tcBorders>
                    <w:tl2br w:val="nil"/>
                    <w:tr2bl w:val="nil"/>
                  </w:tcBorders>
                  <w:shd w:val="clear" w:color="auto" w:fill="FFFFFF"/>
                  <w:vAlign w:val="center"/>
                </w:tcPr>
                <w:p w14:paraId="4C33B6FD">
                  <w:pPr>
                    <w:adjustRightInd w:val="0"/>
                    <w:snapToGrid w:val="0"/>
                    <w:spacing w:line="240" w:lineRule="auto"/>
                    <w:jc w:val="center"/>
                    <w:rPr>
                      <w:b/>
                      <w:bCs/>
                      <w:sz w:val="21"/>
                    </w:rPr>
                  </w:pPr>
                  <w:r>
                    <w:rPr>
                      <w:b/>
                      <w:bCs/>
                      <w:sz w:val="21"/>
                    </w:rPr>
                    <w:t>污染治理设施编号</w:t>
                  </w:r>
                </w:p>
              </w:tc>
              <w:tc>
                <w:tcPr>
                  <w:tcW w:w="2181" w:type="dxa"/>
                  <w:tcBorders>
                    <w:tl2br w:val="nil"/>
                    <w:tr2bl w:val="nil"/>
                  </w:tcBorders>
                  <w:shd w:val="clear" w:color="auto" w:fill="FFFFFF"/>
                  <w:vAlign w:val="center"/>
                </w:tcPr>
                <w:p w14:paraId="2D9F4644">
                  <w:pPr>
                    <w:adjustRightInd w:val="0"/>
                    <w:snapToGrid w:val="0"/>
                    <w:spacing w:line="240" w:lineRule="auto"/>
                    <w:jc w:val="center"/>
                    <w:rPr>
                      <w:b/>
                      <w:bCs/>
                      <w:sz w:val="21"/>
                    </w:rPr>
                  </w:pPr>
                  <w:r>
                    <w:rPr>
                      <w:b/>
                      <w:bCs/>
                      <w:sz w:val="21"/>
                    </w:rPr>
                    <w:t>污染治理设施名称</w:t>
                  </w:r>
                </w:p>
              </w:tc>
              <w:tc>
                <w:tcPr>
                  <w:tcW w:w="1026" w:type="dxa"/>
                  <w:tcBorders>
                    <w:tl2br w:val="nil"/>
                    <w:tr2bl w:val="nil"/>
                  </w:tcBorders>
                  <w:shd w:val="clear" w:color="auto" w:fill="FFFFFF"/>
                  <w:vAlign w:val="center"/>
                </w:tcPr>
                <w:p w14:paraId="2E6BA0A4">
                  <w:pPr>
                    <w:adjustRightInd w:val="0"/>
                    <w:snapToGrid w:val="0"/>
                    <w:spacing w:line="240" w:lineRule="auto"/>
                    <w:jc w:val="center"/>
                    <w:rPr>
                      <w:b/>
                      <w:bCs/>
                      <w:sz w:val="21"/>
                    </w:rPr>
                  </w:pPr>
                  <w:r>
                    <w:rPr>
                      <w:b/>
                      <w:bCs/>
                      <w:sz w:val="21"/>
                    </w:rPr>
                    <w:t>污染治理设施工艺</w:t>
                  </w:r>
                </w:p>
              </w:tc>
              <w:tc>
                <w:tcPr>
                  <w:tcW w:w="1066" w:type="dxa"/>
                  <w:tcBorders>
                    <w:tl2br w:val="nil"/>
                    <w:tr2bl w:val="nil"/>
                  </w:tcBorders>
                  <w:shd w:val="clear" w:color="auto" w:fill="FFFFFF"/>
                  <w:vAlign w:val="center"/>
                </w:tcPr>
                <w:p w14:paraId="2BF07139">
                  <w:pPr>
                    <w:adjustRightInd w:val="0"/>
                    <w:snapToGrid w:val="0"/>
                    <w:spacing w:line="240" w:lineRule="auto"/>
                    <w:jc w:val="center"/>
                    <w:rPr>
                      <w:b/>
                      <w:bCs/>
                      <w:sz w:val="21"/>
                    </w:rPr>
                  </w:pPr>
                  <w:r>
                    <w:rPr>
                      <w:b/>
                      <w:bCs/>
                      <w:sz w:val="21"/>
                    </w:rPr>
                    <w:t>设计处理水量（t/</w:t>
                  </w:r>
                  <w:r>
                    <w:rPr>
                      <w:rFonts w:hint="eastAsia"/>
                      <w:b/>
                      <w:bCs/>
                      <w:sz w:val="21"/>
                    </w:rPr>
                    <w:t>d</w:t>
                  </w:r>
                  <w:r>
                    <w:rPr>
                      <w:b/>
                      <w:bCs/>
                      <w:sz w:val="21"/>
                    </w:rPr>
                    <w:t>）</w:t>
                  </w:r>
                </w:p>
              </w:tc>
              <w:tc>
                <w:tcPr>
                  <w:tcW w:w="983" w:type="dxa"/>
                  <w:tcBorders>
                    <w:tl2br w:val="nil"/>
                    <w:tr2bl w:val="nil"/>
                  </w:tcBorders>
                  <w:shd w:val="clear" w:color="auto" w:fill="FFFFFF"/>
                  <w:vAlign w:val="center"/>
                </w:tcPr>
                <w:p w14:paraId="208ECD15">
                  <w:pPr>
                    <w:adjustRightInd w:val="0"/>
                    <w:snapToGrid w:val="0"/>
                    <w:spacing w:line="240" w:lineRule="auto"/>
                    <w:jc w:val="center"/>
                    <w:rPr>
                      <w:b/>
                      <w:bCs/>
                      <w:sz w:val="21"/>
                    </w:rPr>
                  </w:pPr>
                  <w:r>
                    <w:rPr>
                      <w:b/>
                      <w:bCs/>
                      <w:sz w:val="21"/>
                    </w:rPr>
                    <w:t>是否为可行技术</w:t>
                  </w:r>
                </w:p>
              </w:tc>
              <w:tc>
                <w:tcPr>
                  <w:tcW w:w="1197" w:type="dxa"/>
                  <w:tcBorders>
                    <w:tl2br w:val="nil"/>
                    <w:tr2bl w:val="nil"/>
                  </w:tcBorders>
                  <w:shd w:val="clear" w:color="auto" w:fill="FFFFFF"/>
                  <w:vAlign w:val="center"/>
                </w:tcPr>
                <w:p w14:paraId="276820A4">
                  <w:pPr>
                    <w:adjustRightInd w:val="0"/>
                    <w:snapToGrid w:val="0"/>
                    <w:spacing w:line="240" w:lineRule="auto"/>
                    <w:jc w:val="center"/>
                    <w:rPr>
                      <w:b/>
                      <w:bCs/>
                      <w:sz w:val="21"/>
                    </w:rPr>
                  </w:pPr>
                  <w:r>
                    <w:rPr>
                      <w:b/>
                      <w:bCs/>
                      <w:sz w:val="21"/>
                    </w:rPr>
                    <w:t>污染治理设施其他信息</w:t>
                  </w:r>
                </w:p>
              </w:tc>
              <w:tc>
                <w:tcPr>
                  <w:tcW w:w="1414" w:type="dxa"/>
                  <w:vMerge w:val="continue"/>
                  <w:tcBorders>
                    <w:tl2br w:val="nil"/>
                    <w:tr2bl w:val="nil"/>
                  </w:tcBorders>
                  <w:shd w:val="clear" w:color="auto" w:fill="FFFFFF"/>
                  <w:vAlign w:val="center"/>
                </w:tcPr>
                <w:p w14:paraId="7A99B80A">
                  <w:pPr>
                    <w:adjustRightInd w:val="0"/>
                    <w:snapToGrid w:val="0"/>
                    <w:spacing w:line="240" w:lineRule="auto"/>
                    <w:jc w:val="center"/>
                    <w:rPr>
                      <w:b/>
                      <w:bCs/>
                      <w:sz w:val="21"/>
                    </w:rPr>
                  </w:pPr>
                </w:p>
              </w:tc>
              <w:tc>
                <w:tcPr>
                  <w:tcW w:w="598" w:type="dxa"/>
                  <w:vMerge w:val="continue"/>
                  <w:tcBorders>
                    <w:tl2br w:val="nil"/>
                    <w:tr2bl w:val="nil"/>
                  </w:tcBorders>
                  <w:shd w:val="clear" w:color="auto" w:fill="FFFFFF"/>
                  <w:vAlign w:val="center"/>
                </w:tcPr>
                <w:p w14:paraId="648AFD74">
                  <w:pPr>
                    <w:adjustRightInd w:val="0"/>
                    <w:snapToGrid w:val="0"/>
                    <w:spacing w:line="240" w:lineRule="auto"/>
                    <w:jc w:val="center"/>
                    <w:rPr>
                      <w:b/>
                      <w:bCs/>
                      <w:sz w:val="21"/>
                    </w:rPr>
                  </w:pPr>
                </w:p>
              </w:tc>
              <w:tc>
                <w:tcPr>
                  <w:tcW w:w="677" w:type="dxa"/>
                  <w:vMerge w:val="continue"/>
                  <w:tcBorders>
                    <w:tl2br w:val="nil"/>
                    <w:tr2bl w:val="nil"/>
                  </w:tcBorders>
                  <w:shd w:val="clear" w:color="auto" w:fill="FFFFFF"/>
                  <w:vAlign w:val="center"/>
                </w:tcPr>
                <w:p w14:paraId="1FBC4A4C">
                  <w:pPr>
                    <w:adjustRightInd w:val="0"/>
                    <w:snapToGrid w:val="0"/>
                    <w:spacing w:line="240" w:lineRule="auto"/>
                    <w:jc w:val="center"/>
                    <w:rPr>
                      <w:b/>
                      <w:bCs/>
                      <w:sz w:val="21"/>
                    </w:rPr>
                  </w:pPr>
                </w:p>
              </w:tc>
            </w:tr>
            <w:tr w14:paraId="465616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402" w:hRule="atLeast"/>
                <w:jc w:val="center"/>
              </w:trPr>
              <w:tc>
                <w:tcPr>
                  <w:tcW w:w="2233" w:type="dxa"/>
                  <w:gridSpan w:val="2"/>
                  <w:tcBorders>
                    <w:tl2br w:val="nil"/>
                    <w:tr2bl w:val="nil"/>
                  </w:tcBorders>
                  <w:shd w:val="clear" w:color="auto" w:fill="FFFFFF"/>
                  <w:vAlign w:val="center"/>
                </w:tcPr>
                <w:p w14:paraId="4785E9B9">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生活污水</w:t>
                  </w:r>
                </w:p>
              </w:tc>
              <w:tc>
                <w:tcPr>
                  <w:tcW w:w="2184" w:type="dxa"/>
                  <w:tcBorders>
                    <w:tl2br w:val="nil"/>
                    <w:tr2bl w:val="nil"/>
                  </w:tcBorders>
                  <w:shd w:val="clear" w:color="auto" w:fill="FFFFFF"/>
                  <w:vAlign w:val="center"/>
                </w:tcPr>
                <w:p w14:paraId="2B2BD2C3">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COD</w:t>
                  </w:r>
                  <w:r>
                    <w:rPr>
                      <w:rFonts w:hint="eastAsia"/>
                      <w:color w:val="000000" w:themeColor="text1"/>
                      <w:sz w:val="21"/>
                      <w:vertAlign w:val="subscript"/>
                      <w14:textFill>
                        <w14:solidFill>
                          <w14:schemeClr w14:val="tx1"/>
                        </w14:solidFill>
                      </w14:textFill>
                    </w:rPr>
                    <w:t>Cr</w:t>
                  </w:r>
                  <w:r>
                    <w:rPr>
                      <w:rFonts w:hint="eastAsia"/>
                      <w:color w:val="000000" w:themeColor="text1"/>
                      <w:sz w:val="21"/>
                      <w14:textFill>
                        <w14:solidFill>
                          <w14:schemeClr w14:val="tx1"/>
                        </w14:solidFill>
                      </w14:textFill>
                    </w:rPr>
                    <w:t>、BOD</w:t>
                  </w:r>
                  <w:r>
                    <w:rPr>
                      <w:rFonts w:hint="eastAsia"/>
                      <w:color w:val="000000" w:themeColor="text1"/>
                      <w:sz w:val="21"/>
                      <w:vertAlign w:val="subscript"/>
                      <w14:textFill>
                        <w14:solidFill>
                          <w14:schemeClr w14:val="tx1"/>
                        </w14:solidFill>
                      </w14:textFill>
                    </w:rPr>
                    <w:t>5</w:t>
                  </w:r>
                  <w:r>
                    <w:rPr>
                      <w:rFonts w:hint="eastAsia"/>
                      <w:color w:val="000000" w:themeColor="text1"/>
                      <w:sz w:val="21"/>
                      <w14:textFill>
                        <w14:solidFill>
                          <w14:schemeClr w14:val="tx1"/>
                        </w14:solidFill>
                      </w14:textFill>
                    </w:rPr>
                    <w:t>、悬浮物、氨氮、</w:t>
                  </w:r>
                  <w:r>
                    <w:rPr>
                      <w:rFonts w:hint="eastAsia"/>
                      <w:color w:val="000000" w:themeColor="text1"/>
                      <w:sz w:val="21"/>
                      <w:lang w:eastAsia="zh-CN"/>
                      <w14:textFill>
                        <w14:solidFill>
                          <w14:schemeClr w14:val="tx1"/>
                        </w14:solidFill>
                      </w14:textFill>
                    </w:rPr>
                    <w:t>总磷、</w:t>
                  </w:r>
                  <w:r>
                    <w:rPr>
                      <w:rFonts w:hint="eastAsia"/>
                      <w:color w:val="000000" w:themeColor="text1"/>
                      <w:sz w:val="21"/>
                      <w14:textFill>
                        <w14:solidFill>
                          <w14:schemeClr w14:val="tx1"/>
                        </w14:solidFill>
                      </w14:textFill>
                    </w:rPr>
                    <w:t>动植物油</w:t>
                  </w:r>
                </w:p>
              </w:tc>
              <w:tc>
                <w:tcPr>
                  <w:tcW w:w="1066" w:type="dxa"/>
                  <w:tcBorders>
                    <w:tl2br w:val="nil"/>
                    <w:tr2bl w:val="nil"/>
                  </w:tcBorders>
                  <w:shd w:val="clear" w:color="auto" w:fill="FFFFFF"/>
                  <w:vAlign w:val="center"/>
                </w:tcPr>
                <w:p w14:paraId="54ABD50D">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TW001</w:t>
                  </w:r>
                </w:p>
              </w:tc>
              <w:tc>
                <w:tcPr>
                  <w:tcW w:w="2181" w:type="dxa"/>
                  <w:tcBorders>
                    <w:tl2br w:val="nil"/>
                    <w:tr2bl w:val="nil"/>
                  </w:tcBorders>
                  <w:shd w:val="clear" w:color="auto" w:fill="FFFFFF"/>
                  <w:vAlign w:val="center"/>
                </w:tcPr>
                <w:p w14:paraId="31A3BC3B">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三级化粪池</w:t>
                  </w:r>
                </w:p>
              </w:tc>
              <w:tc>
                <w:tcPr>
                  <w:tcW w:w="1026" w:type="dxa"/>
                  <w:tcBorders>
                    <w:tl2br w:val="nil"/>
                    <w:tr2bl w:val="nil"/>
                  </w:tcBorders>
                  <w:shd w:val="clear" w:color="auto" w:fill="FFFFFF"/>
                  <w:vAlign w:val="center"/>
                </w:tcPr>
                <w:p w14:paraId="0BF98496">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化粪池</w:t>
                  </w:r>
                </w:p>
              </w:tc>
              <w:tc>
                <w:tcPr>
                  <w:tcW w:w="1066" w:type="dxa"/>
                  <w:tcBorders>
                    <w:tl2br w:val="nil"/>
                    <w:tr2bl w:val="nil"/>
                  </w:tcBorders>
                  <w:shd w:val="clear" w:color="auto" w:fill="FFFFFF"/>
                  <w:vAlign w:val="center"/>
                </w:tcPr>
                <w:p w14:paraId="1FA3E00D">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983" w:type="dxa"/>
                  <w:tcBorders>
                    <w:tl2br w:val="nil"/>
                    <w:tr2bl w:val="nil"/>
                  </w:tcBorders>
                  <w:shd w:val="clear" w:color="auto" w:fill="FFFFFF"/>
                  <w:vAlign w:val="center"/>
                </w:tcPr>
                <w:p w14:paraId="24D9E600">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是</w:t>
                  </w:r>
                </w:p>
              </w:tc>
              <w:tc>
                <w:tcPr>
                  <w:tcW w:w="1197" w:type="dxa"/>
                  <w:tcBorders>
                    <w:tl2br w:val="nil"/>
                    <w:tr2bl w:val="nil"/>
                  </w:tcBorders>
                  <w:shd w:val="clear" w:color="auto" w:fill="FFFFFF"/>
                  <w:vAlign w:val="center"/>
                </w:tcPr>
                <w:p w14:paraId="08E63476">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1414" w:type="dxa"/>
                  <w:tcBorders>
                    <w:tl2br w:val="nil"/>
                    <w:tr2bl w:val="nil"/>
                  </w:tcBorders>
                  <w:shd w:val="clear" w:color="auto" w:fill="FFFFFF"/>
                  <w:vAlign w:val="center"/>
                </w:tcPr>
                <w:p w14:paraId="7F7AD374">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lang w:eastAsia="zh-CN"/>
                      <w14:textFill>
                        <w14:solidFill>
                          <w14:schemeClr w14:val="tx1"/>
                        </w14:solidFill>
                      </w14:textFill>
                    </w:rPr>
                    <w:t>园区</w:t>
                  </w:r>
                  <w:r>
                    <w:rPr>
                      <w:rFonts w:hint="eastAsia"/>
                      <w:color w:val="000000" w:themeColor="text1"/>
                      <w:sz w:val="21"/>
                      <w14:textFill>
                        <w14:solidFill>
                          <w14:schemeClr w14:val="tx1"/>
                        </w14:solidFill>
                      </w14:textFill>
                    </w:rPr>
                    <w:t>污水管网</w:t>
                  </w:r>
                </w:p>
              </w:tc>
              <w:tc>
                <w:tcPr>
                  <w:tcW w:w="598" w:type="dxa"/>
                  <w:tcBorders>
                    <w:tl2br w:val="nil"/>
                    <w:tr2bl w:val="nil"/>
                  </w:tcBorders>
                  <w:shd w:val="clear" w:color="auto" w:fill="FFFFFF"/>
                  <w:vAlign w:val="center"/>
                </w:tcPr>
                <w:p w14:paraId="7037F806">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间接</w:t>
                  </w:r>
                </w:p>
              </w:tc>
              <w:tc>
                <w:tcPr>
                  <w:tcW w:w="677" w:type="dxa"/>
                  <w:tcBorders>
                    <w:tl2br w:val="nil"/>
                    <w:tr2bl w:val="nil"/>
                  </w:tcBorders>
                  <w:shd w:val="clear" w:color="auto" w:fill="FFFFFF"/>
                  <w:vAlign w:val="center"/>
                </w:tcPr>
                <w:p w14:paraId="4B00B7E6">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18E7DD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339" w:hRule="atLeast"/>
                <w:jc w:val="center"/>
              </w:trPr>
              <w:tc>
                <w:tcPr>
                  <w:tcW w:w="549" w:type="dxa"/>
                  <w:vMerge w:val="restart"/>
                  <w:tcBorders>
                    <w:tl2br w:val="nil"/>
                    <w:tr2bl w:val="nil"/>
                  </w:tcBorders>
                  <w:shd w:val="clear" w:color="auto" w:fill="FFFFFF"/>
                  <w:vAlign w:val="center"/>
                </w:tcPr>
                <w:p w14:paraId="2AE0E0EA">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生产废水</w:t>
                  </w:r>
                </w:p>
              </w:tc>
              <w:tc>
                <w:tcPr>
                  <w:tcW w:w="1684" w:type="dxa"/>
                  <w:tcBorders>
                    <w:tl2br w:val="nil"/>
                    <w:tr2bl w:val="nil"/>
                  </w:tcBorders>
                  <w:shd w:val="clear" w:color="auto" w:fill="FFFFFF"/>
                  <w:vAlign w:val="center"/>
                </w:tcPr>
                <w:p w14:paraId="670F9C77">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纯水制备浓水</w:t>
                  </w:r>
                </w:p>
              </w:tc>
              <w:tc>
                <w:tcPr>
                  <w:tcW w:w="2184" w:type="dxa"/>
                  <w:tcBorders>
                    <w:tl2br w:val="nil"/>
                    <w:tr2bl w:val="nil"/>
                  </w:tcBorders>
                  <w:shd w:val="clear" w:color="auto" w:fill="FFFFFF"/>
                  <w:vAlign w:val="center"/>
                </w:tcPr>
                <w:p w14:paraId="1DBDF2E1">
                  <w:pPr>
                    <w:pStyle w:val="14"/>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盐类</w:t>
                  </w:r>
                </w:p>
              </w:tc>
              <w:tc>
                <w:tcPr>
                  <w:tcW w:w="1066" w:type="dxa"/>
                  <w:tcBorders>
                    <w:tl2br w:val="nil"/>
                    <w:tr2bl w:val="nil"/>
                  </w:tcBorders>
                  <w:shd w:val="clear" w:color="auto" w:fill="FFFFFF"/>
                  <w:vAlign w:val="center"/>
                </w:tcPr>
                <w:p w14:paraId="7F1F1F8A">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2181" w:type="dxa"/>
                  <w:tcBorders>
                    <w:tl2br w:val="nil"/>
                    <w:tr2bl w:val="nil"/>
                  </w:tcBorders>
                  <w:shd w:val="clear" w:color="auto" w:fill="FFFFFF"/>
                  <w:vAlign w:val="center"/>
                </w:tcPr>
                <w:p w14:paraId="175E6B65">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1026" w:type="dxa"/>
                  <w:tcBorders>
                    <w:tl2br w:val="nil"/>
                    <w:tr2bl w:val="nil"/>
                  </w:tcBorders>
                  <w:shd w:val="clear" w:color="auto" w:fill="FFFFFF"/>
                  <w:vAlign w:val="center"/>
                </w:tcPr>
                <w:p w14:paraId="4CE22692">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066" w:type="dxa"/>
                  <w:tcBorders>
                    <w:tl2br w:val="nil"/>
                    <w:tr2bl w:val="nil"/>
                  </w:tcBorders>
                  <w:shd w:val="clear" w:color="auto" w:fill="FFFFFF"/>
                  <w:vAlign w:val="center"/>
                </w:tcPr>
                <w:p w14:paraId="1A8151E7">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983" w:type="dxa"/>
                  <w:tcBorders>
                    <w:tl2br w:val="nil"/>
                    <w:tr2bl w:val="nil"/>
                  </w:tcBorders>
                  <w:shd w:val="clear" w:color="auto" w:fill="FFFFFF"/>
                  <w:vAlign w:val="center"/>
                </w:tcPr>
                <w:p w14:paraId="684E4C5B">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197" w:type="dxa"/>
                  <w:tcBorders>
                    <w:tl2br w:val="nil"/>
                    <w:tr2bl w:val="nil"/>
                  </w:tcBorders>
                  <w:shd w:val="clear" w:color="auto" w:fill="FFFFFF"/>
                  <w:vAlign w:val="center"/>
                </w:tcPr>
                <w:p w14:paraId="5F2FF361">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414" w:type="dxa"/>
                  <w:tcBorders>
                    <w:tl2br w:val="nil"/>
                    <w:tr2bl w:val="nil"/>
                  </w:tcBorders>
                  <w:shd w:val="clear" w:color="auto" w:fill="FFFFFF"/>
                  <w:vAlign w:val="center"/>
                </w:tcPr>
                <w:p w14:paraId="1ACF4C05">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园区雨水管网</w:t>
                  </w:r>
                </w:p>
              </w:tc>
              <w:tc>
                <w:tcPr>
                  <w:tcW w:w="598" w:type="dxa"/>
                  <w:tcBorders>
                    <w:tl2br w:val="nil"/>
                    <w:tr2bl w:val="nil"/>
                  </w:tcBorders>
                  <w:shd w:val="clear" w:color="auto" w:fill="FFFFFF"/>
                  <w:vAlign w:val="center"/>
                </w:tcPr>
                <w:p w14:paraId="45200F61">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直排</w:t>
                  </w:r>
                </w:p>
              </w:tc>
              <w:tc>
                <w:tcPr>
                  <w:tcW w:w="677" w:type="dxa"/>
                  <w:tcBorders>
                    <w:tl2br w:val="nil"/>
                    <w:tr2bl w:val="nil"/>
                  </w:tcBorders>
                  <w:shd w:val="clear" w:color="auto" w:fill="FFFFFF"/>
                  <w:vAlign w:val="center"/>
                </w:tcPr>
                <w:p w14:paraId="4A34E912">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45B134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339" w:hRule="atLeast"/>
                <w:jc w:val="center"/>
              </w:trPr>
              <w:tc>
                <w:tcPr>
                  <w:tcW w:w="549" w:type="dxa"/>
                  <w:vMerge w:val="continue"/>
                  <w:tcBorders>
                    <w:tl2br w:val="nil"/>
                    <w:tr2bl w:val="nil"/>
                  </w:tcBorders>
                  <w:shd w:val="clear" w:color="auto" w:fill="FFFFFF"/>
                  <w:vAlign w:val="center"/>
                </w:tcPr>
                <w:p w14:paraId="5B343FA8">
                  <w:pPr>
                    <w:adjustRightInd w:val="0"/>
                    <w:snapToGrid w:val="0"/>
                    <w:spacing w:line="240" w:lineRule="auto"/>
                    <w:jc w:val="center"/>
                    <w:rPr>
                      <w:color w:val="000000" w:themeColor="text1"/>
                      <w:sz w:val="21"/>
                      <w14:textFill>
                        <w14:solidFill>
                          <w14:schemeClr w14:val="tx1"/>
                        </w14:solidFill>
                      </w14:textFill>
                    </w:rPr>
                  </w:pPr>
                </w:p>
              </w:tc>
              <w:tc>
                <w:tcPr>
                  <w:tcW w:w="1684" w:type="dxa"/>
                  <w:tcBorders>
                    <w:tl2br w:val="nil"/>
                    <w:tr2bl w:val="nil"/>
                  </w:tcBorders>
                  <w:shd w:val="clear" w:color="auto" w:fill="FFFFFF"/>
                  <w:vAlign w:val="center"/>
                </w:tcPr>
                <w:p w14:paraId="756FE548">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eastAsia="zh-CN"/>
                      <w14:textFill>
                        <w14:solidFill>
                          <w14:schemeClr w14:val="tx1"/>
                        </w14:solidFill>
                      </w14:textFill>
                    </w:rPr>
                    <w:t>尾气吸收塔废水</w:t>
                  </w:r>
                </w:p>
              </w:tc>
              <w:tc>
                <w:tcPr>
                  <w:tcW w:w="2184" w:type="dxa"/>
                  <w:tcBorders>
                    <w:tl2br w:val="nil"/>
                    <w:tr2bl w:val="nil"/>
                  </w:tcBorders>
                  <w:shd w:val="clear" w:color="auto" w:fill="FFFFFF"/>
                  <w:vAlign w:val="center"/>
                </w:tcPr>
                <w:p w14:paraId="4E8726E9">
                  <w:pPr>
                    <w:pStyle w:val="14"/>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氨</w:t>
                  </w:r>
                </w:p>
              </w:tc>
              <w:tc>
                <w:tcPr>
                  <w:tcW w:w="1066" w:type="dxa"/>
                  <w:tcBorders>
                    <w:tl2br w:val="nil"/>
                    <w:tr2bl w:val="nil"/>
                  </w:tcBorders>
                  <w:shd w:val="clear" w:color="auto" w:fill="FFFFFF"/>
                  <w:vAlign w:val="center"/>
                </w:tcPr>
                <w:p w14:paraId="77A6479A">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2181" w:type="dxa"/>
                  <w:tcBorders>
                    <w:tl2br w:val="nil"/>
                    <w:tr2bl w:val="nil"/>
                  </w:tcBorders>
                  <w:shd w:val="clear" w:color="auto" w:fill="FFFFFF"/>
                  <w:vAlign w:val="center"/>
                </w:tcPr>
                <w:p w14:paraId="3DA0638D">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w:t>
                  </w:r>
                </w:p>
              </w:tc>
              <w:tc>
                <w:tcPr>
                  <w:tcW w:w="1026" w:type="dxa"/>
                  <w:tcBorders>
                    <w:tl2br w:val="nil"/>
                    <w:tr2bl w:val="nil"/>
                  </w:tcBorders>
                  <w:shd w:val="clear" w:color="auto" w:fill="FFFFFF"/>
                  <w:vAlign w:val="center"/>
                </w:tcPr>
                <w:p w14:paraId="245AEE9B">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066" w:type="dxa"/>
                  <w:tcBorders>
                    <w:tl2br w:val="nil"/>
                    <w:tr2bl w:val="nil"/>
                  </w:tcBorders>
                  <w:shd w:val="clear" w:color="auto" w:fill="FFFFFF"/>
                  <w:vAlign w:val="center"/>
                </w:tcPr>
                <w:p w14:paraId="5988F55E">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983" w:type="dxa"/>
                  <w:tcBorders>
                    <w:tl2br w:val="nil"/>
                    <w:tr2bl w:val="nil"/>
                  </w:tcBorders>
                  <w:shd w:val="clear" w:color="auto" w:fill="FFFFFF"/>
                  <w:vAlign w:val="center"/>
                </w:tcPr>
                <w:p w14:paraId="6D258A7F">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197" w:type="dxa"/>
                  <w:tcBorders>
                    <w:tl2br w:val="nil"/>
                    <w:tr2bl w:val="nil"/>
                  </w:tcBorders>
                  <w:shd w:val="clear" w:color="auto" w:fill="FFFFFF"/>
                  <w:vAlign w:val="center"/>
                </w:tcPr>
                <w:p w14:paraId="7C162795">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414" w:type="dxa"/>
                  <w:tcBorders>
                    <w:tl2br w:val="nil"/>
                    <w:tr2bl w:val="nil"/>
                  </w:tcBorders>
                  <w:shd w:val="clear" w:color="auto" w:fill="FFFFFF"/>
                  <w:vAlign w:val="center"/>
                </w:tcPr>
                <w:p w14:paraId="0BFEAA69">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项目生产回用</w:t>
                  </w:r>
                </w:p>
              </w:tc>
              <w:tc>
                <w:tcPr>
                  <w:tcW w:w="598" w:type="dxa"/>
                  <w:tcBorders>
                    <w:tl2br w:val="nil"/>
                    <w:tr2bl w:val="nil"/>
                  </w:tcBorders>
                  <w:shd w:val="clear" w:color="auto" w:fill="FFFFFF"/>
                  <w:vAlign w:val="center"/>
                </w:tcPr>
                <w:p w14:paraId="67682D87">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回用</w:t>
                  </w:r>
                </w:p>
              </w:tc>
              <w:tc>
                <w:tcPr>
                  <w:tcW w:w="677" w:type="dxa"/>
                  <w:tcBorders>
                    <w:tl2br w:val="nil"/>
                    <w:tr2bl w:val="nil"/>
                  </w:tcBorders>
                  <w:shd w:val="clear" w:color="auto" w:fill="FFFFFF"/>
                  <w:vAlign w:val="center"/>
                </w:tcPr>
                <w:p w14:paraId="3D7BA03D">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153C73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339" w:hRule="atLeast"/>
                <w:jc w:val="center"/>
              </w:trPr>
              <w:tc>
                <w:tcPr>
                  <w:tcW w:w="2233" w:type="dxa"/>
                  <w:gridSpan w:val="2"/>
                  <w:tcBorders>
                    <w:tl2br w:val="nil"/>
                    <w:tr2bl w:val="nil"/>
                  </w:tcBorders>
                  <w:shd w:val="clear" w:color="auto" w:fill="FFFFFF"/>
                  <w:vAlign w:val="center"/>
                </w:tcPr>
                <w:p w14:paraId="33927111">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初期雨水</w:t>
                  </w:r>
                </w:p>
              </w:tc>
              <w:tc>
                <w:tcPr>
                  <w:tcW w:w="2184" w:type="dxa"/>
                  <w:tcBorders>
                    <w:tl2br w:val="nil"/>
                    <w:tr2bl w:val="nil"/>
                  </w:tcBorders>
                  <w:shd w:val="clear" w:color="auto" w:fill="FFFFFF"/>
                  <w:vAlign w:val="center"/>
                </w:tcPr>
                <w:p w14:paraId="0B1B537B">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SS、氨</w:t>
                  </w:r>
                </w:p>
              </w:tc>
              <w:tc>
                <w:tcPr>
                  <w:tcW w:w="1066" w:type="dxa"/>
                  <w:tcBorders>
                    <w:tl2br w:val="nil"/>
                    <w:tr2bl w:val="nil"/>
                  </w:tcBorders>
                  <w:shd w:val="clear" w:color="auto" w:fill="FFFFFF"/>
                  <w:vAlign w:val="center"/>
                </w:tcPr>
                <w:p w14:paraId="177EAD16">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TW002</w:t>
                  </w:r>
                </w:p>
              </w:tc>
              <w:tc>
                <w:tcPr>
                  <w:tcW w:w="2181" w:type="dxa"/>
                  <w:tcBorders>
                    <w:tl2br w:val="nil"/>
                    <w:tr2bl w:val="nil"/>
                  </w:tcBorders>
                  <w:shd w:val="clear" w:color="auto" w:fill="FFFFFF"/>
                  <w:vAlign w:val="center"/>
                </w:tcPr>
                <w:p w14:paraId="745EB0E2">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初期雨水池</w:t>
                  </w:r>
                </w:p>
              </w:tc>
              <w:tc>
                <w:tcPr>
                  <w:tcW w:w="1026" w:type="dxa"/>
                  <w:tcBorders>
                    <w:tl2br w:val="nil"/>
                    <w:tr2bl w:val="nil"/>
                  </w:tcBorders>
                  <w:shd w:val="clear" w:color="auto" w:fill="FFFFFF"/>
                  <w:vAlign w:val="center"/>
                </w:tcPr>
                <w:p w14:paraId="3859584A">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066" w:type="dxa"/>
                  <w:tcBorders>
                    <w:tl2br w:val="nil"/>
                    <w:tr2bl w:val="nil"/>
                  </w:tcBorders>
                  <w:shd w:val="clear" w:color="auto" w:fill="FFFFFF"/>
                  <w:vAlign w:val="center"/>
                </w:tcPr>
                <w:p w14:paraId="1B36EAB4">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983" w:type="dxa"/>
                  <w:tcBorders>
                    <w:tl2br w:val="nil"/>
                    <w:tr2bl w:val="nil"/>
                  </w:tcBorders>
                  <w:shd w:val="clear" w:color="auto" w:fill="FFFFFF"/>
                  <w:vAlign w:val="center"/>
                </w:tcPr>
                <w:p w14:paraId="49E4F495">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197" w:type="dxa"/>
                  <w:tcBorders>
                    <w:tl2br w:val="nil"/>
                    <w:tr2bl w:val="nil"/>
                  </w:tcBorders>
                  <w:shd w:val="clear" w:color="auto" w:fill="FFFFFF"/>
                  <w:vAlign w:val="center"/>
                </w:tcPr>
                <w:p w14:paraId="07576229">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414" w:type="dxa"/>
                  <w:tcBorders>
                    <w:tl2br w:val="nil"/>
                    <w:tr2bl w:val="nil"/>
                  </w:tcBorders>
                  <w:shd w:val="clear" w:color="auto" w:fill="FFFFFF"/>
                  <w:vAlign w:val="center"/>
                </w:tcPr>
                <w:p w14:paraId="18621E74">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交由有资质单位清运处置</w:t>
                  </w:r>
                </w:p>
              </w:tc>
              <w:tc>
                <w:tcPr>
                  <w:tcW w:w="598" w:type="dxa"/>
                  <w:tcBorders>
                    <w:tl2br w:val="nil"/>
                    <w:tr2bl w:val="nil"/>
                  </w:tcBorders>
                  <w:shd w:val="clear" w:color="auto" w:fill="FFFFFF"/>
                  <w:vAlign w:val="center"/>
                </w:tcPr>
                <w:p w14:paraId="4CE3EDA7">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间接</w:t>
                  </w:r>
                </w:p>
              </w:tc>
              <w:tc>
                <w:tcPr>
                  <w:tcW w:w="677" w:type="dxa"/>
                  <w:tcBorders>
                    <w:tl2br w:val="nil"/>
                    <w:tr2bl w:val="nil"/>
                  </w:tcBorders>
                  <w:shd w:val="clear" w:color="auto" w:fill="FFFFFF"/>
                  <w:vAlign w:val="center"/>
                </w:tcPr>
                <w:p w14:paraId="15BAD0E6">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bl>
          <w:p w14:paraId="7B1833AF">
            <w:pPr>
              <w:autoSpaceDE w:val="0"/>
              <w:autoSpaceDN w:val="0"/>
              <w:adjustRightInd w:val="0"/>
              <w:snapToGrid w:val="0"/>
              <w:spacing w:line="240" w:lineRule="auto"/>
              <w:jc w:val="center"/>
              <w:textAlignment w:val="baseline"/>
              <w:rPr>
                <w:b/>
                <w:kern w:val="24"/>
                <w:szCs w:val="20"/>
              </w:rPr>
            </w:pPr>
          </w:p>
          <w:p w14:paraId="43BCE912">
            <w:pPr>
              <w:adjustRightInd w:val="0"/>
              <w:snapToGrid w:val="0"/>
              <w:ind w:firstLine="440" w:firstLineChars="200"/>
              <w:rPr>
                <w:rFonts w:ascii="宋体" w:hAnsi="宋体" w:cs="宋体"/>
                <w:bCs/>
                <w:spacing w:val="-10"/>
                <w:szCs w:val="21"/>
              </w:rPr>
            </w:pPr>
          </w:p>
        </w:tc>
      </w:tr>
    </w:tbl>
    <w:p w14:paraId="77E222AE">
      <w:pPr>
        <w:tabs>
          <w:tab w:val="left" w:pos="649"/>
        </w:tabs>
        <w:adjustRightInd w:val="0"/>
        <w:snapToGrid w:val="0"/>
        <w:rPr>
          <w:rFonts w:cs="宋体"/>
        </w:rPr>
        <w:sectPr>
          <w:pgSz w:w="16840" w:h="11907" w:orient="landscape"/>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r>
        <w:rPr>
          <w:rFonts w:hint="eastAsia" w:cs="宋体"/>
        </w:rPr>
        <w:tab/>
      </w:r>
    </w:p>
    <w:tbl>
      <w:tblPr>
        <w:tblStyle w:val="11"/>
        <w:tblW w:w="101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5"/>
        <w:gridCol w:w="9537"/>
      </w:tblGrid>
      <w:tr w14:paraId="40CB3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567" w:type="dxa"/>
            <w:vAlign w:val="center"/>
          </w:tcPr>
          <w:p w14:paraId="37A7FB18">
            <w:pPr>
              <w:adjustRightInd w:val="0"/>
              <w:snapToGrid w:val="0"/>
              <w:jc w:val="center"/>
              <w:rPr>
                <w:rFonts w:ascii="宋体" w:hAnsi="宋体" w:cs="宋体"/>
                <w:kern w:val="0"/>
                <w:szCs w:val="21"/>
              </w:rPr>
            </w:pPr>
          </w:p>
        </w:tc>
        <w:tc>
          <w:tcPr>
            <w:tcW w:w="9586" w:type="dxa"/>
            <w:vAlign w:val="center"/>
          </w:tcPr>
          <w:p w14:paraId="58B3E514">
            <w:pPr>
              <w:adjustRightInd w:val="0"/>
              <w:snapToGrid w:val="0"/>
              <w:ind w:firstLine="482" w:firstLineChars="200"/>
              <w:rPr>
                <w:b/>
                <w:bCs/>
              </w:rPr>
            </w:pPr>
            <w:r>
              <w:rPr>
                <w:rFonts w:hint="eastAsia"/>
                <w:b/>
                <w:bCs/>
              </w:rPr>
              <w:t>2、污染物产排情况源强核算说明：</w:t>
            </w:r>
          </w:p>
          <w:p w14:paraId="06C9C0F0">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本项目用水包括</w:t>
            </w:r>
            <w:r>
              <w:rPr>
                <w:rFonts w:hint="eastAsia" w:cs="Times New Roman"/>
                <w:bCs/>
                <w:sz w:val="24"/>
                <w:szCs w:val="24"/>
                <w:lang w:eastAsia="zh-CN"/>
              </w:rPr>
              <w:t>纯水制备浓水、</w:t>
            </w:r>
            <w:r>
              <w:rPr>
                <w:rFonts w:hint="eastAsia" w:ascii="Times New Roman" w:hAnsi="Times New Roman" w:eastAsia="宋体" w:cs="Times New Roman"/>
                <w:bCs/>
                <w:sz w:val="24"/>
                <w:szCs w:val="24"/>
                <w:lang w:eastAsia="zh-CN"/>
              </w:rPr>
              <w:t>冷却用水、氨气回收用水、办公生活用水、消防备用水。</w:t>
            </w:r>
          </w:p>
          <w:p w14:paraId="03FAEE76">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1</w:t>
            </w:r>
            <w:r>
              <w:rPr>
                <w:rFonts w:hint="eastAsia" w:ascii="Times New Roman" w:hAnsi="Times New Roman" w:eastAsia="宋体" w:cs="Times New Roman"/>
                <w:b/>
                <w:bCs w:val="0"/>
                <w:sz w:val="24"/>
                <w:szCs w:val="24"/>
                <w:lang w:eastAsia="zh-CN"/>
              </w:rPr>
              <w:t>）纯水制备浓水</w:t>
            </w:r>
          </w:p>
          <w:p w14:paraId="1A087B76">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本项目利用纯水通过物理稀释液氨的方式年产工业级氨水</w:t>
            </w:r>
            <w:r>
              <w:rPr>
                <w:rFonts w:hint="eastAsia" w:ascii="Times New Roman" w:hAnsi="Times New Roman" w:eastAsia="宋体" w:cs="Times New Roman"/>
                <w:bCs/>
                <w:sz w:val="24"/>
                <w:szCs w:val="24"/>
                <w:lang w:val="en-US" w:eastAsia="zh-CN"/>
              </w:rPr>
              <w:t>15万吨，氨含量（质量分数）为25%，因此纯水用量为112500m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/a，其中4500m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/a直接来自纯水罐，其余108000m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/a来自氨气回收装置（该装置利用纯水吸收回收氨气，得到氨含量极低的水，可充当纯水回用于生产氨水）。</w:t>
            </w:r>
          </w:p>
          <w:p w14:paraId="01BC1E1D">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本项目设置</w:t>
            </w:r>
            <w:r>
              <w:rPr>
                <w:rFonts w:hint="eastAsia" w:ascii="Times New Roman" w:hAnsi="Times New Roman" w:eastAsia="宋体" w:cs="Times New Roman"/>
                <w:bCs/>
                <w:sz w:val="24"/>
                <w:szCs w:val="24"/>
                <w:lang w:val="en-US" w:eastAsia="zh-CN"/>
              </w:rPr>
              <w:t>2个软水器（单个出水能力50t/h，一用一备），通过离子交换去除市政自来水中的钙、镁离子，降低水质硬度，制备纯水。本项目产品氨水为工业级氨水，对纯水的软硬度要求较低，故采用的软水器纯水率达到95%以上（本评价按95%），因此制备软水所用的原水（市政自来水）用量为118421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p>
          <w:p w14:paraId="4D8DDC1D">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软水器制备纯水后产生少量浓水（水质硬度</w:t>
            </w:r>
            <w:r>
              <w:rPr>
                <w:rFonts w:hint="eastAsia" w:cs="Times New Roman"/>
                <w:bCs/>
                <w:color w:val="000000" w:themeColor="text1"/>
                <w:sz w:val="24"/>
                <w:szCs w:val="24"/>
                <w:lang w:val="en-US" w:eastAsia="zh-CN"/>
                <w14:textFill>
                  <w14:solidFill>
                    <w14:schemeClr w14:val="tx1"/>
                  </w14:solidFill>
                </w14:textFill>
              </w:rPr>
              <w:t>稍</w:t>
            </w:r>
            <w:r>
              <w:rPr>
                <w:rFonts w:hint="eastAsia" w:ascii="Times New Roman" w:hAnsi="Times New Roman" w:eastAsia="宋体" w:cs="Times New Roman"/>
                <w:bCs/>
                <w:sz w:val="24"/>
                <w:szCs w:val="24"/>
                <w:lang w:val="en-US" w:eastAsia="zh-CN"/>
              </w:rPr>
              <w:t>高的水），产生量为5921m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/a，该浓水属于清净下水，直接排入园区雨水管网。</w:t>
            </w:r>
          </w:p>
          <w:p w14:paraId="11D7FAF9">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）冷却用水</w:t>
            </w:r>
          </w:p>
          <w:p w14:paraId="3B2E88D4">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①球罐储存过程的冷却用水</w:t>
            </w:r>
          </w:p>
          <w:p w14:paraId="3BD29BF8">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液氨在球罐内常温高压储存，正常情况下，球罐外部靠自然通风不需要用水冷却；但在高温天气、火灾情况、设备故障（如压力控制系统失效或储罐保冷层损坏）等情况下，外部热量可能导致罐内压力上升，此时需要通过喷淋水冷却球罐外壁，降低罐体温度。</w:t>
            </w:r>
          </w:p>
          <w:p w14:paraId="4B65FC40">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本项目在各个液氨球罐顶部设置喷淋系统，喷淋水采用防晒循环水池内的自来水，通过冷却循环水泵输送至喷淋系统，对球罐表面进行喷淋降温。</w:t>
            </w:r>
          </w:p>
          <w:p w14:paraId="72E55D5B">
            <w:pPr>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sz w:val="24"/>
                <w:szCs w:val="24"/>
                <w:lang w:eastAsia="zh-CN"/>
              </w:rPr>
              <w:t>由于发生火灾以及设备故障等情况具有不确定性，因此本评价仅考虑夏季高温情况下的球罐冷却喷淋用水。夏季高温时，本项目拟每天开启一次喷淋球罐降温，喷淋强度约为</w:t>
            </w:r>
            <w:r>
              <w:rPr>
                <w:rFonts w:hint="eastAsia" w:ascii="Times New Roman" w:hAnsi="Times New Roman" w:eastAsia="宋体" w:cs="Times New Roman"/>
                <w:bCs/>
                <w:sz w:val="24"/>
                <w:szCs w:val="24"/>
                <w:lang w:val="en-US" w:eastAsia="zh-CN"/>
              </w:rPr>
              <w:t>5L/(m</w:t>
            </w:r>
            <w:r>
              <w:rPr>
                <w:rFonts w:hint="eastAsia" w:ascii="Times New Roman" w:hAnsi="Times New Roman" w:eastAsia="宋体" w:cs="Times New Roman"/>
                <w:bCs/>
                <w:sz w:val="24"/>
                <w:szCs w:val="24"/>
                <w:vertAlign w:val="superscript"/>
                <w:lang w:val="en-US" w:eastAsia="zh-CN"/>
              </w:rPr>
              <w:t>2</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min)，单次喷淋时长为30min，单个球罐表面积为490.6m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eastAsia="zh-CN"/>
              </w:rPr>
              <w:t>，因此</w:t>
            </w:r>
            <w:r>
              <w:rPr>
                <w:rFonts w:hint="eastAsia" w:ascii="Times New Roman" w:hAnsi="Times New Roman" w:eastAsia="宋体" w:cs="Times New Roman"/>
                <w:bCs/>
                <w:sz w:val="24"/>
                <w:szCs w:val="24"/>
                <w:lang w:val="en-US" w:eastAsia="zh-CN"/>
              </w:rPr>
              <w:t>4个球罐</w:t>
            </w:r>
            <w:r>
              <w:rPr>
                <w:rFonts w:hint="eastAsia" w:ascii="Times New Roman" w:hAnsi="Times New Roman" w:eastAsia="宋体" w:cs="Times New Roman"/>
                <w:bCs/>
                <w:sz w:val="24"/>
                <w:szCs w:val="24"/>
                <w:lang w:eastAsia="zh-CN"/>
              </w:rPr>
              <w:t>喷淋用水量为</w:t>
            </w:r>
            <w:r>
              <w:rPr>
                <w:rFonts w:hint="eastAsia" w:ascii="Times New Roman" w:hAnsi="Times New Roman" w:eastAsia="宋体" w:cs="Times New Roman"/>
                <w:bCs/>
                <w:sz w:val="24"/>
                <w:szCs w:val="24"/>
                <w:lang w:val="en-US" w:eastAsia="zh-CN"/>
              </w:rPr>
              <w:t>294.4m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/d。考虑产生蒸发损耗，损耗量按15%计</w:t>
            </w:r>
            <w:r>
              <w:rPr>
                <w:rFonts w:hint="eastAsia" w:cs="Times New Roman"/>
                <w:bCs/>
                <w:sz w:val="24"/>
                <w:szCs w:val="24"/>
                <w:lang w:val="en-US" w:eastAsia="zh-CN"/>
              </w:rPr>
              <w:t>，则蒸发损耗</w:t>
            </w:r>
            <w:r>
              <w:rPr>
                <w:rFonts w:hint="eastAsia" w:ascii="Times New Roman" w:hAnsi="Times New Roman" w:eastAsia="宋体" w:cs="Times New Roman"/>
                <w:bCs/>
                <w:sz w:val="24"/>
                <w:szCs w:val="24"/>
                <w:lang w:val="en-US" w:eastAsia="zh-CN"/>
              </w:rPr>
              <w:t>为44.2m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/d，其余250.2m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/d在球罐下方汇集，经管道输送返回防晒循环水池内循环回用</w:t>
            </w:r>
            <w:r>
              <w:rPr>
                <w:rFonts w:hint="eastAsia" w:cs="Times New Roman"/>
                <w:bCs/>
                <w:sz w:val="24"/>
                <w:szCs w:val="24"/>
                <w:lang w:val="en-US" w:eastAsia="zh-CN"/>
              </w:rPr>
              <w:t>，不外排</w:t>
            </w:r>
            <w:r>
              <w:rPr>
                <w:rFonts w:hint="eastAsia" w:ascii="Times New Roman" w:hAnsi="Times New Roman" w:eastAsia="宋体" w:cs="Times New Roman"/>
                <w:bCs/>
                <w:sz w:val="24"/>
                <w:szCs w:val="24"/>
                <w:lang w:val="en-US" w:eastAsia="zh-CN"/>
              </w:rPr>
              <w:t>。</w:t>
            </w:r>
            <w:r>
              <w:rPr>
                <w:rFonts w:hint="eastAsia" w:cs="Times New Roman"/>
                <w:bCs/>
                <w:color w:val="000000" w:themeColor="text1"/>
                <w:sz w:val="24"/>
                <w:szCs w:val="24"/>
                <w:lang w:val="en-US" w:eastAsia="zh-CN"/>
                <w14:textFill>
                  <w14:solidFill>
                    <w14:schemeClr w14:val="tx1"/>
                  </w14:solidFill>
                </w14:textFill>
              </w:rPr>
              <w:t>云浮市地区夏季高温时段保守取5~11月，共计240天，经计算，本项目蒸发损耗水量为10680m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/a，即本项目球罐冷却喷淋用水补充水量为10680m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/a。</w:t>
            </w:r>
          </w:p>
          <w:p w14:paraId="4F7C3E75">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②氨水生产过程的冷却用水</w:t>
            </w:r>
          </w:p>
          <w:p w14:paraId="090E3414">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氨水生产过程中，纯水和液氨在吸氨器内接触互溶过程，放出大量的热量，因此需要用水对吸氨器进行吸热冷却处理。</w:t>
            </w:r>
          </w:p>
          <w:p w14:paraId="51B3BAE2">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氨的溶解热是指</w:t>
            </w: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lang w:eastAsia="zh-CN"/>
              </w:rPr>
              <w:t>摩尔氨溶解于水时释放的热量，其值为</w:t>
            </w:r>
            <w:r>
              <w:rPr>
                <w:rFonts w:hint="eastAsia" w:ascii="Times New Roman" w:hAnsi="Times New Roman" w:eastAsia="宋体" w:cs="Times New Roman"/>
                <w:bCs/>
                <w:sz w:val="24"/>
                <w:szCs w:val="24"/>
                <w:lang w:val="en-US" w:eastAsia="zh-CN"/>
              </w:rPr>
              <w:t>30.5kJ/mol。氨的摩尔质量为17g/mol，1kg氨的物质的量约为58.82mol，因此单位数量的氨溶于水释放的热量为1794.01kJ/kg（折合428.78kcal/kg）。</w:t>
            </w:r>
          </w:p>
          <w:p w14:paraId="2B6D566E">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本项目年产工业级氨水</w:t>
            </w:r>
            <w:r>
              <w:rPr>
                <w:rFonts w:hint="eastAsia" w:ascii="Times New Roman" w:hAnsi="Times New Roman" w:eastAsia="宋体" w:cs="Times New Roman"/>
                <w:bCs/>
                <w:sz w:val="24"/>
                <w:szCs w:val="24"/>
                <w:lang w:val="en-US" w:eastAsia="zh-CN"/>
              </w:rPr>
              <w:t>15万吨，其中液氨用量为3.75万吨，年生产7200小时，因此每小时稀释处理的液氨量为5208kg，其溶于水释放的热量为2233086.24kcal/h。</w:t>
            </w:r>
          </w:p>
          <w:p w14:paraId="26320BBC">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本项目设置的冷却循环水池容积为</w:t>
            </w:r>
            <w:r>
              <w:rPr>
                <w:rFonts w:hint="eastAsia" w:ascii="Times New Roman" w:hAnsi="Times New Roman" w:eastAsia="宋体" w:cs="Times New Roman"/>
                <w:bCs/>
                <w:sz w:val="24"/>
                <w:szCs w:val="24"/>
                <w:lang w:val="en-US" w:eastAsia="zh-CN"/>
              </w:rPr>
              <w:t>80m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，储水量按90%计算为72m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vertAlign w:val="baseline"/>
                <w:lang w:val="en-US" w:eastAsia="zh-CN"/>
              </w:rPr>
              <w:t>（</w:t>
            </w:r>
            <w:r>
              <w:rPr>
                <w:rFonts w:hint="eastAsia" w:ascii="Times New Roman" w:hAnsi="Times New Roman" w:eastAsia="宋体" w:cs="Times New Roman"/>
                <w:b/>
                <w:bCs w:val="0"/>
                <w:sz w:val="24"/>
                <w:szCs w:val="24"/>
                <w:vertAlign w:val="baseline"/>
                <w:lang w:val="en-US" w:eastAsia="zh-CN"/>
              </w:rPr>
              <w:t>循环水量</w:t>
            </w:r>
            <w:r>
              <w:rPr>
                <w:rFonts w:hint="eastAsia" w:ascii="Times New Roman" w:hAnsi="Times New Roman" w:eastAsia="宋体" w:cs="Times New Roman"/>
                <w:bCs/>
                <w:sz w:val="24"/>
                <w:szCs w:val="24"/>
                <w:vertAlign w:val="baseline"/>
                <w:lang w:val="en-US" w:eastAsia="zh-CN"/>
              </w:rPr>
              <w:t>）</w:t>
            </w:r>
            <w:r>
              <w:rPr>
                <w:rFonts w:hint="eastAsia" w:ascii="Times New Roman" w:hAnsi="Times New Roman" w:eastAsia="宋体" w:cs="Times New Roman"/>
                <w:bCs/>
                <w:sz w:val="24"/>
                <w:szCs w:val="24"/>
                <w:lang w:val="en-US" w:eastAsia="zh-CN"/>
              </w:rPr>
              <w:t>；配备的冷却循环水泵和凉水塔设计参数均为250m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/h，即氨水生产过程的冷却水</w:t>
            </w:r>
            <w:r>
              <w:rPr>
                <w:rFonts w:hint="eastAsia" w:ascii="Times New Roman" w:hAnsi="Times New Roman" w:eastAsia="宋体" w:cs="Times New Roman"/>
                <w:b/>
                <w:bCs w:val="0"/>
                <w:sz w:val="24"/>
                <w:szCs w:val="24"/>
                <w:lang w:val="en-US" w:eastAsia="zh-CN"/>
              </w:rPr>
              <w:t>循环流量</w:t>
            </w:r>
            <w:r>
              <w:rPr>
                <w:rFonts w:hint="eastAsia" w:ascii="Times New Roman" w:hAnsi="Times New Roman" w:eastAsia="宋体" w:cs="Times New Roman"/>
                <w:bCs/>
                <w:sz w:val="24"/>
                <w:szCs w:val="24"/>
                <w:lang w:val="en-US" w:eastAsia="zh-CN"/>
              </w:rPr>
              <w:t>为250m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/h。常温常压下水的比热容为1kcal/（kg</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℃）。综上，冷却循环水吸收氨释放的热量后升高的温度约为8.93℃。本项目配备的凉水塔设计入口温度45℃，出口温度35℃，温差</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10℃，因此该设备满足氨水生产过程的冷却需要。</w:t>
            </w:r>
          </w:p>
          <w:p w14:paraId="1FBC6F3A">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凉水塔的水蒸发损耗量约为水循环流量的</w:t>
            </w:r>
            <w:r>
              <w:rPr>
                <w:rFonts w:hint="eastAsia" w:ascii="Times New Roman" w:hAnsi="Times New Roman" w:eastAsia="宋体" w:cs="Times New Roman"/>
                <w:bCs/>
                <w:sz w:val="24"/>
                <w:szCs w:val="24"/>
                <w:lang w:val="en-US" w:eastAsia="zh-CN"/>
              </w:rPr>
              <w:t>2%，即蒸发损耗量为5m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/h，其余水经过冷却后循环利用，并相应地补充蒸发损耗的水量。</w:t>
            </w:r>
          </w:p>
          <w:p w14:paraId="13493FF1">
            <w:pPr>
              <w:adjustRightInd w:val="0"/>
              <w:snapToGrid w:val="0"/>
              <w:ind w:firstLine="482" w:firstLineChars="200"/>
              <w:rPr>
                <w:rFonts w:hint="eastAsia"/>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（3）尾气吸收塔喷淋用水</w:t>
            </w:r>
          </w:p>
          <w:p w14:paraId="2BF73BE5">
            <w:pPr>
              <w:adjustRightInd w:val="0"/>
              <w:snapToGrid w:val="0"/>
              <w:spacing w:line="360" w:lineRule="auto"/>
              <w:ind w:firstLine="480" w:firstLineChars="200"/>
              <w:jc w:val="left"/>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本项目</w:t>
            </w:r>
            <w:r>
              <w:rPr>
                <w:rFonts w:hint="eastAsia" w:cs="Times New Roman"/>
                <w:bCs/>
                <w:color w:val="000000" w:themeColor="text1"/>
                <w:sz w:val="24"/>
                <w:szCs w:val="24"/>
                <w:lang w:eastAsia="zh-CN"/>
                <w14:textFill>
                  <w14:solidFill>
                    <w14:schemeClr w14:val="tx1"/>
                  </w14:solidFill>
                </w14:textFill>
              </w:rPr>
              <w:t>液氨球罐、氨水中间罐和氨水储罐在运营期间会产生大小呼吸废气，各储罐灌顶均设置有大小呼吸阀门，阀门密闭连接至项目尾气吸收塔，储罐产生的大小呼吸废气经尾气吸收塔喷淋吸附处理，处理过程产生的喷淋水泵入超级吸氨器作为生产氨水用水</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p>
          <w:p w14:paraId="6F46D305">
            <w:pPr>
              <w:adjustRightInd w:val="0"/>
              <w:snapToGrid w:val="0"/>
              <w:spacing w:line="360" w:lineRule="auto"/>
              <w:ind w:firstLine="480" w:firstLineChars="200"/>
              <w:jc w:val="left"/>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Times New Roman"/>
                <w:bCs/>
                <w:color w:val="000000" w:themeColor="text1"/>
                <w:sz w:val="24"/>
                <w:szCs w:val="24"/>
                <w:lang w:eastAsia="zh-CN"/>
                <w14:textFill>
                  <w14:solidFill>
                    <w14:schemeClr w14:val="tx1"/>
                  </w14:solidFill>
                </w14:textFill>
              </w:rPr>
              <w:t>氨气回收装置工作原理是：氨气经管道通入</w:t>
            </w:r>
            <w:r>
              <w:rPr>
                <w:rFonts w:hint="eastAsia" w:cs="Times New Roman"/>
                <w:bCs/>
                <w:color w:val="000000" w:themeColor="text1"/>
                <w:sz w:val="24"/>
                <w:szCs w:val="24"/>
                <w:lang w:eastAsia="zh-CN"/>
                <w14:textFill>
                  <w14:solidFill>
                    <w14:schemeClr w14:val="tx1"/>
                  </w14:solidFill>
                </w14:textFill>
              </w:rPr>
              <w:t>尾气吸收塔</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内的纯水液面下方，氨气被纯水吸收，同时回收装置内上方也利用纯水进行</w:t>
            </w:r>
            <w:r>
              <w:rPr>
                <w:rFonts w:hint="eastAsia" w:cs="Times New Roman"/>
                <w:bCs/>
                <w:color w:val="000000" w:themeColor="text1"/>
                <w:sz w:val="24"/>
                <w:szCs w:val="24"/>
                <w:lang w:eastAsia="zh-CN"/>
                <w14:textFill>
                  <w14:solidFill>
                    <w14:schemeClr w14:val="tx1"/>
                  </w14:solidFill>
                </w14:textFill>
              </w:rPr>
              <w:t>二级</w:t>
            </w:r>
            <w:r>
              <w:rPr>
                <w:rFonts w:hint="eastAsia" w:ascii="Times New Roman" w:hAnsi="Times New Roman" w:eastAsia="宋体" w:cs="Times New Roman"/>
                <w:bCs/>
                <w:color w:val="000000" w:themeColor="text1"/>
                <w:sz w:val="24"/>
                <w:szCs w:val="24"/>
                <w:lang w:eastAsia="zh-CN"/>
                <w14:textFill>
                  <w14:solidFill>
                    <w14:schemeClr w14:val="tx1"/>
                  </w14:solidFill>
                </w14:textFill>
              </w:rPr>
              <w:t>喷淋，确保氨气最大程度被纯水吸收回收。</w:t>
            </w:r>
            <w:r>
              <w:rPr>
                <w:rFonts w:hint="eastAsia" w:cs="Times New Roman"/>
                <w:bCs/>
                <w:color w:val="000000" w:themeColor="text1"/>
                <w:sz w:val="24"/>
                <w:szCs w:val="24"/>
                <w:lang w:eastAsia="zh-CN"/>
                <w14:textFill>
                  <w14:solidFill>
                    <w14:schemeClr w14:val="tx1"/>
                  </w14:solidFill>
                </w14:textFill>
              </w:rPr>
              <w:t>尾气吸收塔内</w:t>
            </w:r>
            <w:r>
              <w:rPr>
                <w:rFonts w:hint="eastAsia" w:ascii="Times New Roman" w:hAnsi="Times New Roman" w:eastAsia="宋体" w:cs="Times New Roman"/>
                <w:bCs/>
                <w:color w:val="000000" w:themeColor="text1"/>
                <w:sz w:val="24"/>
                <w:szCs w:val="24"/>
                <w:lang w:eastAsia="zh-CN"/>
                <w14:textFill>
                  <w14:solidFill>
                    <w14:schemeClr w14:val="tx1"/>
                  </w14:solidFill>
                </w14:textFill>
              </w:rPr>
              <w:t>纯水吸收氨气后其氨浓度极低，该纯水可回用于生产氨水。</w:t>
            </w:r>
          </w:p>
          <w:p w14:paraId="5DA037BF">
            <w:pPr>
              <w:adjustRightInd w:val="0"/>
              <w:snapToGrid w:val="0"/>
              <w:spacing w:line="360" w:lineRule="auto"/>
              <w:ind w:firstLine="480" w:firstLineChars="200"/>
              <w:jc w:val="left"/>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cs="Times New Roman"/>
                <w:bCs/>
                <w:color w:val="000000" w:themeColor="text1"/>
                <w:sz w:val="24"/>
                <w:szCs w:val="24"/>
                <w:lang w:eastAsia="zh-CN"/>
                <w14:textFill>
                  <w14:solidFill>
                    <w14:schemeClr w14:val="tx1"/>
                  </w14:solidFill>
                </w14:textFill>
              </w:rPr>
              <w:t>根据项目设计资料，吸氨器生产用纯水其中4500m</w:t>
            </w:r>
            <w:r>
              <w:rPr>
                <w:rFonts w:hint="eastAsia" w:cs="Times New Roman"/>
                <w:bCs/>
                <w:color w:val="000000" w:themeColor="text1"/>
                <w:sz w:val="24"/>
                <w:szCs w:val="24"/>
                <w:vertAlign w:val="superscript"/>
                <w:lang w:eastAsia="zh-CN"/>
                <w14:textFill>
                  <w14:solidFill>
                    <w14:schemeClr w14:val="tx1"/>
                  </w14:solidFill>
                </w14:textFill>
              </w:rPr>
              <w:t>3</w:t>
            </w:r>
            <w:r>
              <w:rPr>
                <w:rFonts w:hint="eastAsia" w:cs="Times New Roman"/>
                <w:bCs/>
                <w:color w:val="000000" w:themeColor="text1"/>
                <w:sz w:val="24"/>
                <w:szCs w:val="24"/>
                <w:lang w:eastAsia="zh-CN"/>
                <w14:textFill>
                  <w14:solidFill>
                    <w14:schemeClr w14:val="tx1"/>
                  </w14:solidFill>
                </w14:textFill>
              </w:rPr>
              <w:t>/a直接来自纯水罐，其余108000m</w:t>
            </w:r>
            <w:r>
              <w:rPr>
                <w:rFonts w:hint="eastAsia" w:cs="Times New Roman"/>
                <w:bCs/>
                <w:color w:val="000000" w:themeColor="text1"/>
                <w:sz w:val="24"/>
                <w:szCs w:val="24"/>
                <w:vertAlign w:val="superscript"/>
                <w:lang w:eastAsia="zh-CN"/>
                <w14:textFill>
                  <w14:solidFill>
                    <w14:schemeClr w14:val="tx1"/>
                  </w14:solidFill>
                </w14:textFill>
              </w:rPr>
              <w:t>3</w:t>
            </w:r>
            <w:r>
              <w:rPr>
                <w:rFonts w:hint="eastAsia" w:cs="Times New Roman"/>
                <w:bCs/>
                <w:color w:val="000000" w:themeColor="text1"/>
                <w:sz w:val="24"/>
                <w:szCs w:val="24"/>
                <w:lang w:eastAsia="zh-CN"/>
                <w14:textFill>
                  <w14:solidFill>
                    <w14:schemeClr w14:val="tx1"/>
                  </w14:solidFill>
                </w14:textFill>
              </w:rPr>
              <w:t>/a纯水来自尾气吸收塔（该装置利用纯水吸收回收氨气，得到氨含量极低的水，可充当纯水回用于生产氨水），综上所述，本项目尾气吸收塔喷淋用水量为108000m</w:t>
            </w:r>
            <w:r>
              <w:rPr>
                <w:rFonts w:hint="eastAsia" w:cs="Times New Roman"/>
                <w:bCs/>
                <w:color w:val="000000" w:themeColor="text1"/>
                <w:sz w:val="24"/>
                <w:szCs w:val="24"/>
                <w:vertAlign w:val="superscript"/>
                <w:lang w:eastAsia="zh-CN"/>
                <w14:textFill>
                  <w14:solidFill>
                    <w14:schemeClr w14:val="tx1"/>
                  </w14:solidFill>
                </w14:textFill>
              </w:rPr>
              <w:t>3</w:t>
            </w:r>
            <w:r>
              <w:rPr>
                <w:rFonts w:hint="eastAsia" w:cs="Times New Roman"/>
                <w:bCs/>
                <w:color w:val="000000" w:themeColor="text1"/>
                <w:sz w:val="24"/>
                <w:szCs w:val="24"/>
                <w:lang w:eastAsia="zh-CN"/>
                <w14:textFill>
                  <w14:solidFill>
                    <w14:schemeClr w14:val="tx1"/>
                  </w14:solidFill>
                </w14:textFill>
              </w:rPr>
              <w:t>/a，其中所有喷淋用水均回用于项目氨水生产，另外尾气吸收塔设置有</w:t>
            </w:r>
            <w:r>
              <w:rPr>
                <w:rFonts w:hint="eastAsia" w:cs="Times New Roman"/>
                <w:bCs/>
                <w:color w:val="000000" w:themeColor="text1"/>
                <w:sz w:val="24"/>
                <w:szCs w:val="24"/>
                <w:lang w:val="en-US" w:eastAsia="zh-CN"/>
                <w14:textFill>
                  <w14:solidFill>
                    <w14:schemeClr w14:val="tx1"/>
                  </w14:solidFill>
                </w14:textFill>
              </w:rPr>
              <w:t>12.5m</w:t>
            </w:r>
            <w:r>
              <w:rPr>
                <w:rFonts w:hint="eastAsia" w:cs="Times New Roman"/>
                <w:bCs/>
                <w:color w:val="000000" w:themeColor="text1"/>
                <w:sz w:val="24"/>
                <w:szCs w:val="24"/>
                <w:vertAlign w:val="superscript"/>
                <w:lang w:val="en-US" w:eastAsia="zh-CN"/>
                <w14:textFill>
                  <w14:solidFill>
                    <w14:schemeClr w14:val="tx1"/>
                  </w14:solidFill>
                </w14:textFill>
              </w:rPr>
              <w:t>3</w:t>
            </w:r>
            <w:r>
              <w:rPr>
                <w:rFonts w:hint="eastAsia" w:cs="Times New Roman"/>
                <w:bCs/>
                <w:color w:val="000000" w:themeColor="text1"/>
                <w:sz w:val="24"/>
                <w:szCs w:val="24"/>
                <w:lang w:val="en-US" w:eastAsia="zh-CN"/>
                <w14:textFill>
                  <w14:solidFill>
                    <w14:schemeClr w14:val="tx1"/>
                  </w14:solidFill>
                </w14:textFill>
              </w:rPr>
              <w:t>/h的吸收循环泵，其作用为循环喷淋吸收塔内纯水</w:t>
            </w:r>
            <w:r>
              <w:rPr>
                <w:rFonts w:hint="eastAsia" w:cs="Times New Roman"/>
                <w:bCs/>
                <w:color w:val="000000" w:themeColor="text1"/>
                <w:sz w:val="24"/>
                <w:szCs w:val="24"/>
                <w:lang w:eastAsia="zh-CN"/>
                <w14:textFill>
                  <w14:solidFill>
                    <w14:schemeClr w14:val="tx1"/>
                  </w14:solidFill>
                </w14:textFill>
              </w:rPr>
              <w:t>。（详见下图）</w:t>
            </w:r>
          </w:p>
          <w:p w14:paraId="675D3876">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14:textFill>
                  <w14:solidFill>
                    <w14:schemeClr w14:val="tx1"/>
                  </w14:solidFill>
                </w14:textFill>
              </w:rPr>
              <w:drawing>
                <wp:inline distT="0" distB="0" distL="114300" distR="114300">
                  <wp:extent cx="5181600" cy="2000250"/>
                  <wp:effectExtent l="0" t="0" r="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7"/>
                          <a:stretch>
                            <a:fillRect/>
                          </a:stretch>
                        </pic:blipFill>
                        <pic:spPr>
                          <a:xfrm>
                            <a:off x="0" y="0"/>
                            <a:ext cx="5181600" cy="2000250"/>
                          </a:xfrm>
                          <a:prstGeom prst="rect">
                            <a:avLst/>
                          </a:prstGeom>
                          <a:noFill/>
                          <a:ln>
                            <a:noFill/>
                          </a:ln>
                        </pic:spPr>
                      </pic:pic>
                    </a:graphicData>
                  </a:graphic>
                </wp:inline>
              </w:drawing>
            </w:r>
          </w:p>
          <w:p w14:paraId="6426222A">
            <w:pPr>
              <w:bidi w:val="0"/>
              <w:adjustRightInd w:val="0"/>
              <w:snapToGrid w:val="0"/>
              <w:spacing w:line="360" w:lineRule="auto"/>
              <w:jc w:val="center"/>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eastAsia="宋体" w:cs="宋体"/>
                <w:b/>
                <w:bCs/>
                <w:color w:val="000000" w:themeColor="text1"/>
                <w:kern w:val="2"/>
                <w:sz w:val="24"/>
                <w:lang w:val="en-US" w:eastAsia="zh-CN" w:bidi="ar-SA"/>
                <w14:textFill>
                  <w14:solidFill>
                    <w14:schemeClr w14:val="tx1"/>
                  </w14:solidFill>
                </w14:textFill>
              </w:rPr>
              <w:t>图2-1 尾气吸收塔水平衡图</w:t>
            </w:r>
          </w:p>
          <w:p w14:paraId="0A448946">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4</w:t>
            </w:r>
            <w:r>
              <w:rPr>
                <w:rFonts w:hint="eastAsia" w:ascii="Times New Roman" w:hAnsi="Times New Roman" w:eastAsia="宋体" w:cs="Times New Roman"/>
                <w:b/>
                <w:bCs w:val="0"/>
                <w:sz w:val="24"/>
                <w:szCs w:val="24"/>
                <w:lang w:eastAsia="zh-CN"/>
              </w:rPr>
              <w:t>）办公生活用水</w:t>
            </w:r>
          </w:p>
          <w:p w14:paraId="373925D1">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本项目劳动定员为</w:t>
            </w:r>
            <w:r>
              <w:rPr>
                <w:rFonts w:hint="eastAsia" w:ascii="Times New Roman" w:hAnsi="Times New Roman" w:eastAsia="宋体" w:cs="Times New Roman"/>
                <w:bCs/>
                <w:sz w:val="24"/>
                <w:szCs w:val="24"/>
                <w:lang w:val="en-US" w:eastAsia="zh-CN"/>
              </w:rPr>
              <w:t>47人，厂内不安排食宿。参考《用水定额 第3部分：生活》（DB44/T1461.3-2021）表A.1的办公楼（无食堂和浴室）的先进值用水定额为10m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/（人</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a）、通用值用水定额为28m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/（人</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a），本评价取</w:t>
            </w:r>
            <w:r>
              <w:rPr>
                <w:rFonts w:hint="eastAsia" w:cs="Times New Roman"/>
                <w:bCs/>
                <w:sz w:val="24"/>
                <w:szCs w:val="24"/>
                <w:lang w:val="en-US" w:eastAsia="zh-CN"/>
              </w:rPr>
              <w:t>先进值</w:t>
            </w:r>
            <w:r>
              <w:rPr>
                <w:rFonts w:hint="eastAsia" w:ascii="Times New Roman" w:hAnsi="Times New Roman" w:eastAsia="宋体" w:cs="Times New Roman"/>
                <w:bCs/>
                <w:sz w:val="24"/>
                <w:szCs w:val="24"/>
                <w:lang w:val="en-US" w:eastAsia="zh-CN"/>
              </w:rPr>
              <w:t>1</w:t>
            </w:r>
            <w:r>
              <w:rPr>
                <w:rFonts w:hint="eastAsia" w:cs="Times New Roman"/>
                <w:bCs/>
                <w:sz w:val="24"/>
                <w:szCs w:val="24"/>
                <w:lang w:val="en-US" w:eastAsia="zh-CN"/>
              </w:rPr>
              <w:t>0</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/（人</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a），因此项目办公生活用水量为</w:t>
            </w:r>
            <w:r>
              <w:rPr>
                <w:rFonts w:hint="eastAsia" w:cs="Times New Roman"/>
                <w:bCs/>
                <w:sz w:val="24"/>
                <w:szCs w:val="24"/>
                <w:lang w:val="en-US" w:eastAsia="zh-CN"/>
              </w:rPr>
              <w:t>470</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r>
              <w:rPr>
                <w:rFonts w:hint="eastAsia" w:ascii="Times New Roman" w:hAnsi="Times New Roman" w:eastAsia="宋体" w:cs="Times New Roman"/>
                <w:bCs/>
                <w:sz w:val="24"/>
                <w:szCs w:val="24"/>
                <w:lang w:eastAsia="zh-CN"/>
              </w:rPr>
              <w:t>。</w:t>
            </w:r>
          </w:p>
          <w:p w14:paraId="612C71E6">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办公生活用水折污系数取</w:t>
            </w:r>
            <w:r>
              <w:rPr>
                <w:rFonts w:hint="eastAsia" w:cs="Times New Roman"/>
                <w:bCs/>
                <w:sz w:val="24"/>
                <w:szCs w:val="24"/>
                <w:lang w:val="en-US" w:eastAsia="zh-CN"/>
              </w:rPr>
              <w:t>90</w:t>
            </w:r>
            <w:r>
              <w:rPr>
                <w:rFonts w:hint="eastAsia" w:ascii="Times New Roman" w:hAnsi="Times New Roman" w:eastAsia="宋体" w:cs="Times New Roman"/>
                <w:bCs/>
                <w:sz w:val="24"/>
                <w:szCs w:val="24"/>
                <w:lang w:val="en-US" w:eastAsia="zh-CN"/>
              </w:rPr>
              <w:t>%，因此办公生活污水产生量为</w:t>
            </w:r>
            <w:r>
              <w:rPr>
                <w:rFonts w:hint="eastAsia" w:cs="Times New Roman"/>
                <w:bCs/>
                <w:sz w:val="24"/>
                <w:szCs w:val="24"/>
                <w:lang w:val="en-US" w:eastAsia="zh-CN"/>
              </w:rPr>
              <w:t>423</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/a。办公生活污水进入三级化粪池处理，出水排入园区污水处理厂进一步处理。</w:t>
            </w:r>
          </w:p>
          <w:p w14:paraId="1B37D2D6">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5</w:t>
            </w:r>
            <w:r>
              <w:rPr>
                <w:rFonts w:hint="eastAsia" w:ascii="Times New Roman" w:hAnsi="Times New Roman" w:eastAsia="宋体" w:cs="Times New Roman"/>
                <w:b/>
                <w:bCs w:val="0"/>
                <w:sz w:val="24"/>
                <w:szCs w:val="24"/>
                <w:lang w:eastAsia="zh-CN"/>
              </w:rPr>
              <w:t>）消防备用水</w:t>
            </w:r>
          </w:p>
          <w:p w14:paraId="458EBA22">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本项目设置</w:t>
            </w:r>
            <w:r>
              <w:rPr>
                <w:rFonts w:hint="eastAsia" w:ascii="Times New Roman" w:hAnsi="Times New Roman" w:eastAsia="宋体" w:cs="Times New Roman"/>
                <w:bCs/>
                <w:sz w:val="24"/>
                <w:szCs w:val="24"/>
                <w:lang w:val="en-US" w:eastAsia="zh-CN"/>
              </w:rPr>
              <w:t>2个消防水罐，日常储备消防用水，单个消防水罐有效容积为2200m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，因此项目消防备用水量为4400m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p>
          <w:p w14:paraId="0841BA55">
            <w:pPr>
              <w:adjustRightInd w:val="0"/>
              <w:snapToGrid w:val="0"/>
              <w:spacing w:line="360" w:lineRule="auto"/>
              <w:ind w:firstLine="482" w:firstLineChars="200"/>
              <w:jc w:val="left"/>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6</w:t>
            </w:r>
            <w:r>
              <w:rPr>
                <w:rFonts w:hint="eastAsia" w:ascii="Times New Roman" w:hAnsi="Times New Roman" w:eastAsia="宋体" w:cs="Times New Roman"/>
                <w:b/>
                <w:bCs w:val="0"/>
                <w:sz w:val="24"/>
                <w:szCs w:val="24"/>
                <w:lang w:eastAsia="zh-CN"/>
              </w:rPr>
              <w:t>）初期雨水</w:t>
            </w:r>
          </w:p>
          <w:p w14:paraId="47358160">
            <w:pPr>
              <w:bidi w:val="0"/>
              <w:jc w:val="center"/>
              <w:rPr>
                <w:rFonts w:hint="default"/>
                <w:b/>
                <w:bCs/>
                <w:lang w:val="en-US" w:eastAsia="zh-CN"/>
              </w:rPr>
            </w:pPr>
            <w:r>
              <w:rPr>
                <w:rFonts w:hint="eastAsia"/>
                <w:b/>
                <w:bCs/>
                <w:lang w:eastAsia="zh-CN"/>
              </w:rPr>
              <w:t>年平均雨水径流量</w:t>
            </w:r>
            <w:r>
              <w:rPr>
                <w:rFonts w:hint="eastAsia"/>
                <w:b/>
                <w:bCs/>
                <w:lang w:val="en-US" w:eastAsia="zh-CN"/>
              </w:rPr>
              <w:t>=年平均降雨量×径流系数×汇水面积。</w:t>
            </w:r>
          </w:p>
          <w:p w14:paraId="79228131">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cs="Times New Roman"/>
                <w:bCs/>
                <w:sz w:val="24"/>
                <w:szCs w:val="24"/>
                <w:lang w:eastAsia="zh-CN"/>
              </w:rPr>
              <w:t>根据</w:t>
            </w:r>
            <w:r>
              <w:rPr>
                <w:rFonts w:hint="eastAsia" w:ascii="Times New Roman" w:hAnsi="Times New Roman" w:eastAsia="宋体" w:cs="Times New Roman"/>
                <w:bCs/>
                <w:sz w:val="24"/>
                <w:szCs w:val="24"/>
                <w:lang w:eastAsia="zh-CN"/>
              </w:rPr>
              <w:t>统计资料，云安区多年平均降雨量为</w:t>
            </w:r>
            <w:r>
              <w:rPr>
                <w:rFonts w:hint="eastAsia" w:ascii="Times New Roman" w:hAnsi="Times New Roman" w:eastAsia="宋体" w:cs="Times New Roman"/>
                <w:bCs/>
                <w:sz w:val="24"/>
                <w:szCs w:val="24"/>
                <w:lang w:val="en-US" w:eastAsia="zh-CN"/>
              </w:rPr>
              <w:t>1587mm。</w:t>
            </w:r>
          </w:p>
          <w:p w14:paraId="72435922">
            <w:pPr>
              <w:adjustRightInd w:val="0"/>
              <w:snapToGrid w:val="0"/>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用地范围内基本硬底化（或建筑屋面、钢结构顶棚、混凝土池体等），参考《建筑给水排水设计标准》（GB50015-2019）和《室外排水设计规范》（GB50014-2006）等标准规范，屋面、混凝土或沥青路面径流系数在0.85~0.95之间；同时径流系数受当地气候影响较大（如降雨强度低、降雨历时长时，降雨可能不会产生径流雨水），因此本评价对项目降雨径流系数取0.8。</w:t>
            </w:r>
          </w:p>
          <w:p w14:paraId="7DFD2CD2">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本项目用地面积为21666.86m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val="en-US" w:eastAsia="zh-CN"/>
              </w:rPr>
              <w:t>。</w:t>
            </w:r>
          </w:p>
          <w:p w14:paraId="35527738">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综上，本项目径流雨水产生量为</w:t>
            </w:r>
            <w:r>
              <w:rPr>
                <w:rFonts w:hint="eastAsia" w:ascii="Times New Roman" w:hAnsi="Times New Roman" w:eastAsia="宋体" w:cs="Times New Roman"/>
                <w:bCs/>
                <w:sz w:val="24"/>
                <w:szCs w:val="24"/>
                <w:lang w:val="en-US" w:eastAsia="zh-CN"/>
              </w:rPr>
              <w:t>27508m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/a</w:t>
            </w:r>
            <w:r>
              <w:rPr>
                <w:rFonts w:hint="eastAsia" w:ascii="Times New Roman" w:hAnsi="Times New Roman" w:eastAsia="宋体" w:cs="Times New Roman"/>
                <w:bCs/>
                <w:sz w:val="24"/>
                <w:szCs w:val="24"/>
                <w:lang w:eastAsia="zh-CN"/>
              </w:rPr>
              <w:t>。</w:t>
            </w:r>
          </w:p>
          <w:p w14:paraId="702834D5">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初期雨水设计流量计算公式如下：</w:t>
            </w:r>
          </w:p>
          <w:p w14:paraId="58679474">
            <w:pPr>
              <w:adjustRightInd w:val="0"/>
              <w:snapToGrid w:val="0"/>
              <w:spacing w:line="360" w:lineRule="auto"/>
              <w:jc w:val="center"/>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Q=q×a×F</w:t>
            </w:r>
          </w:p>
          <w:p w14:paraId="4A19F32B">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式中：Q</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雨水设计流量，L/s；</w:t>
            </w:r>
          </w:p>
          <w:p w14:paraId="771FB56E">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q</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设计暴雨强度，L/s</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ha；</w:t>
            </w:r>
          </w:p>
          <w:p w14:paraId="5B64F0ED">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a</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径流系数；取</w:t>
            </w:r>
            <w:r>
              <w:rPr>
                <w:rFonts w:hint="eastAsia" w:ascii="Times New Roman" w:hAnsi="Times New Roman" w:eastAsia="宋体" w:cs="Times New Roman"/>
                <w:bCs/>
                <w:sz w:val="24"/>
                <w:szCs w:val="24"/>
                <w:lang w:val="en-US" w:eastAsia="zh-CN"/>
              </w:rPr>
              <w:t>0.8</w:t>
            </w:r>
            <w:r>
              <w:rPr>
                <w:rFonts w:hint="eastAsia" w:ascii="Times New Roman" w:hAnsi="Times New Roman" w:eastAsia="宋体" w:cs="Times New Roman"/>
                <w:bCs/>
                <w:sz w:val="24"/>
                <w:szCs w:val="24"/>
                <w:lang w:eastAsia="zh-CN"/>
              </w:rPr>
              <w:t>；</w:t>
            </w:r>
          </w:p>
          <w:p w14:paraId="116B310B">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F</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汇水面积，ha。</w:t>
            </w:r>
          </w:p>
          <w:p w14:paraId="25CEACB7">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根据《云浮市城市规划技术管理规定》(云府办[2018]1号)，云浮市设计暴雨强度参照肇庆市的暴雨强度公式：</w:t>
            </w:r>
          </w:p>
          <w:p w14:paraId="56E713F2">
            <w:pPr>
              <w:spacing w:line="240" w:lineRule="auto"/>
              <w:jc w:val="center"/>
              <w:rPr>
                <w:rFonts w:hint="eastAsia"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q=</w:t>
            </w:r>
            <w:r>
              <w:rPr>
                <w:rFonts w:ascii="Times New Roman" w:hAnsi="Times New Roman" w:eastAsia="宋体" w:cs="Times New Roman"/>
                <w:b/>
                <w:bCs/>
                <w:color w:val="000000"/>
                <w:position w:val="-24"/>
                <w:sz w:val="21"/>
              </w:rPr>
              <w:object>
                <v:shape id="_x0000_i1026" o:spt="75" type="#_x0000_t75" style="height:31pt;width:114.95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28">
                  <o:LockedField>false</o:LockedField>
                </o:OLEObject>
              </w:object>
            </w:r>
          </w:p>
          <w:p w14:paraId="1AAFC129">
            <w:pPr>
              <w:adjustRightInd w:val="0"/>
              <w:snapToGrid w:val="0"/>
              <w:spacing w:line="360" w:lineRule="auto"/>
              <w:ind w:firstLine="420" w:firstLineChars="200"/>
              <w:jc w:val="left"/>
              <w:rPr>
                <w:rFonts w:hint="eastAsia" w:ascii="Times New Roman" w:hAnsi="Times New Roman" w:eastAsia="宋体" w:cs="Times New Roman"/>
                <w:bCs/>
                <w:sz w:val="24"/>
                <w:szCs w:val="24"/>
                <w:lang w:eastAsia="zh-CN"/>
              </w:rPr>
            </w:pPr>
            <w:r>
              <w:rPr>
                <w:rFonts w:ascii="Times New Roman" w:hAnsi="Times New Roman" w:eastAsia="宋体" w:cs="Times New Roman"/>
                <w:color w:val="000000"/>
                <w:sz w:val="21"/>
              </w:rPr>
              <w:t>式</w:t>
            </w:r>
            <w:r>
              <w:rPr>
                <w:rFonts w:hint="eastAsia" w:ascii="Times New Roman" w:hAnsi="Times New Roman" w:eastAsia="宋体" w:cs="Times New Roman"/>
                <w:bCs/>
                <w:sz w:val="24"/>
                <w:szCs w:val="24"/>
                <w:lang w:eastAsia="zh-CN"/>
              </w:rPr>
              <w:t>中：q</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设计暴雨强度，L/s</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ha；</w:t>
            </w:r>
          </w:p>
          <w:p w14:paraId="651403C1">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t</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设计降雨历时，min；取15min；</w:t>
            </w:r>
          </w:p>
          <w:p w14:paraId="4A78351C">
            <w:pPr>
              <w:adjustRightInd w:val="0"/>
              <w:snapToGrid w:val="0"/>
              <w:spacing w:line="360" w:lineRule="auto"/>
              <w:ind w:firstLine="1200" w:firstLineChars="5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P</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eastAsia="zh-CN"/>
              </w:rPr>
              <w:t>设计暴雨重现期，年；取1年。</w:t>
            </w:r>
          </w:p>
          <w:p w14:paraId="51B0A982">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综上，设计暴雨强度</w:t>
            </w:r>
            <w:r>
              <w:rPr>
                <w:rFonts w:hint="eastAsia" w:ascii="Times New Roman" w:hAnsi="Times New Roman" w:eastAsia="宋体" w:cs="Times New Roman"/>
                <w:bCs/>
                <w:sz w:val="24"/>
                <w:szCs w:val="24"/>
                <w:lang w:val="en-US" w:eastAsia="zh-CN"/>
              </w:rPr>
              <w:t>q为286L/s</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ha。</w:t>
            </w:r>
          </w:p>
          <w:p w14:paraId="6E13829A">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本项目液氨球罐区和氨水罐区，与生产车间和综合楼的天面雨水污染程度较低，该天面雨水通过斜坡汇流至天沟，再通过管道落下就近排入园区雨水管网，本评价考虑该部分雨水不计入初期雨水。因此除生产车间、综合楼、液氨球罐区和氨水罐区外，其它区域为汇水面积，占地</w:t>
            </w:r>
            <w:r>
              <w:rPr>
                <w:rFonts w:hint="eastAsia" w:ascii="Times New Roman" w:hAnsi="Times New Roman" w:eastAsia="宋体" w:cs="Times New Roman"/>
                <w:bCs/>
                <w:sz w:val="24"/>
                <w:szCs w:val="24"/>
                <w:lang w:val="en-US" w:eastAsia="zh-CN"/>
              </w:rPr>
              <w:t>16362.7m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val="en-US" w:eastAsia="zh-CN"/>
              </w:rPr>
              <w:t>，即1.63627ha。</w:t>
            </w:r>
          </w:p>
          <w:p w14:paraId="339471E3">
            <w:pPr>
              <w:adjustRightInd w:val="0"/>
              <w:snapToGrid w:val="0"/>
              <w:spacing w:line="360" w:lineRule="auto"/>
              <w:ind w:firstLine="480" w:firstLineChars="200"/>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综上，雨水设计流量为</w:t>
            </w:r>
            <w:r>
              <w:rPr>
                <w:rFonts w:hint="eastAsia" w:ascii="Times New Roman" w:hAnsi="Times New Roman" w:eastAsia="宋体" w:cs="Times New Roman"/>
                <w:bCs/>
                <w:sz w:val="24"/>
                <w:szCs w:val="24"/>
                <w:lang w:val="en-US" w:eastAsia="zh-CN"/>
              </w:rPr>
              <w:t>374.38L/s。项目单次初期雨水产生量为337m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。项目设置的初期雨水池为400m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，满足需要。初期雨水在初期雨水池内进行</w:t>
            </w:r>
            <w:r>
              <w:rPr>
                <w:rFonts w:hint="eastAsia" w:cs="Times New Roman"/>
                <w:bCs/>
                <w:color w:val="000000" w:themeColor="text1"/>
                <w:sz w:val="24"/>
                <w:szCs w:val="24"/>
                <w:lang w:val="en-US" w:eastAsia="zh-CN"/>
                <w14:textFill>
                  <w14:solidFill>
                    <w14:schemeClr w14:val="tx1"/>
                  </w14:solidFill>
                </w14:textFill>
              </w:rPr>
              <w:t>暂存</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交由有资质的污水处理单位安排槽罐车清运处置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3A9AE2C0">
            <w:pPr>
              <w:adjustRightInd w:val="0"/>
              <w:snapToGrid w:val="0"/>
              <w:spacing w:line="360" w:lineRule="auto"/>
              <w:ind w:firstLine="480" w:firstLineChars="200"/>
              <w:jc w:val="left"/>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本评价考虑降雨强度与历时的不确定因素，假设日平均降雨量集中在降雨初期1h内，估计初期雨水年产生量按以下公式进行计算：</w:t>
            </w:r>
          </w:p>
          <w:p w14:paraId="367DA51B">
            <w:pPr>
              <w:pStyle w:val="16"/>
              <w:bidi w:val="0"/>
              <w:rPr>
                <w:rFonts w:hint="eastAsia"/>
                <w:lang w:eastAsia="zh-CN"/>
              </w:rPr>
            </w:pPr>
            <w:r>
              <w:rPr>
                <w:rFonts w:hint="eastAsia"/>
                <w:lang w:eastAsia="zh-CN"/>
              </w:rPr>
              <w:t>年均初期雨水量=年平均降雨量×径流系数×汇水面积×</w:t>
            </w:r>
            <w:r>
              <w:rPr>
                <w:rFonts w:hint="default"/>
                <w:lang w:eastAsia="zh-CN"/>
              </w:rPr>
              <w:t>15/60</w:t>
            </w:r>
          </w:p>
          <w:p w14:paraId="62801AFD">
            <w:pPr>
              <w:adjustRightInd w:val="0"/>
              <w:snapToGrid w:val="0"/>
              <w:spacing w:line="360" w:lineRule="auto"/>
              <w:ind w:firstLine="480" w:firstLineChars="200"/>
              <w:jc w:val="left"/>
            </w:pPr>
            <w:r>
              <w:rPr>
                <w:rFonts w:hint="eastAsia" w:ascii="Times New Roman" w:hAnsi="Times New Roman" w:eastAsia="宋体" w:cs="Times New Roman"/>
                <w:bCs/>
                <w:sz w:val="24"/>
                <w:szCs w:val="24"/>
                <w:lang w:eastAsia="zh-CN"/>
              </w:rPr>
              <w:t>综上，项目全年初期雨水量为</w:t>
            </w:r>
            <w:r>
              <w:rPr>
                <w:rFonts w:hint="eastAsia" w:ascii="Times New Roman" w:hAnsi="Times New Roman" w:eastAsia="宋体" w:cs="Times New Roman"/>
                <w:bCs/>
                <w:sz w:val="24"/>
                <w:szCs w:val="24"/>
                <w:lang w:val="en-US" w:eastAsia="zh-CN"/>
              </w:rPr>
              <w:t>5193</w:t>
            </w:r>
            <w:r>
              <w:rPr>
                <w:rFonts w:hint="eastAsia" w:ascii="Times New Roman" w:hAnsi="Times New Roman" w:eastAsia="宋体" w:cs="Times New Roman"/>
                <w:bCs/>
                <w:sz w:val="24"/>
                <w:szCs w:val="24"/>
                <w:lang w:eastAsia="zh-CN"/>
              </w:rPr>
              <w:t>m</w:t>
            </w:r>
            <w:r>
              <w:rPr>
                <w:rFonts w:hint="eastAsia" w:ascii="Times New Roman" w:hAnsi="Times New Roman" w:eastAsia="宋体" w:cs="Times New Roman"/>
                <w:bCs/>
                <w:sz w:val="24"/>
                <w:szCs w:val="24"/>
                <w:vertAlign w:val="superscript"/>
                <w:lang w:eastAsia="zh-CN"/>
              </w:rPr>
              <w:t>3</w:t>
            </w:r>
            <w:r>
              <w:rPr>
                <w:rFonts w:hint="eastAsia" w:cs="Times New Roman"/>
                <w:bCs/>
                <w:sz w:val="24"/>
                <w:szCs w:val="24"/>
                <w:lang w:val="en-US" w:eastAsia="zh-CN"/>
              </w:rPr>
              <w:t>/a</w:t>
            </w:r>
            <w:r>
              <w:rPr>
                <w:rFonts w:hint="eastAsia" w:ascii="Times New Roman" w:hAnsi="Times New Roman" w:eastAsia="宋体" w:cs="Times New Roman"/>
                <w:bCs/>
                <w:sz w:val="24"/>
                <w:szCs w:val="24"/>
                <w:lang w:eastAsia="zh-CN"/>
              </w:rPr>
              <w:t>。</w:t>
            </w:r>
          </w:p>
          <w:p w14:paraId="58AD259A">
            <w:pPr>
              <w:adjustRightInd w:val="0"/>
              <w:snapToGrid w:val="0"/>
              <w:ind w:firstLine="482" w:firstLineChars="200"/>
              <w:rPr>
                <w:b/>
                <w:bCs/>
              </w:rPr>
            </w:pPr>
            <w:r>
              <w:rPr>
                <w:rFonts w:hint="eastAsia"/>
                <w:b/>
                <w:bCs/>
              </w:rPr>
              <w:t>3）小结</w:t>
            </w:r>
          </w:p>
          <w:p w14:paraId="1982E182">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综上，本项目营运期新鲜水用量为</w:t>
            </w:r>
            <w:r>
              <w:rPr>
                <w:rFonts w:hint="eastAsia"/>
                <w:color w:val="000000" w:themeColor="text1"/>
                <w:lang w:val="en-US" w:eastAsia="zh-CN"/>
                <w14:textFill>
                  <w14:solidFill>
                    <w14:schemeClr w14:val="tx1"/>
                  </w14:solidFill>
                </w14:textFill>
              </w:rPr>
              <w:t>529.564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/d，年用水量为</w:t>
            </w:r>
            <w:r>
              <w:rPr>
                <w:rFonts w:hint="eastAsia"/>
                <w:color w:val="000000" w:themeColor="text1"/>
                <w:lang w:val="en-US" w:eastAsia="zh-CN"/>
                <w14:textFill>
                  <w14:solidFill>
                    <w14:schemeClr w14:val="tx1"/>
                  </w14:solidFill>
                </w14:textFill>
              </w:rPr>
              <w:t>158869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/a，生活污水的排放量为</w:t>
            </w:r>
            <w:r>
              <w:rPr>
                <w:rFonts w:hint="eastAsia"/>
                <w:color w:val="000000" w:themeColor="text1"/>
                <w:lang w:val="en-US" w:eastAsia="zh-CN"/>
                <w14:textFill>
                  <w14:solidFill>
                    <w14:schemeClr w14:val="tx1"/>
                  </w14:solidFill>
                </w14:textFill>
              </w:rPr>
              <w:t>1.41</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/d，生活污水年排放量为</w:t>
            </w:r>
            <w:r>
              <w:rPr>
                <w:rFonts w:hint="eastAsia"/>
                <w:color w:val="000000" w:themeColor="text1"/>
                <w:lang w:val="en-US" w:eastAsia="zh-CN"/>
                <w14:textFill>
                  <w14:solidFill>
                    <w14:schemeClr w14:val="tx1"/>
                  </w14:solidFill>
                </w14:textFill>
              </w:rPr>
              <w:t>423</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生活污水经三级化粪池处理后进入园区污水管网。</w:t>
            </w:r>
            <w:r>
              <w:rPr>
                <w:rFonts w:hint="eastAsia"/>
                <w:color w:val="000000" w:themeColor="text1"/>
                <w14:textFill>
                  <w14:solidFill>
                    <w14:schemeClr w14:val="tx1"/>
                  </w14:solidFill>
                </w14:textFill>
              </w:rPr>
              <w:t>软水器制备纯水后产生少量浓水属于清净下水，直接排入园区雨水管网。球罐储存过程冷却降温用水，15%蒸发损耗，其余在球罐下方汇集，经管道输送返回防晒循环水池内循环回用，不外排。吸氨器冷却用水进入凉水塔冷却，凉水</w:t>
            </w:r>
            <w:r>
              <w:rPr>
                <w:rFonts w:hint="eastAsia"/>
                <w:color w:val="000000" w:themeColor="text1"/>
                <w:lang w:eastAsia="zh-CN"/>
                <w14:textFill>
                  <w14:solidFill>
                    <w14:schemeClr w14:val="tx1"/>
                  </w14:solidFill>
                </w14:textFill>
              </w:rPr>
              <w:t>塔</w:t>
            </w:r>
            <w:r>
              <w:rPr>
                <w:rFonts w:hint="eastAsia"/>
                <w:color w:val="000000" w:themeColor="text1"/>
                <w14:textFill>
                  <w14:solidFill>
                    <w14:schemeClr w14:val="tx1"/>
                  </w14:solidFill>
                </w14:textFill>
              </w:rPr>
              <w:t>的水蒸发损耗2%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其余水经过冷却后循环回用于吸氨器冷却用水，并相应地补充蒸发损耗的水量。本项目尾气吸收塔喷淋用水均进入吸氨器回用于项目氨水生产，不外排。初期雨水在初期雨水池内进行暂存，交由有资质的污水处理单位安排槽罐车清运处置。</w:t>
            </w:r>
          </w:p>
          <w:p w14:paraId="34767AD7">
            <w:pPr>
              <w:adjustRightInd w:val="0"/>
              <w:snapToGrid w:val="0"/>
              <w:ind w:firstLine="482" w:firstLineChars="200"/>
            </w:pPr>
            <w:r>
              <w:rPr>
                <w:rFonts w:hint="eastAsia"/>
                <w:b/>
                <w:bCs/>
              </w:rPr>
              <w:t>4）</w:t>
            </w:r>
            <w:r>
              <w:rPr>
                <w:rFonts w:hint="eastAsia"/>
                <w:b/>
                <w:bCs/>
                <w:color w:val="000000" w:themeColor="text1"/>
                <w:lang w:eastAsia="zh-CN"/>
                <w14:textFill>
                  <w14:solidFill>
                    <w14:schemeClr w14:val="tx1"/>
                  </w14:solidFill>
                </w14:textFill>
              </w:rPr>
              <w:t>三级化粪池</w:t>
            </w:r>
            <w:r>
              <w:rPr>
                <w:rFonts w:hint="eastAsia"/>
                <w:b/>
                <w:bCs/>
              </w:rPr>
              <w:t>处理效率</w:t>
            </w:r>
          </w:p>
          <w:p w14:paraId="47A2B651">
            <w:pPr>
              <w:adjustRightInd w:val="0"/>
              <w:snapToGrid w:val="0"/>
              <w:ind w:firstLine="480" w:firstLineChars="200"/>
            </w:pPr>
            <w:r>
              <w:rPr>
                <w:rFonts w:hint="eastAsia"/>
              </w:rPr>
              <w:t>根据第二次全国污染源普查《集中式污染治理设施产排污系数手册》（试用版）（生态环境部华南环境科学研究所，2019年4月），其“表2.1 农村集中式污水处理设施污染物削减系数表”中“中南（五区） 厌氧+好氧”类污水处理工艺对COD</w:t>
            </w:r>
            <w:r>
              <w:rPr>
                <w:rFonts w:hint="eastAsia"/>
                <w:vertAlign w:val="subscript"/>
              </w:rPr>
              <w:t>Cr</w:t>
            </w:r>
            <w:r>
              <w:rPr>
                <w:rFonts w:hint="eastAsia"/>
              </w:rPr>
              <w:t>、BOD</w:t>
            </w:r>
            <w:r>
              <w:rPr>
                <w:rFonts w:hint="eastAsia"/>
                <w:vertAlign w:val="subscript"/>
              </w:rPr>
              <w:t>5</w:t>
            </w:r>
            <w:r>
              <w:rPr>
                <w:rFonts w:hint="eastAsia"/>
              </w:rPr>
              <w:t>、氨氮</w:t>
            </w:r>
            <w:r>
              <w:rPr>
                <w:rFonts w:hint="eastAsia"/>
                <w:lang w:eastAsia="zh-CN"/>
              </w:rPr>
              <w:t>、总磷、动植物油</w:t>
            </w:r>
            <w:r>
              <w:rPr>
                <w:rFonts w:hint="eastAsia"/>
              </w:rPr>
              <w:t>的去除效率为</w:t>
            </w:r>
            <w:r>
              <w:rPr>
                <w:rFonts w:hint="eastAsia"/>
                <w:lang w:val="en-US" w:eastAsia="zh-CN"/>
              </w:rPr>
              <w:t>45</w:t>
            </w:r>
            <w:r>
              <w:rPr>
                <w:rFonts w:hint="eastAsia"/>
              </w:rPr>
              <w:t>%、</w:t>
            </w:r>
            <w:r>
              <w:rPr>
                <w:rFonts w:hint="eastAsia"/>
                <w:lang w:val="en-US" w:eastAsia="zh-CN"/>
              </w:rPr>
              <w:t>55</w:t>
            </w:r>
            <w:r>
              <w:rPr>
                <w:rFonts w:hint="eastAsia"/>
              </w:rPr>
              <w:t>%、</w:t>
            </w:r>
            <w:r>
              <w:rPr>
                <w:rFonts w:hint="eastAsia"/>
                <w:lang w:val="en-US" w:eastAsia="zh-CN"/>
              </w:rPr>
              <w:t>6</w:t>
            </w:r>
            <w:r>
              <w:rPr>
                <w:rFonts w:hint="eastAsia"/>
              </w:rPr>
              <w:t>%</w:t>
            </w:r>
            <w:r>
              <w:rPr>
                <w:rFonts w:hint="eastAsia"/>
                <w:lang w:eastAsia="zh-CN"/>
              </w:rPr>
              <w:t>、</w:t>
            </w:r>
            <w:r>
              <w:rPr>
                <w:rFonts w:hint="eastAsia"/>
                <w:lang w:val="en-US" w:eastAsia="zh-CN"/>
              </w:rPr>
              <w:t>5%、65%</w:t>
            </w:r>
            <w:r>
              <w:rPr>
                <w:rFonts w:hint="eastAsia"/>
              </w:rPr>
              <w:t>。根据《三废处理工程技术手册——废水卷》及《生物接触氧化法污水处理工程技术规范》（HJ 2009-2011）等相关技术资料，沉淀工序对SS的去除率为90%以上。</w:t>
            </w:r>
          </w:p>
          <w:p w14:paraId="29C85013">
            <w:pPr>
              <w:adjustRightInd w:val="0"/>
              <w:snapToGrid w:val="0"/>
              <w:ind w:firstLine="480" w:firstLineChars="200"/>
            </w:pPr>
            <w:r>
              <w:rPr>
                <w:rFonts w:hint="eastAsia"/>
              </w:rPr>
              <w:t>综上所述，本项目采用“三级化粪池”（即厌氧）的污水处理工艺对本项目运营期间产生的生活污水进行处理，本项目污水处理工艺对生活污水中的COD</w:t>
            </w:r>
            <w:r>
              <w:rPr>
                <w:rFonts w:hint="eastAsia"/>
                <w:vertAlign w:val="subscript"/>
              </w:rPr>
              <w:t>Cr</w:t>
            </w:r>
            <w:r>
              <w:rPr>
                <w:rFonts w:hint="eastAsia"/>
              </w:rPr>
              <w:t>、BOD</w:t>
            </w:r>
            <w:r>
              <w:rPr>
                <w:rFonts w:hint="eastAsia"/>
                <w:vertAlign w:val="subscript"/>
              </w:rPr>
              <w:t>5</w:t>
            </w:r>
            <w:r>
              <w:rPr>
                <w:rFonts w:hint="eastAsia"/>
              </w:rPr>
              <w:t>、SS、氨氮、</w:t>
            </w:r>
            <w:r>
              <w:rPr>
                <w:rFonts w:hint="eastAsia"/>
                <w:lang w:eastAsia="zh-CN"/>
              </w:rPr>
              <w:t>总磷、</w:t>
            </w:r>
            <w:r>
              <w:rPr>
                <w:rFonts w:hint="eastAsia"/>
              </w:rPr>
              <w:t>动植物油的去除效率保守按45%、55%、90%、6%、</w:t>
            </w:r>
            <w:r>
              <w:rPr>
                <w:rFonts w:hint="eastAsia"/>
                <w:lang w:val="en-US" w:eastAsia="zh-CN"/>
              </w:rPr>
              <w:t>5</w:t>
            </w:r>
            <w:r>
              <w:rPr>
                <w:rFonts w:hint="eastAsia"/>
              </w:rPr>
              <w:t>%</w:t>
            </w:r>
            <w:r>
              <w:rPr>
                <w:rFonts w:hint="eastAsia"/>
                <w:lang w:eastAsia="zh-CN"/>
              </w:rPr>
              <w:t>、</w:t>
            </w:r>
            <w:r>
              <w:rPr>
                <w:rFonts w:hint="eastAsia"/>
                <w:lang w:val="en-US" w:eastAsia="zh-CN"/>
              </w:rPr>
              <w:t>65%</w:t>
            </w:r>
            <w:r>
              <w:rPr>
                <w:rFonts w:hint="eastAsia"/>
              </w:rPr>
              <w:t>进行计算。</w:t>
            </w:r>
          </w:p>
          <w:p w14:paraId="1BABA4E9">
            <w:pPr>
              <w:adjustRightInd w:val="0"/>
              <w:snapToGrid w:val="0"/>
              <w:ind w:firstLine="482" w:firstLineChars="200"/>
            </w:pPr>
            <w:r>
              <w:rPr>
                <w:rFonts w:hint="eastAsia"/>
                <w:b/>
                <w:bCs/>
              </w:rPr>
              <w:t>5）废水产生产排情况</w:t>
            </w:r>
          </w:p>
          <w:p w14:paraId="296FA536">
            <w:pPr>
              <w:adjustRightInd w:val="0"/>
              <w:snapToGrid w:val="0"/>
              <w:ind w:firstLine="480" w:firstLineChars="200"/>
            </w:pPr>
            <w:r>
              <w:rPr>
                <w:rFonts w:hint="eastAsia"/>
              </w:rPr>
              <w:t>本项目生产运营期间会产生员工生产办公生活污水，生活污水具有典型的城镇居民生活污水特征，产生浓度具有普遍性，</w:t>
            </w:r>
            <w:r>
              <w:rPr>
                <w:rFonts w:hint="eastAsia"/>
                <w:color w:val="000000"/>
              </w:rPr>
              <w:t>参考《排放源统计调查产排污核算方法和系数手册》—《生活污染源产排污系数手册》中的表1-1，广东属于五区，主要污染物浓度COD</w:t>
            </w:r>
            <w:r>
              <w:rPr>
                <w:rFonts w:hint="eastAsia"/>
                <w:color w:val="000000"/>
                <w:vertAlign w:val="subscript"/>
              </w:rPr>
              <w:t>Cr</w:t>
            </w:r>
            <w:r>
              <w:rPr>
                <w:rFonts w:hint="eastAsia"/>
                <w:color w:val="000000"/>
              </w:rPr>
              <w:t>：285mg/L、NH</w:t>
            </w:r>
            <w:r>
              <w:rPr>
                <w:rFonts w:hint="eastAsia"/>
                <w:color w:val="000000"/>
                <w:vertAlign w:val="subscript"/>
              </w:rPr>
              <w:t>3</w:t>
            </w:r>
            <w:r>
              <w:rPr>
                <w:rFonts w:hint="eastAsia"/>
                <w:color w:val="000000"/>
              </w:rPr>
              <w:t>-N：28.3mg/L</w:t>
            </w:r>
            <w:r>
              <w:rPr>
                <w:rFonts w:hint="eastAsia"/>
                <w:color w:val="000000"/>
                <w:lang w:eastAsia="zh-CN"/>
              </w:rPr>
              <w:t>、总磷：</w:t>
            </w:r>
            <w:r>
              <w:rPr>
                <w:rFonts w:hint="eastAsia"/>
                <w:color w:val="000000"/>
                <w:lang w:val="en-US" w:eastAsia="zh-CN"/>
              </w:rPr>
              <w:t>4.10mg/L</w:t>
            </w:r>
            <w:r>
              <w:rPr>
                <w:rFonts w:hint="eastAsia"/>
                <w:color w:val="000000"/>
              </w:rPr>
              <w:t>；参考《给水排水设计手册 第05册 城镇排水》（第二版），广东属于低浓度地区，BOD</w:t>
            </w:r>
            <w:r>
              <w:rPr>
                <w:rFonts w:hint="eastAsia"/>
                <w:color w:val="000000"/>
                <w:vertAlign w:val="subscript"/>
              </w:rPr>
              <w:t>5</w:t>
            </w:r>
            <w:r>
              <w:rPr>
                <w:rFonts w:hint="eastAsia"/>
                <w:color w:val="000000"/>
              </w:rPr>
              <w:t>：110mg/L、SS：100mg/L；</w:t>
            </w:r>
            <w:r>
              <w:rPr>
                <w:rFonts w:hint="eastAsia"/>
              </w:rPr>
              <w:t>本次评价生活污水中污染物COD</w:t>
            </w:r>
            <w:r>
              <w:rPr>
                <w:rFonts w:hint="eastAsia"/>
                <w:vertAlign w:val="subscript"/>
              </w:rPr>
              <w:t>Cr</w:t>
            </w:r>
            <w:r>
              <w:rPr>
                <w:rFonts w:hint="eastAsia"/>
              </w:rPr>
              <w:t>取值</w:t>
            </w:r>
            <w:r>
              <w:rPr>
                <w:rFonts w:hint="eastAsia"/>
                <w:color w:val="000000"/>
              </w:rPr>
              <w:t>为285mg/L、BOD</w:t>
            </w:r>
            <w:r>
              <w:rPr>
                <w:rFonts w:hint="eastAsia"/>
                <w:color w:val="000000"/>
                <w:vertAlign w:val="subscript"/>
              </w:rPr>
              <w:t>5</w:t>
            </w:r>
            <w:r>
              <w:rPr>
                <w:rFonts w:hint="eastAsia"/>
                <w:color w:val="000000"/>
              </w:rPr>
              <w:t>取值为110mg/L、SS取值为100mg/L、氨氮取值为28.3mg/L、动植物油取值为20mg/L</w:t>
            </w:r>
            <w:r>
              <w:rPr>
                <w:rFonts w:hint="eastAsia"/>
              </w:rPr>
              <w:t>，生活污水污染物产排情况见下表。</w:t>
            </w:r>
          </w:p>
          <w:p w14:paraId="7FA775D0">
            <w:pPr>
              <w:autoSpaceDE w:val="0"/>
              <w:autoSpaceDN w:val="0"/>
              <w:adjustRightInd w:val="0"/>
              <w:snapToGrid w:val="0"/>
              <w:spacing w:line="240" w:lineRule="auto"/>
              <w:jc w:val="center"/>
              <w:textAlignment w:val="baseline"/>
              <w:rPr>
                <w:b/>
                <w:kern w:val="24"/>
                <w:szCs w:val="20"/>
              </w:rPr>
            </w:pPr>
            <w:r>
              <w:rPr>
                <w:rFonts w:hint="eastAsia"/>
                <w:b/>
                <w:kern w:val="24"/>
                <w:szCs w:val="20"/>
              </w:rPr>
              <w:t>表4-1</w:t>
            </w:r>
            <w:r>
              <w:rPr>
                <w:rFonts w:hint="eastAsia"/>
                <w:b/>
                <w:kern w:val="24"/>
                <w:szCs w:val="20"/>
                <w:lang w:val="en-US" w:eastAsia="zh-CN"/>
              </w:rPr>
              <w:t>6</w:t>
            </w:r>
            <w:r>
              <w:rPr>
                <w:rFonts w:hint="eastAsia"/>
                <w:b/>
                <w:kern w:val="24"/>
                <w:szCs w:val="20"/>
              </w:rPr>
              <w:t xml:space="preserve"> 本项目生活污水产排情况一览表</w:t>
            </w:r>
          </w:p>
          <w:tbl>
            <w:tblPr>
              <w:tblStyle w:val="11"/>
              <w:tblW w:w="88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073"/>
              <w:gridCol w:w="966"/>
              <w:gridCol w:w="1508"/>
              <w:gridCol w:w="1416"/>
              <w:gridCol w:w="969"/>
              <w:gridCol w:w="1508"/>
              <w:gridCol w:w="1417"/>
            </w:tblGrid>
            <w:tr w14:paraId="3017AB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2" w:hRule="atLeast"/>
                <w:jc w:val="center"/>
              </w:trPr>
              <w:tc>
                <w:tcPr>
                  <w:tcW w:w="1073" w:type="dxa"/>
                  <w:tcBorders>
                    <w:tl2br w:val="nil"/>
                    <w:tr2bl w:val="nil"/>
                  </w:tcBorders>
                  <w:shd w:val="clear" w:color="auto" w:fill="auto"/>
                  <w:noWrap/>
                  <w:vAlign w:val="center"/>
                </w:tcPr>
                <w:p w14:paraId="3B8EB87A">
                  <w:pPr>
                    <w:adjustRightInd w:val="0"/>
                    <w:snapToGrid w:val="0"/>
                    <w:spacing w:line="240" w:lineRule="auto"/>
                    <w:jc w:val="center"/>
                    <w:rPr>
                      <w:b/>
                      <w:bCs/>
                      <w:sz w:val="21"/>
                    </w:rPr>
                  </w:pPr>
                  <w:r>
                    <w:rPr>
                      <w:rFonts w:hint="eastAsia"/>
                      <w:b/>
                      <w:bCs/>
                      <w:sz w:val="21"/>
                    </w:rPr>
                    <w:t>废水类别</w:t>
                  </w:r>
                </w:p>
              </w:tc>
              <w:tc>
                <w:tcPr>
                  <w:tcW w:w="966" w:type="dxa"/>
                  <w:tcBorders>
                    <w:tl2br w:val="nil"/>
                    <w:tr2bl w:val="nil"/>
                  </w:tcBorders>
                  <w:shd w:val="clear" w:color="auto" w:fill="auto"/>
                  <w:noWrap/>
                  <w:vAlign w:val="center"/>
                </w:tcPr>
                <w:p w14:paraId="74F40858">
                  <w:pPr>
                    <w:adjustRightInd w:val="0"/>
                    <w:snapToGrid w:val="0"/>
                    <w:spacing w:line="240" w:lineRule="auto"/>
                    <w:jc w:val="center"/>
                    <w:rPr>
                      <w:b/>
                      <w:bCs/>
                      <w:sz w:val="21"/>
                    </w:rPr>
                  </w:pPr>
                  <w:r>
                    <w:rPr>
                      <w:rFonts w:hint="eastAsia"/>
                      <w:b/>
                      <w:bCs/>
                      <w:sz w:val="21"/>
                    </w:rPr>
                    <w:t>污染物</w:t>
                  </w:r>
                </w:p>
              </w:tc>
              <w:tc>
                <w:tcPr>
                  <w:tcW w:w="1508" w:type="dxa"/>
                  <w:tcBorders>
                    <w:tl2br w:val="nil"/>
                    <w:tr2bl w:val="nil"/>
                  </w:tcBorders>
                  <w:shd w:val="clear" w:color="auto" w:fill="auto"/>
                  <w:noWrap/>
                  <w:vAlign w:val="center"/>
                </w:tcPr>
                <w:p w14:paraId="46ABA7E4">
                  <w:pPr>
                    <w:adjustRightInd w:val="0"/>
                    <w:snapToGrid w:val="0"/>
                    <w:spacing w:line="240" w:lineRule="auto"/>
                    <w:jc w:val="center"/>
                    <w:rPr>
                      <w:b/>
                      <w:bCs/>
                      <w:sz w:val="21"/>
                    </w:rPr>
                  </w:pPr>
                  <w:r>
                    <w:rPr>
                      <w:rFonts w:hint="eastAsia"/>
                      <w:b/>
                      <w:bCs/>
                      <w:sz w:val="21"/>
                    </w:rPr>
                    <w:t>产生浓度mg/L</w:t>
                  </w:r>
                </w:p>
              </w:tc>
              <w:tc>
                <w:tcPr>
                  <w:tcW w:w="1416" w:type="dxa"/>
                  <w:tcBorders>
                    <w:tl2br w:val="nil"/>
                    <w:tr2bl w:val="nil"/>
                  </w:tcBorders>
                  <w:shd w:val="clear" w:color="auto" w:fill="auto"/>
                  <w:noWrap/>
                  <w:vAlign w:val="center"/>
                </w:tcPr>
                <w:p w14:paraId="6F3225BB">
                  <w:pPr>
                    <w:adjustRightInd w:val="0"/>
                    <w:snapToGrid w:val="0"/>
                    <w:spacing w:line="240" w:lineRule="auto"/>
                    <w:jc w:val="center"/>
                    <w:rPr>
                      <w:b/>
                      <w:bCs/>
                      <w:sz w:val="21"/>
                    </w:rPr>
                  </w:pPr>
                  <w:r>
                    <w:rPr>
                      <w:rFonts w:hint="eastAsia"/>
                      <w:b/>
                      <w:bCs/>
                      <w:sz w:val="21"/>
                    </w:rPr>
                    <w:t>产生量t/a</w:t>
                  </w:r>
                </w:p>
              </w:tc>
              <w:tc>
                <w:tcPr>
                  <w:tcW w:w="969" w:type="dxa"/>
                  <w:tcBorders>
                    <w:tl2br w:val="nil"/>
                    <w:tr2bl w:val="nil"/>
                  </w:tcBorders>
                  <w:shd w:val="clear" w:color="auto" w:fill="auto"/>
                  <w:noWrap/>
                  <w:vAlign w:val="center"/>
                </w:tcPr>
                <w:p w14:paraId="31D63E88">
                  <w:pPr>
                    <w:adjustRightInd w:val="0"/>
                    <w:snapToGrid w:val="0"/>
                    <w:spacing w:line="240" w:lineRule="auto"/>
                    <w:jc w:val="center"/>
                    <w:rPr>
                      <w:b/>
                      <w:bCs/>
                      <w:sz w:val="21"/>
                    </w:rPr>
                  </w:pPr>
                  <w:r>
                    <w:rPr>
                      <w:rFonts w:hint="eastAsia"/>
                      <w:b/>
                      <w:bCs/>
                      <w:sz w:val="21"/>
                    </w:rPr>
                    <w:t>去除率%</w:t>
                  </w:r>
                </w:p>
              </w:tc>
              <w:tc>
                <w:tcPr>
                  <w:tcW w:w="1508" w:type="dxa"/>
                  <w:tcBorders>
                    <w:tl2br w:val="nil"/>
                    <w:tr2bl w:val="nil"/>
                  </w:tcBorders>
                  <w:shd w:val="clear" w:color="auto" w:fill="auto"/>
                  <w:noWrap/>
                  <w:vAlign w:val="center"/>
                </w:tcPr>
                <w:p w14:paraId="6FF920AB">
                  <w:pPr>
                    <w:adjustRightInd w:val="0"/>
                    <w:snapToGrid w:val="0"/>
                    <w:spacing w:line="240" w:lineRule="auto"/>
                    <w:jc w:val="center"/>
                    <w:rPr>
                      <w:b/>
                      <w:bCs/>
                      <w:sz w:val="21"/>
                    </w:rPr>
                  </w:pPr>
                  <w:r>
                    <w:rPr>
                      <w:rFonts w:hint="eastAsia"/>
                      <w:b/>
                      <w:bCs/>
                      <w:sz w:val="21"/>
                    </w:rPr>
                    <w:t>排放浓度mg/L</w:t>
                  </w:r>
                </w:p>
              </w:tc>
              <w:tc>
                <w:tcPr>
                  <w:tcW w:w="1417" w:type="dxa"/>
                  <w:tcBorders>
                    <w:tl2br w:val="nil"/>
                    <w:tr2bl w:val="nil"/>
                  </w:tcBorders>
                  <w:shd w:val="clear" w:color="auto" w:fill="auto"/>
                  <w:noWrap/>
                  <w:vAlign w:val="center"/>
                </w:tcPr>
                <w:p w14:paraId="0136FD14">
                  <w:pPr>
                    <w:adjustRightInd w:val="0"/>
                    <w:snapToGrid w:val="0"/>
                    <w:spacing w:line="240" w:lineRule="auto"/>
                    <w:jc w:val="center"/>
                    <w:rPr>
                      <w:b/>
                      <w:bCs/>
                      <w:sz w:val="21"/>
                    </w:rPr>
                  </w:pPr>
                  <w:r>
                    <w:rPr>
                      <w:rFonts w:hint="eastAsia"/>
                      <w:b/>
                      <w:bCs/>
                      <w:sz w:val="21"/>
                    </w:rPr>
                    <w:t>排放量t/a</w:t>
                  </w:r>
                </w:p>
              </w:tc>
            </w:tr>
            <w:tr w14:paraId="75579F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34" w:hRule="atLeast"/>
                <w:jc w:val="center"/>
              </w:trPr>
              <w:tc>
                <w:tcPr>
                  <w:tcW w:w="1073" w:type="dxa"/>
                  <w:vMerge w:val="restart"/>
                  <w:tcBorders>
                    <w:tl2br w:val="nil"/>
                    <w:tr2bl w:val="nil"/>
                  </w:tcBorders>
                  <w:shd w:val="clear" w:color="auto" w:fill="auto"/>
                  <w:noWrap/>
                  <w:vAlign w:val="center"/>
                </w:tcPr>
                <w:p w14:paraId="4F721D76">
                  <w:pPr>
                    <w:adjustRightInd w:val="0"/>
                    <w:snapToGrid w:val="0"/>
                    <w:spacing w:line="240" w:lineRule="auto"/>
                    <w:jc w:val="center"/>
                    <w:rPr>
                      <w:sz w:val="21"/>
                    </w:rPr>
                  </w:pPr>
                  <w:r>
                    <w:rPr>
                      <w:rFonts w:hint="eastAsia"/>
                      <w:sz w:val="21"/>
                    </w:rPr>
                    <w:t>生活污水</w:t>
                  </w:r>
                </w:p>
                <w:p w14:paraId="2630612D">
                  <w:pPr>
                    <w:adjustRightInd w:val="0"/>
                    <w:snapToGrid w:val="0"/>
                    <w:spacing w:line="240" w:lineRule="auto"/>
                    <w:jc w:val="center"/>
                    <w:rPr>
                      <w:sz w:val="21"/>
                    </w:rPr>
                  </w:pPr>
                  <w:r>
                    <w:rPr>
                      <w:rFonts w:hint="eastAsia"/>
                      <w:sz w:val="21"/>
                    </w:rPr>
                    <w:t>（</w:t>
                  </w:r>
                  <w:r>
                    <w:rPr>
                      <w:rFonts w:hint="eastAsia"/>
                      <w:sz w:val="21"/>
                      <w:lang w:val="en-US" w:eastAsia="zh-CN"/>
                    </w:rPr>
                    <w:t>423</w:t>
                  </w:r>
                  <w:r>
                    <w:rPr>
                      <w:rFonts w:hint="eastAsia"/>
                      <w:sz w:val="21"/>
                    </w:rPr>
                    <w:t>t/a）</w:t>
                  </w:r>
                </w:p>
              </w:tc>
              <w:tc>
                <w:tcPr>
                  <w:tcW w:w="966" w:type="dxa"/>
                  <w:tcBorders>
                    <w:tl2br w:val="nil"/>
                    <w:tr2bl w:val="nil"/>
                  </w:tcBorders>
                  <w:shd w:val="clear" w:color="auto" w:fill="auto"/>
                  <w:noWrap/>
                  <w:vAlign w:val="center"/>
                </w:tcPr>
                <w:p w14:paraId="3D0548F9">
                  <w:pPr>
                    <w:adjustRightInd w:val="0"/>
                    <w:snapToGrid w:val="0"/>
                    <w:spacing w:line="240" w:lineRule="auto"/>
                    <w:jc w:val="center"/>
                    <w:rPr>
                      <w:sz w:val="21"/>
                    </w:rPr>
                  </w:pPr>
                  <w:r>
                    <w:rPr>
                      <w:rFonts w:hint="eastAsia"/>
                      <w:sz w:val="21"/>
                    </w:rPr>
                    <w:t>COD</w:t>
                  </w:r>
                  <w:r>
                    <w:rPr>
                      <w:rFonts w:hint="eastAsia"/>
                      <w:sz w:val="21"/>
                      <w:vertAlign w:val="subscript"/>
                    </w:rPr>
                    <w:t>Cr</w:t>
                  </w:r>
                </w:p>
              </w:tc>
              <w:tc>
                <w:tcPr>
                  <w:tcW w:w="1508" w:type="dxa"/>
                  <w:tcBorders>
                    <w:tl2br w:val="nil"/>
                    <w:tr2bl w:val="nil"/>
                  </w:tcBorders>
                  <w:shd w:val="clear" w:color="auto" w:fill="auto"/>
                  <w:noWrap/>
                  <w:vAlign w:val="center"/>
                </w:tcPr>
                <w:p w14:paraId="17F2359B">
                  <w:pPr>
                    <w:pStyle w:val="14"/>
                    <w:bidi w:val="0"/>
                  </w:pPr>
                  <w:r>
                    <w:rPr>
                      <w:rFonts w:hint="eastAsia"/>
                      <w:lang w:val="en-US" w:eastAsia="zh-CN"/>
                    </w:rPr>
                    <w:t>285</w:t>
                  </w:r>
                </w:p>
              </w:tc>
              <w:tc>
                <w:tcPr>
                  <w:tcW w:w="1416" w:type="dxa"/>
                  <w:tcBorders>
                    <w:tl2br w:val="nil"/>
                    <w:tr2bl w:val="nil"/>
                  </w:tcBorders>
                  <w:shd w:val="clear" w:color="auto" w:fill="auto"/>
                  <w:noWrap/>
                  <w:vAlign w:val="center"/>
                </w:tcPr>
                <w:p w14:paraId="72C74496">
                  <w:pPr>
                    <w:pStyle w:val="14"/>
                    <w:bidi w:val="0"/>
                  </w:pPr>
                  <w:r>
                    <w:rPr>
                      <w:rFonts w:hint="eastAsia"/>
                      <w:lang w:val="en-US" w:eastAsia="zh-CN"/>
                    </w:rPr>
                    <w:t>0.1206</w:t>
                  </w:r>
                </w:p>
              </w:tc>
              <w:tc>
                <w:tcPr>
                  <w:tcW w:w="969" w:type="dxa"/>
                  <w:tcBorders>
                    <w:tl2br w:val="nil"/>
                    <w:tr2bl w:val="nil"/>
                  </w:tcBorders>
                  <w:shd w:val="clear" w:color="auto" w:fill="auto"/>
                  <w:noWrap/>
                  <w:vAlign w:val="center"/>
                </w:tcPr>
                <w:p w14:paraId="48344083">
                  <w:pPr>
                    <w:pStyle w:val="14"/>
                    <w:bidi w:val="0"/>
                  </w:pPr>
                  <w:r>
                    <w:rPr>
                      <w:rFonts w:hint="eastAsia"/>
                      <w:lang w:val="en-US" w:eastAsia="zh-CN"/>
                    </w:rPr>
                    <w:t>45</w:t>
                  </w:r>
                </w:p>
              </w:tc>
              <w:tc>
                <w:tcPr>
                  <w:tcW w:w="1508" w:type="dxa"/>
                  <w:tcBorders>
                    <w:tl2br w:val="nil"/>
                    <w:tr2bl w:val="nil"/>
                  </w:tcBorders>
                  <w:shd w:val="clear" w:color="auto" w:fill="auto"/>
                  <w:noWrap/>
                  <w:vAlign w:val="center"/>
                </w:tcPr>
                <w:p w14:paraId="1963393C">
                  <w:pPr>
                    <w:pStyle w:val="14"/>
                    <w:bidi w:val="0"/>
                  </w:pPr>
                  <w:r>
                    <w:rPr>
                      <w:rFonts w:hint="eastAsia"/>
                      <w:lang w:val="en-US" w:eastAsia="zh-CN"/>
                    </w:rPr>
                    <w:t>156.8</w:t>
                  </w:r>
                </w:p>
              </w:tc>
              <w:tc>
                <w:tcPr>
                  <w:tcW w:w="1417" w:type="dxa"/>
                  <w:tcBorders>
                    <w:tl2br w:val="nil"/>
                    <w:tr2bl w:val="nil"/>
                  </w:tcBorders>
                  <w:shd w:val="clear" w:color="auto" w:fill="auto"/>
                  <w:noWrap/>
                  <w:vAlign w:val="center"/>
                </w:tcPr>
                <w:p w14:paraId="72E42424">
                  <w:pPr>
                    <w:pStyle w:val="14"/>
                    <w:bidi w:val="0"/>
                  </w:pPr>
                  <w:r>
                    <w:rPr>
                      <w:rFonts w:hint="eastAsia"/>
                      <w:lang w:val="en-US" w:eastAsia="zh-CN"/>
                    </w:rPr>
                    <w:t>0.0663</w:t>
                  </w:r>
                </w:p>
              </w:tc>
            </w:tr>
            <w:tr w14:paraId="77C710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33" w:hRule="atLeast"/>
                <w:jc w:val="center"/>
              </w:trPr>
              <w:tc>
                <w:tcPr>
                  <w:tcW w:w="1073" w:type="dxa"/>
                  <w:vMerge w:val="continue"/>
                  <w:tcBorders>
                    <w:tl2br w:val="nil"/>
                    <w:tr2bl w:val="nil"/>
                  </w:tcBorders>
                  <w:shd w:val="clear" w:color="auto" w:fill="auto"/>
                  <w:noWrap/>
                  <w:vAlign w:val="center"/>
                </w:tcPr>
                <w:p w14:paraId="26032DC1">
                  <w:pPr>
                    <w:adjustRightInd w:val="0"/>
                    <w:snapToGrid w:val="0"/>
                    <w:spacing w:line="240" w:lineRule="auto"/>
                    <w:jc w:val="center"/>
                    <w:rPr>
                      <w:sz w:val="21"/>
                    </w:rPr>
                  </w:pPr>
                </w:p>
              </w:tc>
              <w:tc>
                <w:tcPr>
                  <w:tcW w:w="966" w:type="dxa"/>
                  <w:tcBorders>
                    <w:tl2br w:val="nil"/>
                    <w:tr2bl w:val="nil"/>
                  </w:tcBorders>
                  <w:shd w:val="clear" w:color="auto" w:fill="auto"/>
                  <w:noWrap/>
                  <w:vAlign w:val="center"/>
                </w:tcPr>
                <w:p w14:paraId="780872E7">
                  <w:pPr>
                    <w:adjustRightInd w:val="0"/>
                    <w:snapToGrid w:val="0"/>
                    <w:spacing w:line="240" w:lineRule="auto"/>
                    <w:jc w:val="center"/>
                    <w:rPr>
                      <w:sz w:val="21"/>
                    </w:rPr>
                  </w:pPr>
                  <w:r>
                    <w:rPr>
                      <w:rFonts w:hint="eastAsia"/>
                      <w:sz w:val="21"/>
                    </w:rPr>
                    <w:t>BOD</w:t>
                  </w:r>
                  <w:r>
                    <w:rPr>
                      <w:rFonts w:hint="eastAsia"/>
                      <w:sz w:val="21"/>
                      <w:vertAlign w:val="subscript"/>
                    </w:rPr>
                    <w:t>5</w:t>
                  </w:r>
                </w:p>
              </w:tc>
              <w:tc>
                <w:tcPr>
                  <w:tcW w:w="1508" w:type="dxa"/>
                  <w:tcBorders>
                    <w:tl2br w:val="nil"/>
                    <w:tr2bl w:val="nil"/>
                  </w:tcBorders>
                  <w:shd w:val="clear" w:color="auto" w:fill="auto"/>
                  <w:noWrap/>
                  <w:vAlign w:val="center"/>
                </w:tcPr>
                <w:p w14:paraId="40321A3A">
                  <w:pPr>
                    <w:pStyle w:val="14"/>
                    <w:bidi w:val="0"/>
                  </w:pPr>
                  <w:r>
                    <w:rPr>
                      <w:rFonts w:hint="eastAsia"/>
                      <w:lang w:val="en-US" w:eastAsia="zh-CN"/>
                    </w:rPr>
                    <w:t>110</w:t>
                  </w:r>
                </w:p>
              </w:tc>
              <w:tc>
                <w:tcPr>
                  <w:tcW w:w="1416" w:type="dxa"/>
                  <w:tcBorders>
                    <w:tl2br w:val="nil"/>
                    <w:tr2bl w:val="nil"/>
                  </w:tcBorders>
                  <w:shd w:val="clear" w:color="auto" w:fill="auto"/>
                  <w:noWrap/>
                  <w:vAlign w:val="center"/>
                </w:tcPr>
                <w:p w14:paraId="50BF66E0">
                  <w:pPr>
                    <w:pStyle w:val="14"/>
                    <w:bidi w:val="0"/>
                  </w:pPr>
                  <w:r>
                    <w:rPr>
                      <w:rFonts w:hint="eastAsia"/>
                      <w:lang w:val="en-US" w:eastAsia="zh-CN"/>
                    </w:rPr>
                    <w:t>0.0466</w:t>
                  </w:r>
                </w:p>
              </w:tc>
              <w:tc>
                <w:tcPr>
                  <w:tcW w:w="969" w:type="dxa"/>
                  <w:tcBorders>
                    <w:tl2br w:val="nil"/>
                    <w:tr2bl w:val="nil"/>
                  </w:tcBorders>
                  <w:shd w:val="clear" w:color="auto" w:fill="auto"/>
                  <w:noWrap/>
                  <w:vAlign w:val="center"/>
                </w:tcPr>
                <w:p w14:paraId="29EA9F78">
                  <w:pPr>
                    <w:pStyle w:val="14"/>
                    <w:bidi w:val="0"/>
                  </w:pPr>
                  <w:r>
                    <w:rPr>
                      <w:rFonts w:hint="eastAsia"/>
                      <w:lang w:val="en-US" w:eastAsia="zh-CN"/>
                    </w:rPr>
                    <w:t>55</w:t>
                  </w:r>
                </w:p>
              </w:tc>
              <w:tc>
                <w:tcPr>
                  <w:tcW w:w="1508" w:type="dxa"/>
                  <w:tcBorders>
                    <w:tl2br w:val="nil"/>
                    <w:tr2bl w:val="nil"/>
                  </w:tcBorders>
                  <w:shd w:val="clear" w:color="auto" w:fill="auto"/>
                  <w:noWrap/>
                  <w:vAlign w:val="center"/>
                </w:tcPr>
                <w:p w14:paraId="4741018F">
                  <w:pPr>
                    <w:pStyle w:val="14"/>
                    <w:bidi w:val="0"/>
                  </w:pPr>
                  <w:r>
                    <w:rPr>
                      <w:rFonts w:hint="eastAsia"/>
                      <w:lang w:val="en-US" w:eastAsia="zh-CN"/>
                    </w:rPr>
                    <w:t>49.5</w:t>
                  </w:r>
                </w:p>
              </w:tc>
              <w:tc>
                <w:tcPr>
                  <w:tcW w:w="1417" w:type="dxa"/>
                  <w:tcBorders>
                    <w:tl2br w:val="nil"/>
                    <w:tr2bl w:val="nil"/>
                  </w:tcBorders>
                  <w:shd w:val="clear" w:color="auto" w:fill="auto"/>
                  <w:noWrap/>
                  <w:vAlign w:val="center"/>
                </w:tcPr>
                <w:p w14:paraId="5D374004">
                  <w:pPr>
                    <w:pStyle w:val="14"/>
                    <w:bidi w:val="0"/>
                  </w:pPr>
                  <w:r>
                    <w:rPr>
                      <w:rFonts w:hint="eastAsia"/>
                      <w:lang w:val="en-US" w:eastAsia="zh-CN"/>
                    </w:rPr>
                    <w:t>0.021</w:t>
                  </w:r>
                </w:p>
              </w:tc>
            </w:tr>
            <w:tr w14:paraId="05B2E5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7" w:hRule="atLeast"/>
                <w:jc w:val="center"/>
              </w:trPr>
              <w:tc>
                <w:tcPr>
                  <w:tcW w:w="1073" w:type="dxa"/>
                  <w:vMerge w:val="continue"/>
                  <w:tcBorders>
                    <w:tl2br w:val="nil"/>
                    <w:tr2bl w:val="nil"/>
                  </w:tcBorders>
                  <w:shd w:val="clear" w:color="auto" w:fill="auto"/>
                  <w:noWrap/>
                  <w:vAlign w:val="center"/>
                </w:tcPr>
                <w:p w14:paraId="2D79C70B">
                  <w:pPr>
                    <w:adjustRightInd w:val="0"/>
                    <w:snapToGrid w:val="0"/>
                    <w:spacing w:line="240" w:lineRule="auto"/>
                    <w:jc w:val="center"/>
                    <w:rPr>
                      <w:sz w:val="21"/>
                    </w:rPr>
                  </w:pPr>
                </w:p>
              </w:tc>
              <w:tc>
                <w:tcPr>
                  <w:tcW w:w="966" w:type="dxa"/>
                  <w:tcBorders>
                    <w:tl2br w:val="nil"/>
                    <w:tr2bl w:val="nil"/>
                  </w:tcBorders>
                  <w:shd w:val="clear" w:color="auto" w:fill="auto"/>
                  <w:noWrap/>
                  <w:vAlign w:val="center"/>
                </w:tcPr>
                <w:p w14:paraId="4932B724">
                  <w:pPr>
                    <w:adjustRightInd w:val="0"/>
                    <w:snapToGrid w:val="0"/>
                    <w:spacing w:line="240" w:lineRule="auto"/>
                    <w:jc w:val="center"/>
                    <w:rPr>
                      <w:sz w:val="21"/>
                    </w:rPr>
                  </w:pPr>
                  <w:r>
                    <w:rPr>
                      <w:rFonts w:hint="eastAsia"/>
                      <w:sz w:val="21"/>
                    </w:rPr>
                    <w:t>悬浮物</w:t>
                  </w:r>
                </w:p>
              </w:tc>
              <w:tc>
                <w:tcPr>
                  <w:tcW w:w="1508" w:type="dxa"/>
                  <w:tcBorders>
                    <w:tl2br w:val="nil"/>
                    <w:tr2bl w:val="nil"/>
                  </w:tcBorders>
                  <w:shd w:val="clear" w:color="auto" w:fill="auto"/>
                  <w:noWrap/>
                  <w:vAlign w:val="center"/>
                </w:tcPr>
                <w:p w14:paraId="1A060663">
                  <w:pPr>
                    <w:pStyle w:val="14"/>
                    <w:bidi w:val="0"/>
                  </w:pPr>
                  <w:r>
                    <w:rPr>
                      <w:rFonts w:hint="eastAsia"/>
                      <w:lang w:val="en-US" w:eastAsia="zh-CN"/>
                    </w:rPr>
                    <w:t>100</w:t>
                  </w:r>
                </w:p>
              </w:tc>
              <w:tc>
                <w:tcPr>
                  <w:tcW w:w="1416" w:type="dxa"/>
                  <w:tcBorders>
                    <w:tl2br w:val="nil"/>
                    <w:tr2bl w:val="nil"/>
                  </w:tcBorders>
                  <w:shd w:val="clear" w:color="auto" w:fill="auto"/>
                  <w:noWrap/>
                  <w:vAlign w:val="center"/>
                </w:tcPr>
                <w:p w14:paraId="769B76BA">
                  <w:pPr>
                    <w:pStyle w:val="14"/>
                    <w:bidi w:val="0"/>
                  </w:pPr>
                  <w:r>
                    <w:rPr>
                      <w:rFonts w:hint="eastAsia"/>
                      <w:lang w:val="en-US" w:eastAsia="zh-CN"/>
                    </w:rPr>
                    <w:t>0.0423</w:t>
                  </w:r>
                </w:p>
              </w:tc>
              <w:tc>
                <w:tcPr>
                  <w:tcW w:w="969" w:type="dxa"/>
                  <w:tcBorders>
                    <w:tl2br w:val="nil"/>
                    <w:tr2bl w:val="nil"/>
                  </w:tcBorders>
                  <w:shd w:val="clear" w:color="auto" w:fill="auto"/>
                  <w:noWrap/>
                  <w:vAlign w:val="center"/>
                </w:tcPr>
                <w:p w14:paraId="366A1232">
                  <w:pPr>
                    <w:pStyle w:val="14"/>
                    <w:bidi w:val="0"/>
                    <w:rPr>
                      <w:rFonts w:hint="default"/>
                      <w:lang w:val="en-US"/>
                    </w:rPr>
                  </w:pPr>
                  <w:r>
                    <w:rPr>
                      <w:rFonts w:hint="eastAsia"/>
                      <w:lang w:val="en-US" w:eastAsia="zh-CN"/>
                    </w:rPr>
                    <w:t>90</w:t>
                  </w:r>
                </w:p>
              </w:tc>
              <w:tc>
                <w:tcPr>
                  <w:tcW w:w="1508" w:type="dxa"/>
                  <w:tcBorders>
                    <w:tl2br w:val="nil"/>
                    <w:tr2bl w:val="nil"/>
                  </w:tcBorders>
                  <w:shd w:val="clear" w:color="auto" w:fill="auto"/>
                  <w:noWrap/>
                  <w:vAlign w:val="center"/>
                </w:tcPr>
                <w:p w14:paraId="1620D20D">
                  <w:pPr>
                    <w:pStyle w:val="14"/>
                    <w:bidi w:val="0"/>
                  </w:pPr>
                  <w:r>
                    <w:rPr>
                      <w:rFonts w:hint="eastAsia"/>
                      <w:lang w:val="en-US" w:eastAsia="zh-CN"/>
                    </w:rPr>
                    <w:t>10</w:t>
                  </w:r>
                </w:p>
              </w:tc>
              <w:tc>
                <w:tcPr>
                  <w:tcW w:w="1417" w:type="dxa"/>
                  <w:tcBorders>
                    <w:tl2br w:val="nil"/>
                    <w:tr2bl w:val="nil"/>
                  </w:tcBorders>
                  <w:shd w:val="clear" w:color="auto" w:fill="auto"/>
                  <w:noWrap/>
                  <w:vAlign w:val="center"/>
                </w:tcPr>
                <w:p w14:paraId="009B18DC">
                  <w:pPr>
                    <w:pStyle w:val="14"/>
                    <w:bidi w:val="0"/>
                  </w:pPr>
                  <w:r>
                    <w:rPr>
                      <w:rFonts w:hint="eastAsia"/>
                      <w:lang w:val="en-US" w:eastAsia="zh-CN"/>
                    </w:rPr>
                    <w:t>0.0043</w:t>
                  </w:r>
                </w:p>
              </w:tc>
            </w:tr>
            <w:tr w14:paraId="400100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7" w:hRule="atLeast"/>
                <w:jc w:val="center"/>
              </w:trPr>
              <w:tc>
                <w:tcPr>
                  <w:tcW w:w="1073" w:type="dxa"/>
                  <w:vMerge w:val="continue"/>
                  <w:tcBorders>
                    <w:tl2br w:val="nil"/>
                    <w:tr2bl w:val="nil"/>
                  </w:tcBorders>
                  <w:shd w:val="clear" w:color="auto" w:fill="auto"/>
                  <w:noWrap/>
                  <w:vAlign w:val="center"/>
                </w:tcPr>
                <w:p w14:paraId="54C9B8AA">
                  <w:pPr>
                    <w:adjustRightInd w:val="0"/>
                    <w:snapToGrid w:val="0"/>
                    <w:spacing w:line="240" w:lineRule="auto"/>
                    <w:jc w:val="center"/>
                    <w:rPr>
                      <w:sz w:val="21"/>
                    </w:rPr>
                  </w:pPr>
                </w:p>
              </w:tc>
              <w:tc>
                <w:tcPr>
                  <w:tcW w:w="966" w:type="dxa"/>
                  <w:tcBorders>
                    <w:tl2br w:val="nil"/>
                    <w:tr2bl w:val="nil"/>
                  </w:tcBorders>
                  <w:shd w:val="clear" w:color="auto" w:fill="auto"/>
                  <w:noWrap/>
                  <w:vAlign w:val="center"/>
                </w:tcPr>
                <w:p w14:paraId="216059F5">
                  <w:pPr>
                    <w:adjustRightInd w:val="0"/>
                    <w:snapToGrid w:val="0"/>
                    <w:spacing w:line="240" w:lineRule="auto"/>
                    <w:jc w:val="center"/>
                    <w:rPr>
                      <w:sz w:val="21"/>
                    </w:rPr>
                  </w:pPr>
                  <w:r>
                    <w:rPr>
                      <w:rFonts w:hint="eastAsia"/>
                      <w:sz w:val="21"/>
                    </w:rPr>
                    <w:t>氨氮</w:t>
                  </w:r>
                </w:p>
              </w:tc>
              <w:tc>
                <w:tcPr>
                  <w:tcW w:w="1508" w:type="dxa"/>
                  <w:tcBorders>
                    <w:tl2br w:val="nil"/>
                    <w:tr2bl w:val="nil"/>
                  </w:tcBorders>
                  <w:shd w:val="clear" w:color="auto" w:fill="auto"/>
                  <w:noWrap/>
                  <w:vAlign w:val="center"/>
                </w:tcPr>
                <w:p w14:paraId="4EE801B4">
                  <w:pPr>
                    <w:pStyle w:val="14"/>
                    <w:bidi w:val="0"/>
                  </w:pPr>
                  <w:r>
                    <w:rPr>
                      <w:rFonts w:hint="eastAsia"/>
                      <w:lang w:val="en-US" w:eastAsia="zh-CN"/>
                    </w:rPr>
                    <w:t>28.3</w:t>
                  </w:r>
                </w:p>
              </w:tc>
              <w:tc>
                <w:tcPr>
                  <w:tcW w:w="1416" w:type="dxa"/>
                  <w:tcBorders>
                    <w:tl2br w:val="nil"/>
                    <w:tr2bl w:val="nil"/>
                  </w:tcBorders>
                  <w:shd w:val="clear" w:color="auto" w:fill="auto"/>
                  <w:noWrap/>
                  <w:vAlign w:val="center"/>
                </w:tcPr>
                <w:p w14:paraId="767909FA">
                  <w:pPr>
                    <w:pStyle w:val="14"/>
                    <w:bidi w:val="0"/>
                  </w:pPr>
                  <w:r>
                    <w:rPr>
                      <w:rFonts w:hint="eastAsia"/>
                      <w:lang w:val="en-US" w:eastAsia="zh-CN"/>
                    </w:rPr>
                    <w:t>0.012</w:t>
                  </w:r>
                </w:p>
              </w:tc>
              <w:tc>
                <w:tcPr>
                  <w:tcW w:w="969" w:type="dxa"/>
                  <w:tcBorders>
                    <w:tl2br w:val="nil"/>
                    <w:tr2bl w:val="nil"/>
                  </w:tcBorders>
                  <w:shd w:val="clear" w:color="auto" w:fill="auto"/>
                  <w:noWrap/>
                  <w:vAlign w:val="center"/>
                </w:tcPr>
                <w:p w14:paraId="6B330150">
                  <w:pPr>
                    <w:pStyle w:val="14"/>
                    <w:bidi w:val="0"/>
                  </w:pPr>
                  <w:r>
                    <w:rPr>
                      <w:rFonts w:hint="eastAsia"/>
                      <w:lang w:val="en-US" w:eastAsia="zh-CN"/>
                    </w:rPr>
                    <w:t>6</w:t>
                  </w:r>
                </w:p>
              </w:tc>
              <w:tc>
                <w:tcPr>
                  <w:tcW w:w="1508" w:type="dxa"/>
                  <w:tcBorders>
                    <w:tl2br w:val="nil"/>
                    <w:tr2bl w:val="nil"/>
                  </w:tcBorders>
                  <w:shd w:val="clear" w:color="auto" w:fill="auto"/>
                  <w:noWrap/>
                  <w:vAlign w:val="center"/>
                </w:tcPr>
                <w:p w14:paraId="69108485">
                  <w:pPr>
                    <w:pStyle w:val="14"/>
                    <w:bidi w:val="0"/>
                  </w:pPr>
                  <w:r>
                    <w:rPr>
                      <w:rFonts w:hint="eastAsia"/>
                      <w:lang w:val="en-US" w:eastAsia="zh-CN"/>
                    </w:rPr>
                    <w:t>26.6</w:t>
                  </w:r>
                </w:p>
              </w:tc>
              <w:tc>
                <w:tcPr>
                  <w:tcW w:w="1417" w:type="dxa"/>
                  <w:tcBorders>
                    <w:tl2br w:val="nil"/>
                    <w:tr2bl w:val="nil"/>
                  </w:tcBorders>
                  <w:shd w:val="clear" w:color="auto" w:fill="auto"/>
                  <w:noWrap/>
                  <w:vAlign w:val="center"/>
                </w:tcPr>
                <w:p w14:paraId="363BDE3E">
                  <w:pPr>
                    <w:pStyle w:val="14"/>
                    <w:bidi w:val="0"/>
                  </w:pPr>
                  <w:r>
                    <w:rPr>
                      <w:rFonts w:hint="eastAsia"/>
                      <w:lang w:val="en-US" w:eastAsia="zh-CN"/>
                    </w:rPr>
                    <w:t>0.0113</w:t>
                  </w:r>
                </w:p>
              </w:tc>
            </w:tr>
            <w:tr w14:paraId="0E0E6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7" w:hRule="atLeast"/>
                <w:jc w:val="center"/>
              </w:trPr>
              <w:tc>
                <w:tcPr>
                  <w:tcW w:w="1073" w:type="dxa"/>
                  <w:vMerge w:val="continue"/>
                  <w:tcBorders>
                    <w:tl2br w:val="nil"/>
                    <w:tr2bl w:val="nil"/>
                  </w:tcBorders>
                  <w:shd w:val="clear" w:color="auto" w:fill="auto"/>
                  <w:noWrap/>
                  <w:vAlign w:val="center"/>
                </w:tcPr>
                <w:p w14:paraId="5256AECD">
                  <w:pPr>
                    <w:adjustRightInd w:val="0"/>
                    <w:snapToGrid w:val="0"/>
                    <w:spacing w:line="240" w:lineRule="auto"/>
                    <w:jc w:val="center"/>
                    <w:rPr>
                      <w:sz w:val="21"/>
                    </w:rPr>
                  </w:pPr>
                </w:p>
              </w:tc>
              <w:tc>
                <w:tcPr>
                  <w:tcW w:w="966" w:type="dxa"/>
                  <w:tcBorders>
                    <w:tl2br w:val="nil"/>
                    <w:tr2bl w:val="nil"/>
                  </w:tcBorders>
                  <w:shd w:val="clear" w:color="auto" w:fill="auto"/>
                  <w:noWrap/>
                  <w:vAlign w:val="center"/>
                </w:tcPr>
                <w:p w14:paraId="115A8AD9">
                  <w:pPr>
                    <w:adjustRightInd w:val="0"/>
                    <w:snapToGrid w:val="0"/>
                    <w:spacing w:line="240" w:lineRule="auto"/>
                    <w:jc w:val="center"/>
                    <w:rPr>
                      <w:rFonts w:hint="eastAsia" w:eastAsia="宋体"/>
                      <w:sz w:val="21"/>
                      <w:lang w:eastAsia="zh-CN"/>
                    </w:rPr>
                  </w:pPr>
                  <w:r>
                    <w:rPr>
                      <w:rFonts w:hint="eastAsia"/>
                      <w:sz w:val="21"/>
                      <w:lang w:eastAsia="zh-CN"/>
                    </w:rPr>
                    <w:t>总磷</w:t>
                  </w:r>
                </w:p>
              </w:tc>
              <w:tc>
                <w:tcPr>
                  <w:tcW w:w="1508" w:type="dxa"/>
                  <w:tcBorders>
                    <w:tl2br w:val="nil"/>
                    <w:tr2bl w:val="nil"/>
                  </w:tcBorders>
                  <w:shd w:val="clear" w:color="auto" w:fill="auto"/>
                  <w:noWrap/>
                  <w:vAlign w:val="center"/>
                </w:tcPr>
                <w:p w14:paraId="18C22481">
                  <w:pPr>
                    <w:pStyle w:val="14"/>
                    <w:bidi w:val="0"/>
                    <w:rPr>
                      <w:rFonts w:hint="default"/>
                      <w:lang w:val="en-US" w:eastAsia="zh-CN"/>
                    </w:rPr>
                  </w:pPr>
                  <w:r>
                    <w:rPr>
                      <w:rFonts w:hint="eastAsia"/>
                      <w:lang w:val="en-US" w:eastAsia="zh-CN"/>
                    </w:rPr>
                    <w:t>4.1</w:t>
                  </w:r>
                </w:p>
              </w:tc>
              <w:tc>
                <w:tcPr>
                  <w:tcW w:w="1416" w:type="dxa"/>
                  <w:tcBorders>
                    <w:tl2br w:val="nil"/>
                    <w:tr2bl w:val="nil"/>
                  </w:tcBorders>
                  <w:shd w:val="clear" w:color="auto" w:fill="auto"/>
                  <w:noWrap/>
                  <w:vAlign w:val="center"/>
                </w:tcPr>
                <w:p w14:paraId="041152C9">
                  <w:pPr>
                    <w:pStyle w:val="14"/>
                    <w:bidi w:val="0"/>
                    <w:rPr>
                      <w:rFonts w:hint="eastAsia"/>
                    </w:rPr>
                  </w:pPr>
                  <w:r>
                    <w:rPr>
                      <w:rFonts w:hint="eastAsia"/>
                      <w:lang w:val="en-US" w:eastAsia="zh-CN"/>
                    </w:rPr>
                    <w:t>0.0018</w:t>
                  </w:r>
                </w:p>
              </w:tc>
              <w:tc>
                <w:tcPr>
                  <w:tcW w:w="969" w:type="dxa"/>
                  <w:tcBorders>
                    <w:tl2br w:val="nil"/>
                    <w:tr2bl w:val="nil"/>
                  </w:tcBorders>
                  <w:shd w:val="clear" w:color="auto" w:fill="auto"/>
                  <w:noWrap/>
                  <w:vAlign w:val="center"/>
                </w:tcPr>
                <w:p w14:paraId="34EB88C8">
                  <w:pPr>
                    <w:pStyle w:val="14"/>
                    <w:bidi w:val="0"/>
                    <w:rPr>
                      <w:rFonts w:hint="eastAsia"/>
                    </w:rPr>
                  </w:pPr>
                  <w:r>
                    <w:rPr>
                      <w:rFonts w:hint="eastAsia"/>
                      <w:lang w:val="en-US" w:eastAsia="zh-CN"/>
                    </w:rPr>
                    <w:t>5</w:t>
                  </w:r>
                </w:p>
              </w:tc>
              <w:tc>
                <w:tcPr>
                  <w:tcW w:w="1508" w:type="dxa"/>
                  <w:tcBorders>
                    <w:tl2br w:val="nil"/>
                    <w:tr2bl w:val="nil"/>
                  </w:tcBorders>
                  <w:shd w:val="clear" w:color="auto" w:fill="auto"/>
                  <w:noWrap/>
                  <w:vAlign w:val="center"/>
                </w:tcPr>
                <w:p w14:paraId="245EEE07">
                  <w:pPr>
                    <w:pStyle w:val="14"/>
                    <w:bidi w:val="0"/>
                    <w:rPr>
                      <w:rFonts w:hint="eastAsia"/>
                    </w:rPr>
                  </w:pPr>
                  <w:r>
                    <w:rPr>
                      <w:rFonts w:hint="eastAsia"/>
                      <w:lang w:val="en-US" w:eastAsia="zh-CN"/>
                    </w:rPr>
                    <w:t>3.9</w:t>
                  </w:r>
                </w:p>
              </w:tc>
              <w:tc>
                <w:tcPr>
                  <w:tcW w:w="1417" w:type="dxa"/>
                  <w:tcBorders>
                    <w:tl2br w:val="nil"/>
                    <w:tr2bl w:val="nil"/>
                  </w:tcBorders>
                  <w:shd w:val="clear" w:color="auto" w:fill="auto"/>
                  <w:noWrap/>
                  <w:vAlign w:val="center"/>
                </w:tcPr>
                <w:p w14:paraId="7D450220">
                  <w:pPr>
                    <w:pStyle w:val="14"/>
                    <w:bidi w:val="0"/>
                    <w:rPr>
                      <w:rFonts w:hint="eastAsia"/>
                    </w:rPr>
                  </w:pPr>
                  <w:r>
                    <w:rPr>
                      <w:rFonts w:hint="eastAsia"/>
                      <w:lang w:val="en-US" w:eastAsia="zh-CN"/>
                    </w:rPr>
                    <w:t>0.0017</w:t>
                  </w:r>
                </w:p>
              </w:tc>
            </w:tr>
            <w:tr w14:paraId="72D7B5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7" w:hRule="atLeast"/>
                <w:jc w:val="center"/>
              </w:trPr>
              <w:tc>
                <w:tcPr>
                  <w:tcW w:w="1073" w:type="dxa"/>
                  <w:vMerge w:val="continue"/>
                  <w:tcBorders>
                    <w:tl2br w:val="nil"/>
                    <w:tr2bl w:val="nil"/>
                  </w:tcBorders>
                  <w:shd w:val="clear" w:color="auto" w:fill="auto"/>
                  <w:noWrap/>
                  <w:vAlign w:val="center"/>
                </w:tcPr>
                <w:p w14:paraId="051F8DF3">
                  <w:pPr>
                    <w:adjustRightInd w:val="0"/>
                    <w:snapToGrid w:val="0"/>
                    <w:spacing w:line="240" w:lineRule="auto"/>
                    <w:jc w:val="center"/>
                    <w:rPr>
                      <w:sz w:val="21"/>
                    </w:rPr>
                  </w:pPr>
                </w:p>
              </w:tc>
              <w:tc>
                <w:tcPr>
                  <w:tcW w:w="966" w:type="dxa"/>
                  <w:tcBorders>
                    <w:tl2br w:val="nil"/>
                    <w:tr2bl w:val="nil"/>
                  </w:tcBorders>
                  <w:shd w:val="clear" w:color="auto" w:fill="auto"/>
                  <w:noWrap/>
                  <w:vAlign w:val="center"/>
                </w:tcPr>
                <w:p w14:paraId="3BDD6EAD">
                  <w:pPr>
                    <w:adjustRightInd w:val="0"/>
                    <w:snapToGrid w:val="0"/>
                    <w:spacing w:line="240" w:lineRule="auto"/>
                    <w:jc w:val="center"/>
                    <w:rPr>
                      <w:sz w:val="21"/>
                    </w:rPr>
                  </w:pPr>
                  <w:r>
                    <w:rPr>
                      <w:rFonts w:hint="eastAsia"/>
                      <w:sz w:val="21"/>
                    </w:rPr>
                    <w:t>动植物油</w:t>
                  </w:r>
                </w:p>
              </w:tc>
              <w:tc>
                <w:tcPr>
                  <w:tcW w:w="1508" w:type="dxa"/>
                  <w:tcBorders>
                    <w:tl2br w:val="nil"/>
                    <w:tr2bl w:val="nil"/>
                  </w:tcBorders>
                  <w:shd w:val="clear" w:color="auto" w:fill="auto"/>
                  <w:noWrap/>
                  <w:vAlign w:val="center"/>
                </w:tcPr>
                <w:p w14:paraId="150CA28F">
                  <w:pPr>
                    <w:pStyle w:val="14"/>
                    <w:bidi w:val="0"/>
                  </w:pPr>
                  <w:r>
                    <w:rPr>
                      <w:rFonts w:hint="eastAsia"/>
                      <w:lang w:val="en-US" w:eastAsia="zh-CN"/>
                    </w:rPr>
                    <w:t>20</w:t>
                  </w:r>
                </w:p>
              </w:tc>
              <w:tc>
                <w:tcPr>
                  <w:tcW w:w="1416" w:type="dxa"/>
                  <w:tcBorders>
                    <w:tl2br w:val="nil"/>
                    <w:tr2bl w:val="nil"/>
                  </w:tcBorders>
                  <w:shd w:val="clear" w:color="auto" w:fill="auto"/>
                  <w:noWrap/>
                  <w:vAlign w:val="center"/>
                </w:tcPr>
                <w:p w14:paraId="00880991">
                  <w:pPr>
                    <w:pStyle w:val="14"/>
                    <w:bidi w:val="0"/>
                  </w:pPr>
                  <w:r>
                    <w:rPr>
                      <w:rFonts w:hint="eastAsia"/>
                      <w:lang w:val="en-US" w:eastAsia="zh-CN"/>
                    </w:rPr>
                    <w:t>0.0085</w:t>
                  </w:r>
                </w:p>
              </w:tc>
              <w:tc>
                <w:tcPr>
                  <w:tcW w:w="969" w:type="dxa"/>
                  <w:tcBorders>
                    <w:tl2br w:val="nil"/>
                    <w:tr2bl w:val="nil"/>
                  </w:tcBorders>
                  <w:shd w:val="clear" w:color="auto" w:fill="auto"/>
                  <w:noWrap/>
                  <w:vAlign w:val="center"/>
                </w:tcPr>
                <w:p w14:paraId="51CE6F35">
                  <w:pPr>
                    <w:pStyle w:val="14"/>
                    <w:bidi w:val="0"/>
                  </w:pPr>
                  <w:r>
                    <w:rPr>
                      <w:rFonts w:hint="eastAsia"/>
                      <w:lang w:val="en-US" w:eastAsia="zh-CN"/>
                    </w:rPr>
                    <w:t>65</w:t>
                  </w:r>
                </w:p>
              </w:tc>
              <w:tc>
                <w:tcPr>
                  <w:tcW w:w="1508" w:type="dxa"/>
                  <w:tcBorders>
                    <w:tl2br w:val="nil"/>
                    <w:tr2bl w:val="nil"/>
                  </w:tcBorders>
                  <w:shd w:val="clear" w:color="auto" w:fill="auto"/>
                  <w:noWrap/>
                  <w:vAlign w:val="center"/>
                </w:tcPr>
                <w:p w14:paraId="215C1A60">
                  <w:pPr>
                    <w:pStyle w:val="14"/>
                    <w:bidi w:val="0"/>
                  </w:pPr>
                  <w:r>
                    <w:rPr>
                      <w:rFonts w:hint="eastAsia"/>
                      <w:lang w:val="en-US" w:eastAsia="zh-CN"/>
                    </w:rPr>
                    <w:t>7</w:t>
                  </w:r>
                </w:p>
              </w:tc>
              <w:tc>
                <w:tcPr>
                  <w:tcW w:w="1417" w:type="dxa"/>
                  <w:tcBorders>
                    <w:tl2br w:val="nil"/>
                    <w:tr2bl w:val="nil"/>
                  </w:tcBorders>
                  <w:shd w:val="clear" w:color="auto" w:fill="auto"/>
                  <w:noWrap/>
                  <w:vAlign w:val="center"/>
                </w:tcPr>
                <w:p w14:paraId="536633BC">
                  <w:pPr>
                    <w:pStyle w:val="14"/>
                    <w:bidi w:val="0"/>
                  </w:pPr>
                  <w:r>
                    <w:rPr>
                      <w:rFonts w:hint="eastAsia"/>
                      <w:lang w:val="en-US" w:eastAsia="zh-CN"/>
                    </w:rPr>
                    <w:t>0.003</w:t>
                  </w:r>
                </w:p>
              </w:tc>
            </w:tr>
          </w:tbl>
          <w:p w14:paraId="170E62FA">
            <w:pPr>
              <w:pStyle w:val="14"/>
            </w:pPr>
          </w:p>
          <w:p w14:paraId="3A46728F">
            <w:pPr>
              <w:pStyle w:val="14"/>
            </w:pPr>
          </w:p>
          <w:p w14:paraId="028701CC">
            <w:pPr>
              <w:autoSpaceDE w:val="0"/>
              <w:autoSpaceDN w:val="0"/>
              <w:adjustRightInd w:val="0"/>
              <w:snapToGrid w:val="0"/>
              <w:spacing w:line="240" w:lineRule="auto"/>
              <w:jc w:val="center"/>
              <w:textAlignment w:val="baseline"/>
              <w:rPr>
                <w:b/>
                <w:kern w:val="24"/>
                <w:szCs w:val="20"/>
              </w:rPr>
            </w:pPr>
          </w:p>
          <w:p w14:paraId="551DFC14">
            <w:pPr>
              <w:adjustRightInd w:val="0"/>
              <w:snapToGrid w:val="0"/>
              <w:ind w:firstLine="480" w:firstLineChars="200"/>
            </w:pPr>
          </w:p>
        </w:tc>
      </w:tr>
    </w:tbl>
    <w:p w14:paraId="1CA32899">
      <w:pPr>
        <w:pStyle w:val="14"/>
        <w:tabs>
          <w:tab w:val="left" w:pos="564"/>
        </w:tabs>
        <w:rPr>
          <w:rFonts w:ascii="宋体" w:hAnsi="宋体" w:cs="宋体"/>
          <w:szCs w:val="21"/>
        </w:rPr>
        <w:sectPr>
          <w:pgSz w:w="11907" w:h="16840"/>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szCs w:val="21"/>
        </w:rPr>
        <w:tab/>
      </w:r>
    </w:p>
    <w:tbl>
      <w:tblPr>
        <w:tblStyle w:val="11"/>
        <w:tblW w:w="156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5250"/>
      </w:tblGrid>
      <w:tr w14:paraId="6CFC7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565" w:type="dxa"/>
            <w:vAlign w:val="center"/>
          </w:tcPr>
          <w:p w14:paraId="5EB860FC">
            <w:pPr>
              <w:adjustRightInd w:val="0"/>
              <w:snapToGrid w:val="0"/>
              <w:jc w:val="center"/>
              <w:rPr>
                <w:rFonts w:ascii="宋体" w:hAnsi="宋体" w:cs="宋体"/>
                <w:kern w:val="0"/>
                <w:szCs w:val="21"/>
              </w:rPr>
            </w:pPr>
          </w:p>
        </w:tc>
        <w:tc>
          <w:tcPr>
            <w:tcW w:w="15119" w:type="dxa"/>
            <w:vAlign w:val="center"/>
          </w:tcPr>
          <w:p w14:paraId="441564F2">
            <w:pPr>
              <w:adjustRightInd w:val="0"/>
              <w:snapToGrid w:val="0"/>
              <w:ind w:firstLine="482" w:firstLineChars="200"/>
              <w:rPr>
                <w:b/>
                <w:bCs/>
              </w:rPr>
            </w:pPr>
            <w:r>
              <w:rPr>
                <w:rFonts w:hint="eastAsia"/>
                <w:b/>
                <w:bCs/>
              </w:rPr>
              <w:t>3、</w:t>
            </w:r>
            <w:r>
              <w:rPr>
                <w:b/>
                <w:bCs/>
              </w:rPr>
              <w:t>源强核算表</w:t>
            </w:r>
          </w:p>
          <w:p w14:paraId="4F6B1EE3">
            <w:pPr>
              <w:autoSpaceDE w:val="0"/>
              <w:autoSpaceDN w:val="0"/>
              <w:adjustRightInd w:val="0"/>
              <w:snapToGrid w:val="0"/>
              <w:spacing w:line="240" w:lineRule="auto"/>
              <w:jc w:val="center"/>
              <w:textAlignment w:val="baseline"/>
              <w:rPr>
                <w:b/>
                <w:kern w:val="24"/>
                <w:szCs w:val="20"/>
              </w:rPr>
            </w:pPr>
            <w:r>
              <w:rPr>
                <w:b/>
                <w:kern w:val="24"/>
                <w:szCs w:val="20"/>
              </w:rPr>
              <w:t>表4-</w:t>
            </w:r>
            <w:r>
              <w:rPr>
                <w:rFonts w:hint="eastAsia"/>
                <w:b/>
                <w:kern w:val="24"/>
                <w:szCs w:val="20"/>
                <w:lang w:val="en-US" w:eastAsia="zh-CN"/>
              </w:rPr>
              <w:t>17</w:t>
            </w:r>
            <w:r>
              <w:rPr>
                <w:b/>
                <w:kern w:val="24"/>
                <w:szCs w:val="20"/>
              </w:rPr>
              <w:t xml:space="preserve"> </w:t>
            </w:r>
            <w:r>
              <w:rPr>
                <w:rFonts w:hint="eastAsia"/>
                <w:b/>
                <w:kern w:val="24"/>
                <w:szCs w:val="20"/>
              </w:rPr>
              <w:t>本项目</w:t>
            </w:r>
            <w:r>
              <w:rPr>
                <w:b/>
                <w:kern w:val="24"/>
                <w:szCs w:val="20"/>
              </w:rPr>
              <w:t>废水源强核算一览表</w:t>
            </w:r>
          </w:p>
          <w:tbl>
            <w:tblPr>
              <w:tblStyle w:val="11"/>
              <w:tblW w:w="143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285"/>
              <w:gridCol w:w="1018"/>
              <w:gridCol w:w="1263"/>
              <w:gridCol w:w="1351"/>
              <w:gridCol w:w="1607"/>
              <w:gridCol w:w="1190"/>
              <w:gridCol w:w="1191"/>
              <w:gridCol w:w="891"/>
              <w:gridCol w:w="1379"/>
              <w:gridCol w:w="1877"/>
              <w:gridCol w:w="1259"/>
            </w:tblGrid>
            <w:tr w14:paraId="5FF64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restart"/>
                  <w:tcBorders>
                    <w:tl2br w:val="nil"/>
                    <w:tr2bl w:val="nil"/>
                  </w:tcBorders>
                  <w:vAlign w:val="center"/>
                </w:tcPr>
                <w:p w14:paraId="39D01683">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工序/生产线</w:t>
                  </w:r>
                </w:p>
              </w:tc>
              <w:tc>
                <w:tcPr>
                  <w:tcW w:w="1018" w:type="dxa"/>
                  <w:vMerge w:val="restart"/>
                  <w:tcBorders>
                    <w:tl2br w:val="nil"/>
                    <w:tr2bl w:val="nil"/>
                  </w:tcBorders>
                  <w:vAlign w:val="center"/>
                </w:tcPr>
                <w:p w14:paraId="2DCB4320">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污染源</w:t>
                  </w:r>
                </w:p>
              </w:tc>
              <w:tc>
                <w:tcPr>
                  <w:tcW w:w="1263" w:type="dxa"/>
                  <w:vMerge w:val="restart"/>
                  <w:tcBorders>
                    <w:tl2br w:val="nil"/>
                    <w:tr2bl w:val="nil"/>
                  </w:tcBorders>
                  <w:vAlign w:val="center"/>
                </w:tcPr>
                <w:p w14:paraId="26F515CF">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w:t>
                  </w:r>
                </w:p>
              </w:tc>
              <w:tc>
                <w:tcPr>
                  <w:tcW w:w="4148" w:type="dxa"/>
                  <w:gridSpan w:val="3"/>
                  <w:tcBorders>
                    <w:tl2br w:val="nil"/>
                    <w:tr2bl w:val="nil"/>
                  </w:tcBorders>
                  <w:vAlign w:val="center"/>
                </w:tcPr>
                <w:p w14:paraId="35BF7802">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污染物产生</w:t>
                  </w:r>
                </w:p>
              </w:tc>
              <w:tc>
                <w:tcPr>
                  <w:tcW w:w="2082" w:type="dxa"/>
                  <w:gridSpan w:val="2"/>
                  <w:tcBorders>
                    <w:tl2br w:val="nil"/>
                    <w:tr2bl w:val="nil"/>
                  </w:tcBorders>
                  <w:vAlign w:val="center"/>
                </w:tcPr>
                <w:p w14:paraId="5D6C7F58">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治理措施</w:t>
                  </w:r>
                </w:p>
              </w:tc>
              <w:tc>
                <w:tcPr>
                  <w:tcW w:w="4515" w:type="dxa"/>
                  <w:gridSpan w:val="3"/>
                  <w:tcBorders>
                    <w:tl2br w:val="nil"/>
                    <w:tr2bl w:val="nil"/>
                  </w:tcBorders>
                  <w:vAlign w:val="center"/>
                </w:tcPr>
                <w:p w14:paraId="6F868E5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w:t>
                  </w:r>
                  <w:r>
                    <w:rPr>
                      <w:rFonts w:hint="eastAsia"/>
                      <w:b/>
                      <w:bCs/>
                      <w:color w:val="000000" w:themeColor="text1"/>
                      <w:sz w:val="21"/>
                      <w14:textFill>
                        <w14:solidFill>
                          <w14:schemeClr w14:val="tx1"/>
                        </w14:solidFill>
                      </w14:textFill>
                    </w:rPr>
                    <w:t>处理后</w:t>
                  </w:r>
                </w:p>
              </w:tc>
            </w:tr>
            <w:tr w14:paraId="7DA1DD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63" w:hRule="atLeast"/>
                <w:jc w:val="center"/>
              </w:trPr>
              <w:tc>
                <w:tcPr>
                  <w:tcW w:w="1285" w:type="dxa"/>
                  <w:vMerge w:val="continue"/>
                  <w:tcBorders>
                    <w:tl2br w:val="nil"/>
                    <w:tr2bl w:val="nil"/>
                  </w:tcBorders>
                  <w:vAlign w:val="center"/>
                </w:tcPr>
                <w:p w14:paraId="65ED5E01">
                  <w:pPr>
                    <w:adjustRightInd w:val="0"/>
                    <w:snapToGrid w:val="0"/>
                    <w:spacing w:line="240" w:lineRule="auto"/>
                    <w:jc w:val="center"/>
                    <w:rPr>
                      <w:b/>
                      <w:bCs/>
                      <w:color w:val="000000" w:themeColor="text1"/>
                      <w:sz w:val="21"/>
                      <w14:textFill>
                        <w14:solidFill>
                          <w14:schemeClr w14:val="tx1"/>
                        </w14:solidFill>
                      </w14:textFill>
                    </w:rPr>
                  </w:pPr>
                </w:p>
              </w:tc>
              <w:tc>
                <w:tcPr>
                  <w:tcW w:w="1018" w:type="dxa"/>
                  <w:vMerge w:val="continue"/>
                  <w:tcBorders>
                    <w:tl2br w:val="nil"/>
                    <w:tr2bl w:val="nil"/>
                  </w:tcBorders>
                  <w:vAlign w:val="center"/>
                </w:tcPr>
                <w:p w14:paraId="0175E135">
                  <w:pPr>
                    <w:adjustRightInd w:val="0"/>
                    <w:snapToGrid w:val="0"/>
                    <w:spacing w:line="240" w:lineRule="auto"/>
                    <w:jc w:val="center"/>
                    <w:rPr>
                      <w:b/>
                      <w:bCs/>
                      <w:color w:val="000000" w:themeColor="text1"/>
                      <w:sz w:val="21"/>
                      <w14:textFill>
                        <w14:solidFill>
                          <w14:schemeClr w14:val="tx1"/>
                        </w14:solidFill>
                      </w14:textFill>
                    </w:rPr>
                  </w:pPr>
                </w:p>
              </w:tc>
              <w:tc>
                <w:tcPr>
                  <w:tcW w:w="1263" w:type="dxa"/>
                  <w:vMerge w:val="continue"/>
                  <w:tcBorders>
                    <w:tl2br w:val="nil"/>
                    <w:tr2bl w:val="nil"/>
                  </w:tcBorders>
                  <w:vAlign w:val="center"/>
                </w:tcPr>
                <w:p w14:paraId="5EEF9D79">
                  <w:pPr>
                    <w:adjustRightInd w:val="0"/>
                    <w:snapToGrid w:val="0"/>
                    <w:spacing w:line="240" w:lineRule="auto"/>
                    <w:jc w:val="center"/>
                    <w:rPr>
                      <w:b/>
                      <w:bCs/>
                      <w:color w:val="000000" w:themeColor="text1"/>
                      <w:sz w:val="21"/>
                      <w14:textFill>
                        <w14:solidFill>
                          <w14:schemeClr w14:val="tx1"/>
                        </w14:solidFill>
                      </w14:textFill>
                    </w:rPr>
                  </w:pPr>
                </w:p>
              </w:tc>
              <w:tc>
                <w:tcPr>
                  <w:tcW w:w="1351" w:type="dxa"/>
                  <w:tcBorders>
                    <w:tl2br w:val="nil"/>
                    <w:tr2bl w:val="nil"/>
                  </w:tcBorders>
                  <w:vAlign w:val="center"/>
                </w:tcPr>
                <w:p w14:paraId="5BC32654">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废水量/</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m</w:t>
                  </w:r>
                  <w:r>
                    <w:rPr>
                      <w:b/>
                      <w:bCs/>
                      <w:color w:val="000000" w:themeColor="text1"/>
                      <w:sz w:val="21"/>
                      <w:vertAlign w:val="superscript"/>
                      <w14:textFill>
                        <w14:solidFill>
                          <w14:schemeClr w14:val="tx1"/>
                        </w14:solidFill>
                      </w14:textFill>
                    </w:rPr>
                    <w:t>3</w:t>
                  </w:r>
                  <w:r>
                    <w:rPr>
                      <w:rFonts w:hint="eastAsia"/>
                      <w:b/>
                      <w:bCs/>
                      <w:color w:val="000000" w:themeColor="text1"/>
                      <w:sz w:val="21"/>
                      <w14:textFill>
                        <w14:solidFill>
                          <w14:schemeClr w14:val="tx1"/>
                        </w14:solidFill>
                      </w14:textFill>
                    </w:rPr>
                    <w:t>/a)</w:t>
                  </w:r>
                </w:p>
              </w:tc>
              <w:tc>
                <w:tcPr>
                  <w:tcW w:w="1607" w:type="dxa"/>
                  <w:tcBorders>
                    <w:tl2br w:val="nil"/>
                    <w:tr2bl w:val="nil"/>
                  </w:tcBorders>
                  <w:vAlign w:val="center"/>
                </w:tcPr>
                <w:p w14:paraId="7626D570">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产生浓度/</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mg/L)</w:t>
                  </w:r>
                </w:p>
              </w:tc>
              <w:tc>
                <w:tcPr>
                  <w:tcW w:w="1190" w:type="dxa"/>
                  <w:tcBorders>
                    <w:tl2br w:val="nil"/>
                    <w:tr2bl w:val="nil"/>
                  </w:tcBorders>
                  <w:vAlign w:val="center"/>
                </w:tcPr>
                <w:p w14:paraId="3BB53453">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产生量/</w:t>
                  </w:r>
                  <w:r>
                    <w:rPr>
                      <w:rFonts w:hint="eastAsia"/>
                      <w:b/>
                      <w:bCs/>
                      <w:color w:val="000000" w:themeColor="text1"/>
                      <w:sz w:val="21"/>
                      <w14:textFill>
                        <w14:solidFill>
                          <w14:schemeClr w14:val="tx1"/>
                        </w14:solidFill>
                      </w14:textFill>
                    </w:rPr>
                    <w:t>(t</w:t>
                  </w:r>
                  <w:r>
                    <w:rPr>
                      <w:b/>
                      <w:bCs/>
                      <w:color w:val="000000" w:themeColor="text1"/>
                      <w:sz w:val="21"/>
                      <w14:textFill>
                        <w14:solidFill>
                          <w14:schemeClr w14:val="tx1"/>
                        </w14:solidFill>
                      </w14:textFill>
                    </w:rPr>
                    <w:t>/</w:t>
                  </w:r>
                  <w:r>
                    <w:rPr>
                      <w:rFonts w:hint="eastAsia"/>
                      <w:b/>
                      <w:bCs/>
                      <w:color w:val="000000" w:themeColor="text1"/>
                      <w:sz w:val="21"/>
                      <w14:textFill>
                        <w14:solidFill>
                          <w14:schemeClr w14:val="tx1"/>
                        </w14:solidFill>
                      </w14:textFill>
                    </w:rPr>
                    <w:t>a)</w:t>
                  </w:r>
                </w:p>
              </w:tc>
              <w:tc>
                <w:tcPr>
                  <w:tcW w:w="1191" w:type="dxa"/>
                  <w:tcBorders>
                    <w:tl2br w:val="nil"/>
                    <w:tr2bl w:val="nil"/>
                  </w:tcBorders>
                  <w:vAlign w:val="center"/>
                </w:tcPr>
                <w:p w14:paraId="44496BA1">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工艺</w:t>
                  </w:r>
                </w:p>
              </w:tc>
              <w:tc>
                <w:tcPr>
                  <w:tcW w:w="891" w:type="dxa"/>
                  <w:tcBorders>
                    <w:tl2br w:val="nil"/>
                    <w:tr2bl w:val="nil"/>
                  </w:tcBorders>
                  <w:vAlign w:val="center"/>
                </w:tcPr>
                <w:p w14:paraId="38567FA2">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效率/%</w:t>
                  </w:r>
                </w:p>
              </w:tc>
              <w:tc>
                <w:tcPr>
                  <w:tcW w:w="1379" w:type="dxa"/>
                  <w:tcBorders>
                    <w:tl2br w:val="nil"/>
                    <w:tr2bl w:val="nil"/>
                  </w:tcBorders>
                  <w:vAlign w:val="center"/>
                </w:tcPr>
                <w:p w14:paraId="4D856E7B">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废水量/</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m</w:t>
                  </w:r>
                  <w:r>
                    <w:rPr>
                      <w:b/>
                      <w:bCs/>
                      <w:color w:val="000000" w:themeColor="text1"/>
                      <w:sz w:val="21"/>
                      <w:vertAlign w:val="superscript"/>
                      <w14:textFill>
                        <w14:solidFill>
                          <w14:schemeClr w14:val="tx1"/>
                        </w14:solidFill>
                      </w14:textFill>
                    </w:rPr>
                    <w:t>3</w:t>
                  </w:r>
                  <w:r>
                    <w:rPr>
                      <w:b/>
                      <w:bCs/>
                      <w:color w:val="000000" w:themeColor="text1"/>
                      <w:sz w:val="21"/>
                      <w14:textFill>
                        <w14:solidFill>
                          <w14:schemeClr w14:val="tx1"/>
                        </w14:solidFill>
                      </w14:textFill>
                    </w:rPr>
                    <w:t>/</w:t>
                  </w:r>
                  <w:r>
                    <w:rPr>
                      <w:rFonts w:hint="eastAsia"/>
                      <w:b/>
                      <w:bCs/>
                      <w:color w:val="000000" w:themeColor="text1"/>
                      <w:sz w:val="21"/>
                      <w14:textFill>
                        <w14:solidFill>
                          <w14:schemeClr w14:val="tx1"/>
                        </w14:solidFill>
                      </w14:textFill>
                    </w:rPr>
                    <w:t>a)</w:t>
                  </w:r>
                </w:p>
              </w:tc>
              <w:tc>
                <w:tcPr>
                  <w:tcW w:w="1877" w:type="dxa"/>
                  <w:tcBorders>
                    <w:tl2br w:val="nil"/>
                    <w:tr2bl w:val="nil"/>
                  </w:tcBorders>
                  <w:vAlign w:val="center"/>
                </w:tcPr>
                <w:p w14:paraId="0169CBEF">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处理后</w:t>
                  </w:r>
                  <w:r>
                    <w:rPr>
                      <w:b/>
                      <w:bCs/>
                      <w:color w:val="000000" w:themeColor="text1"/>
                      <w:sz w:val="21"/>
                      <w14:textFill>
                        <w14:solidFill>
                          <w14:schemeClr w14:val="tx1"/>
                        </w14:solidFill>
                      </w14:textFill>
                    </w:rPr>
                    <w:t>浓度/</w:t>
                  </w:r>
                  <w:r>
                    <w:rPr>
                      <w:rFonts w:hint="eastAsia"/>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mg/L)</w:t>
                  </w:r>
                </w:p>
              </w:tc>
              <w:tc>
                <w:tcPr>
                  <w:tcW w:w="1259" w:type="dxa"/>
                  <w:tcBorders>
                    <w:tl2br w:val="nil"/>
                    <w:tr2bl w:val="nil"/>
                  </w:tcBorders>
                  <w:vAlign w:val="center"/>
                </w:tcPr>
                <w:p w14:paraId="196BBF0C">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排放</w:t>
                  </w:r>
                  <w:r>
                    <w:rPr>
                      <w:b/>
                      <w:bCs/>
                      <w:color w:val="000000" w:themeColor="text1"/>
                      <w:sz w:val="21"/>
                      <w14:textFill>
                        <w14:solidFill>
                          <w14:schemeClr w14:val="tx1"/>
                        </w14:solidFill>
                      </w14:textFill>
                    </w:rPr>
                    <w:t>量/</w:t>
                  </w:r>
                  <w:r>
                    <w:rPr>
                      <w:rFonts w:hint="eastAsia"/>
                      <w:b/>
                      <w:bCs/>
                      <w:color w:val="000000" w:themeColor="text1"/>
                      <w:sz w:val="21"/>
                      <w14:textFill>
                        <w14:solidFill>
                          <w14:schemeClr w14:val="tx1"/>
                        </w14:solidFill>
                      </w14:textFill>
                    </w:rPr>
                    <w:t>(t</w:t>
                  </w:r>
                  <w:r>
                    <w:rPr>
                      <w:b/>
                      <w:bCs/>
                      <w:color w:val="000000" w:themeColor="text1"/>
                      <w:sz w:val="21"/>
                      <w14:textFill>
                        <w14:solidFill>
                          <w14:schemeClr w14:val="tx1"/>
                        </w14:solidFill>
                      </w14:textFill>
                    </w:rPr>
                    <w:t>/</w:t>
                  </w:r>
                  <w:r>
                    <w:rPr>
                      <w:rFonts w:hint="eastAsia"/>
                      <w:b/>
                      <w:bCs/>
                      <w:color w:val="000000" w:themeColor="text1"/>
                      <w:sz w:val="21"/>
                      <w14:textFill>
                        <w14:solidFill>
                          <w14:schemeClr w14:val="tx1"/>
                        </w14:solidFill>
                      </w14:textFill>
                    </w:rPr>
                    <w:t>a)</w:t>
                  </w:r>
                </w:p>
              </w:tc>
            </w:tr>
            <w:tr w14:paraId="7E932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restart"/>
                  <w:tcBorders>
                    <w:tl2br w:val="nil"/>
                    <w:tr2bl w:val="nil"/>
                  </w:tcBorders>
                  <w:vAlign w:val="center"/>
                </w:tcPr>
                <w:p w14:paraId="5ACD6FFB">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生活办公</w:t>
                  </w:r>
                </w:p>
              </w:tc>
              <w:tc>
                <w:tcPr>
                  <w:tcW w:w="1018" w:type="dxa"/>
                  <w:vMerge w:val="restart"/>
                  <w:tcBorders>
                    <w:tl2br w:val="nil"/>
                    <w:tr2bl w:val="nil"/>
                  </w:tcBorders>
                  <w:vAlign w:val="center"/>
                </w:tcPr>
                <w:p w14:paraId="0EED5493">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生活污水</w:t>
                  </w:r>
                </w:p>
              </w:tc>
              <w:tc>
                <w:tcPr>
                  <w:tcW w:w="1263" w:type="dxa"/>
                  <w:tcBorders>
                    <w:tl2br w:val="nil"/>
                    <w:tr2bl w:val="nil"/>
                  </w:tcBorders>
                  <w:vAlign w:val="center"/>
                </w:tcPr>
                <w:p w14:paraId="5E877FFC">
                  <w:pPr>
                    <w:pStyle w:val="14"/>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vertAlign w:val="subscript"/>
                      <w14:textFill>
                        <w14:solidFill>
                          <w14:schemeClr w14:val="tx1"/>
                        </w14:solidFill>
                      </w14:textFill>
                    </w:rPr>
                    <w:t>Cr</w:t>
                  </w:r>
                </w:p>
              </w:tc>
              <w:tc>
                <w:tcPr>
                  <w:tcW w:w="1351" w:type="dxa"/>
                  <w:vMerge w:val="restart"/>
                  <w:tcBorders>
                    <w:tl2br w:val="nil"/>
                    <w:tr2bl w:val="nil"/>
                  </w:tcBorders>
                  <w:vAlign w:val="center"/>
                </w:tcPr>
                <w:p w14:paraId="6F84AB04">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45</w:t>
                  </w:r>
                </w:p>
              </w:tc>
              <w:tc>
                <w:tcPr>
                  <w:tcW w:w="1607" w:type="dxa"/>
                  <w:tcBorders>
                    <w:tl2br w:val="nil"/>
                    <w:tr2bl w:val="nil"/>
                  </w:tcBorders>
                  <w:vAlign w:val="center"/>
                </w:tcPr>
                <w:p w14:paraId="4C2EE7DC">
                  <w:pPr>
                    <w:pStyle w:val="14"/>
                    <w:bidi w:val="0"/>
                    <w:rPr>
                      <w:color w:val="000000" w:themeColor="text1"/>
                      <w:sz w:val="21"/>
                      <w14:textFill>
                        <w14:solidFill>
                          <w14:schemeClr w14:val="tx1"/>
                        </w14:solidFill>
                      </w14:textFill>
                    </w:rPr>
                  </w:pPr>
                  <w:r>
                    <w:rPr>
                      <w:rFonts w:hint="eastAsia"/>
                      <w:lang w:val="en-US" w:eastAsia="zh-CN"/>
                    </w:rPr>
                    <w:t>285</w:t>
                  </w:r>
                </w:p>
              </w:tc>
              <w:tc>
                <w:tcPr>
                  <w:tcW w:w="1190" w:type="dxa"/>
                  <w:tcBorders>
                    <w:tl2br w:val="nil"/>
                    <w:tr2bl w:val="nil"/>
                  </w:tcBorders>
                  <w:vAlign w:val="center"/>
                </w:tcPr>
                <w:p w14:paraId="5AA62996">
                  <w:pPr>
                    <w:pStyle w:val="14"/>
                    <w:bidi w:val="0"/>
                    <w:rPr>
                      <w:color w:val="000000" w:themeColor="text1"/>
                      <w14:textFill>
                        <w14:solidFill>
                          <w14:schemeClr w14:val="tx1"/>
                        </w14:solidFill>
                      </w14:textFill>
                    </w:rPr>
                  </w:pPr>
                  <w:r>
                    <w:rPr>
                      <w:rFonts w:hint="eastAsia"/>
                      <w:lang w:val="en-US" w:eastAsia="zh-CN"/>
                    </w:rPr>
                    <w:t>0.1206</w:t>
                  </w:r>
                </w:p>
              </w:tc>
              <w:tc>
                <w:tcPr>
                  <w:tcW w:w="1191" w:type="dxa"/>
                  <w:vMerge w:val="restart"/>
                  <w:tcBorders>
                    <w:tl2br w:val="nil"/>
                    <w:tr2bl w:val="nil"/>
                  </w:tcBorders>
                  <w:vAlign w:val="center"/>
                </w:tcPr>
                <w:p w14:paraId="07925C4A">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三级</w:t>
                  </w:r>
                  <w:r>
                    <w:rPr>
                      <w:color w:val="000000" w:themeColor="text1"/>
                      <w:sz w:val="21"/>
                      <w14:textFill>
                        <w14:solidFill>
                          <w14:schemeClr w14:val="tx1"/>
                        </w14:solidFill>
                      </w14:textFill>
                    </w:rPr>
                    <w:t>化粪池</w:t>
                  </w:r>
                </w:p>
              </w:tc>
              <w:tc>
                <w:tcPr>
                  <w:tcW w:w="891" w:type="dxa"/>
                  <w:tcBorders>
                    <w:tl2br w:val="nil"/>
                    <w:tr2bl w:val="nil"/>
                  </w:tcBorders>
                  <w:vAlign w:val="center"/>
                </w:tcPr>
                <w:p w14:paraId="538A6C3F">
                  <w:pPr>
                    <w:pStyle w:val="14"/>
                    <w:bidi w:val="0"/>
                    <w:rPr>
                      <w:color w:val="000000" w:themeColor="text1"/>
                      <w:sz w:val="21"/>
                      <w14:textFill>
                        <w14:solidFill>
                          <w14:schemeClr w14:val="tx1"/>
                        </w14:solidFill>
                      </w14:textFill>
                    </w:rPr>
                  </w:pPr>
                  <w:r>
                    <w:rPr>
                      <w:rFonts w:hint="eastAsia"/>
                      <w:lang w:val="en-US" w:eastAsia="zh-CN"/>
                    </w:rPr>
                    <w:t>45</w:t>
                  </w:r>
                </w:p>
              </w:tc>
              <w:tc>
                <w:tcPr>
                  <w:tcW w:w="1379" w:type="dxa"/>
                  <w:vMerge w:val="restart"/>
                  <w:tcBorders>
                    <w:tl2br w:val="nil"/>
                    <w:tr2bl w:val="nil"/>
                  </w:tcBorders>
                  <w:vAlign w:val="center"/>
                </w:tcPr>
                <w:p w14:paraId="7C182666">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45</w:t>
                  </w:r>
                </w:p>
              </w:tc>
              <w:tc>
                <w:tcPr>
                  <w:tcW w:w="1877" w:type="dxa"/>
                  <w:tcBorders>
                    <w:tl2br w:val="nil"/>
                    <w:tr2bl w:val="nil"/>
                  </w:tcBorders>
                  <w:vAlign w:val="center"/>
                </w:tcPr>
                <w:p w14:paraId="2DF05D37">
                  <w:pPr>
                    <w:pStyle w:val="14"/>
                    <w:bidi w:val="0"/>
                    <w:rPr>
                      <w:color w:val="000000" w:themeColor="text1"/>
                      <w:sz w:val="21"/>
                      <w14:textFill>
                        <w14:solidFill>
                          <w14:schemeClr w14:val="tx1"/>
                        </w14:solidFill>
                      </w14:textFill>
                    </w:rPr>
                  </w:pPr>
                  <w:r>
                    <w:rPr>
                      <w:rFonts w:hint="eastAsia"/>
                      <w:lang w:val="en-US" w:eastAsia="zh-CN"/>
                    </w:rPr>
                    <w:t>156.8</w:t>
                  </w:r>
                </w:p>
              </w:tc>
              <w:tc>
                <w:tcPr>
                  <w:tcW w:w="1259" w:type="dxa"/>
                  <w:tcBorders>
                    <w:tl2br w:val="nil"/>
                    <w:tr2bl w:val="nil"/>
                  </w:tcBorders>
                  <w:vAlign w:val="center"/>
                </w:tcPr>
                <w:p w14:paraId="091B07A4">
                  <w:pPr>
                    <w:pStyle w:val="14"/>
                    <w:bidi w:val="0"/>
                    <w:rPr>
                      <w:color w:val="000000" w:themeColor="text1"/>
                      <w14:textFill>
                        <w14:solidFill>
                          <w14:schemeClr w14:val="tx1"/>
                        </w14:solidFill>
                      </w14:textFill>
                    </w:rPr>
                  </w:pPr>
                  <w:r>
                    <w:rPr>
                      <w:rFonts w:hint="eastAsia"/>
                      <w:lang w:val="en-US" w:eastAsia="zh-CN"/>
                    </w:rPr>
                    <w:t>0.0663</w:t>
                  </w:r>
                </w:p>
              </w:tc>
            </w:tr>
            <w:tr w14:paraId="29EF4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continue"/>
                  <w:tcBorders>
                    <w:tl2br w:val="nil"/>
                    <w:tr2bl w:val="nil"/>
                  </w:tcBorders>
                  <w:vAlign w:val="center"/>
                </w:tcPr>
                <w:p w14:paraId="77BC8B09">
                  <w:pPr>
                    <w:adjustRightInd w:val="0"/>
                    <w:snapToGrid w:val="0"/>
                    <w:spacing w:line="240" w:lineRule="auto"/>
                    <w:jc w:val="center"/>
                    <w:rPr>
                      <w:color w:val="000000" w:themeColor="text1"/>
                      <w:sz w:val="21"/>
                      <w14:textFill>
                        <w14:solidFill>
                          <w14:schemeClr w14:val="tx1"/>
                        </w14:solidFill>
                      </w14:textFill>
                    </w:rPr>
                  </w:pPr>
                </w:p>
              </w:tc>
              <w:tc>
                <w:tcPr>
                  <w:tcW w:w="1018" w:type="dxa"/>
                  <w:vMerge w:val="continue"/>
                  <w:tcBorders>
                    <w:tl2br w:val="nil"/>
                    <w:tr2bl w:val="nil"/>
                  </w:tcBorders>
                  <w:vAlign w:val="center"/>
                </w:tcPr>
                <w:p w14:paraId="35AA63FC">
                  <w:pPr>
                    <w:adjustRightInd w:val="0"/>
                    <w:snapToGrid w:val="0"/>
                    <w:spacing w:line="240" w:lineRule="auto"/>
                    <w:jc w:val="center"/>
                    <w:rPr>
                      <w:color w:val="000000" w:themeColor="text1"/>
                      <w:sz w:val="21"/>
                      <w14:textFill>
                        <w14:solidFill>
                          <w14:schemeClr w14:val="tx1"/>
                        </w14:solidFill>
                      </w14:textFill>
                    </w:rPr>
                  </w:pPr>
                </w:p>
              </w:tc>
              <w:tc>
                <w:tcPr>
                  <w:tcW w:w="1263" w:type="dxa"/>
                  <w:tcBorders>
                    <w:tl2br w:val="nil"/>
                    <w:tr2bl w:val="nil"/>
                  </w:tcBorders>
                  <w:vAlign w:val="center"/>
                </w:tcPr>
                <w:p w14:paraId="5876EE8D">
                  <w:pPr>
                    <w:pStyle w:val="14"/>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351" w:type="dxa"/>
                  <w:vMerge w:val="continue"/>
                  <w:tcBorders>
                    <w:tl2br w:val="nil"/>
                    <w:tr2bl w:val="nil"/>
                  </w:tcBorders>
                  <w:vAlign w:val="center"/>
                </w:tcPr>
                <w:p w14:paraId="4D6F2ECA">
                  <w:pPr>
                    <w:adjustRightInd w:val="0"/>
                    <w:snapToGrid w:val="0"/>
                    <w:spacing w:line="240" w:lineRule="auto"/>
                    <w:jc w:val="center"/>
                    <w:rPr>
                      <w:color w:val="000000" w:themeColor="text1"/>
                      <w:sz w:val="21"/>
                      <w14:textFill>
                        <w14:solidFill>
                          <w14:schemeClr w14:val="tx1"/>
                        </w14:solidFill>
                      </w14:textFill>
                    </w:rPr>
                  </w:pPr>
                </w:p>
              </w:tc>
              <w:tc>
                <w:tcPr>
                  <w:tcW w:w="1607" w:type="dxa"/>
                  <w:tcBorders>
                    <w:tl2br w:val="nil"/>
                    <w:tr2bl w:val="nil"/>
                  </w:tcBorders>
                  <w:vAlign w:val="center"/>
                </w:tcPr>
                <w:p w14:paraId="304782F8">
                  <w:pPr>
                    <w:pStyle w:val="14"/>
                    <w:bidi w:val="0"/>
                    <w:rPr>
                      <w:color w:val="000000" w:themeColor="text1"/>
                      <w:sz w:val="21"/>
                      <w14:textFill>
                        <w14:solidFill>
                          <w14:schemeClr w14:val="tx1"/>
                        </w14:solidFill>
                      </w14:textFill>
                    </w:rPr>
                  </w:pPr>
                  <w:r>
                    <w:rPr>
                      <w:rFonts w:hint="eastAsia"/>
                      <w:lang w:val="en-US" w:eastAsia="zh-CN"/>
                    </w:rPr>
                    <w:t>110</w:t>
                  </w:r>
                </w:p>
              </w:tc>
              <w:tc>
                <w:tcPr>
                  <w:tcW w:w="1190" w:type="dxa"/>
                  <w:tcBorders>
                    <w:tl2br w:val="nil"/>
                    <w:tr2bl w:val="nil"/>
                  </w:tcBorders>
                  <w:vAlign w:val="center"/>
                </w:tcPr>
                <w:p w14:paraId="7CE00837">
                  <w:pPr>
                    <w:pStyle w:val="14"/>
                    <w:bidi w:val="0"/>
                    <w:rPr>
                      <w:color w:val="000000" w:themeColor="text1"/>
                      <w14:textFill>
                        <w14:solidFill>
                          <w14:schemeClr w14:val="tx1"/>
                        </w14:solidFill>
                      </w14:textFill>
                    </w:rPr>
                  </w:pPr>
                  <w:r>
                    <w:rPr>
                      <w:rFonts w:hint="eastAsia"/>
                      <w:lang w:val="en-US" w:eastAsia="zh-CN"/>
                    </w:rPr>
                    <w:t>0.0466</w:t>
                  </w:r>
                </w:p>
              </w:tc>
              <w:tc>
                <w:tcPr>
                  <w:tcW w:w="1191" w:type="dxa"/>
                  <w:vMerge w:val="continue"/>
                  <w:tcBorders>
                    <w:tl2br w:val="nil"/>
                    <w:tr2bl w:val="nil"/>
                  </w:tcBorders>
                  <w:vAlign w:val="center"/>
                </w:tcPr>
                <w:p w14:paraId="3F1C547D">
                  <w:pPr>
                    <w:adjustRightInd w:val="0"/>
                    <w:snapToGrid w:val="0"/>
                    <w:spacing w:line="240" w:lineRule="auto"/>
                    <w:jc w:val="center"/>
                    <w:rPr>
                      <w:color w:val="000000" w:themeColor="text1"/>
                      <w:sz w:val="21"/>
                      <w14:textFill>
                        <w14:solidFill>
                          <w14:schemeClr w14:val="tx1"/>
                        </w14:solidFill>
                      </w14:textFill>
                    </w:rPr>
                  </w:pPr>
                </w:p>
              </w:tc>
              <w:tc>
                <w:tcPr>
                  <w:tcW w:w="891" w:type="dxa"/>
                  <w:tcBorders>
                    <w:tl2br w:val="nil"/>
                    <w:tr2bl w:val="nil"/>
                  </w:tcBorders>
                  <w:vAlign w:val="center"/>
                </w:tcPr>
                <w:p w14:paraId="3B6C3E4B">
                  <w:pPr>
                    <w:pStyle w:val="14"/>
                    <w:bidi w:val="0"/>
                    <w:rPr>
                      <w:color w:val="000000" w:themeColor="text1"/>
                      <w:sz w:val="21"/>
                      <w14:textFill>
                        <w14:solidFill>
                          <w14:schemeClr w14:val="tx1"/>
                        </w14:solidFill>
                      </w14:textFill>
                    </w:rPr>
                  </w:pPr>
                  <w:r>
                    <w:rPr>
                      <w:rFonts w:hint="eastAsia"/>
                      <w:lang w:val="en-US" w:eastAsia="zh-CN"/>
                    </w:rPr>
                    <w:t>55</w:t>
                  </w:r>
                </w:p>
              </w:tc>
              <w:tc>
                <w:tcPr>
                  <w:tcW w:w="1379" w:type="dxa"/>
                  <w:vMerge w:val="continue"/>
                  <w:tcBorders>
                    <w:tl2br w:val="nil"/>
                    <w:tr2bl w:val="nil"/>
                  </w:tcBorders>
                  <w:vAlign w:val="center"/>
                </w:tcPr>
                <w:p w14:paraId="75CB3C80">
                  <w:pPr>
                    <w:adjustRightInd w:val="0"/>
                    <w:snapToGrid w:val="0"/>
                    <w:spacing w:line="240" w:lineRule="auto"/>
                    <w:jc w:val="center"/>
                    <w:rPr>
                      <w:color w:val="000000" w:themeColor="text1"/>
                      <w:sz w:val="21"/>
                      <w14:textFill>
                        <w14:solidFill>
                          <w14:schemeClr w14:val="tx1"/>
                        </w14:solidFill>
                      </w14:textFill>
                    </w:rPr>
                  </w:pPr>
                </w:p>
              </w:tc>
              <w:tc>
                <w:tcPr>
                  <w:tcW w:w="1877" w:type="dxa"/>
                  <w:tcBorders>
                    <w:tl2br w:val="nil"/>
                    <w:tr2bl w:val="nil"/>
                  </w:tcBorders>
                  <w:vAlign w:val="center"/>
                </w:tcPr>
                <w:p w14:paraId="749E9F9D">
                  <w:pPr>
                    <w:pStyle w:val="14"/>
                    <w:bidi w:val="0"/>
                    <w:rPr>
                      <w:color w:val="000000" w:themeColor="text1"/>
                      <w:sz w:val="21"/>
                      <w14:textFill>
                        <w14:solidFill>
                          <w14:schemeClr w14:val="tx1"/>
                        </w14:solidFill>
                      </w14:textFill>
                    </w:rPr>
                  </w:pPr>
                  <w:r>
                    <w:rPr>
                      <w:rFonts w:hint="eastAsia"/>
                      <w:lang w:val="en-US" w:eastAsia="zh-CN"/>
                    </w:rPr>
                    <w:t>49.5</w:t>
                  </w:r>
                </w:p>
              </w:tc>
              <w:tc>
                <w:tcPr>
                  <w:tcW w:w="1259" w:type="dxa"/>
                  <w:tcBorders>
                    <w:tl2br w:val="nil"/>
                    <w:tr2bl w:val="nil"/>
                  </w:tcBorders>
                  <w:vAlign w:val="center"/>
                </w:tcPr>
                <w:p w14:paraId="231B59EB">
                  <w:pPr>
                    <w:pStyle w:val="14"/>
                    <w:bidi w:val="0"/>
                    <w:rPr>
                      <w:color w:val="000000" w:themeColor="text1"/>
                      <w14:textFill>
                        <w14:solidFill>
                          <w14:schemeClr w14:val="tx1"/>
                        </w14:solidFill>
                      </w14:textFill>
                    </w:rPr>
                  </w:pPr>
                  <w:r>
                    <w:rPr>
                      <w:rFonts w:hint="eastAsia"/>
                      <w:lang w:val="en-US" w:eastAsia="zh-CN"/>
                    </w:rPr>
                    <w:t>0.021</w:t>
                  </w:r>
                </w:p>
              </w:tc>
            </w:tr>
            <w:tr w14:paraId="51E29E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continue"/>
                  <w:tcBorders>
                    <w:tl2br w:val="nil"/>
                    <w:tr2bl w:val="nil"/>
                  </w:tcBorders>
                  <w:vAlign w:val="center"/>
                </w:tcPr>
                <w:p w14:paraId="33AD43E2">
                  <w:pPr>
                    <w:adjustRightInd w:val="0"/>
                    <w:snapToGrid w:val="0"/>
                    <w:spacing w:line="240" w:lineRule="auto"/>
                    <w:jc w:val="center"/>
                    <w:rPr>
                      <w:color w:val="000000" w:themeColor="text1"/>
                      <w:sz w:val="21"/>
                      <w14:textFill>
                        <w14:solidFill>
                          <w14:schemeClr w14:val="tx1"/>
                        </w14:solidFill>
                      </w14:textFill>
                    </w:rPr>
                  </w:pPr>
                </w:p>
              </w:tc>
              <w:tc>
                <w:tcPr>
                  <w:tcW w:w="1018" w:type="dxa"/>
                  <w:vMerge w:val="continue"/>
                  <w:tcBorders>
                    <w:tl2br w:val="nil"/>
                    <w:tr2bl w:val="nil"/>
                  </w:tcBorders>
                  <w:vAlign w:val="center"/>
                </w:tcPr>
                <w:p w14:paraId="45293688">
                  <w:pPr>
                    <w:adjustRightInd w:val="0"/>
                    <w:snapToGrid w:val="0"/>
                    <w:spacing w:line="240" w:lineRule="auto"/>
                    <w:jc w:val="center"/>
                    <w:rPr>
                      <w:color w:val="000000" w:themeColor="text1"/>
                      <w:sz w:val="21"/>
                      <w14:textFill>
                        <w14:solidFill>
                          <w14:schemeClr w14:val="tx1"/>
                        </w14:solidFill>
                      </w14:textFill>
                    </w:rPr>
                  </w:pPr>
                </w:p>
              </w:tc>
              <w:tc>
                <w:tcPr>
                  <w:tcW w:w="1263" w:type="dxa"/>
                  <w:tcBorders>
                    <w:tl2br w:val="nil"/>
                    <w:tr2bl w:val="nil"/>
                  </w:tcBorders>
                  <w:vAlign w:val="center"/>
                </w:tcPr>
                <w:p w14:paraId="2D5B247D">
                  <w:pPr>
                    <w:pStyle w:val="14"/>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351" w:type="dxa"/>
                  <w:vMerge w:val="continue"/>
                  <w:tcBorders>
                    <w:tl2br w:val="nil"/>
                    <w:tr2bl w:val="nil"/>
                  </w:tcBorders>
                  <w:vAlign w:val="center"/>
                </w:tcPr>
                <w:p w14:paraId="223DAA34">
                  <w:pPr>
                    <w:adjustRightInd w:val="0"/>
                    <w:snapToGrid w:val="0"/>
                    <w:spacing w:line="240" w:lineRule="auto"/>
                    <w:jc w:val="center"/>
                    <w:rPr>
                      <w:color w:val="000000" w:themeColor="text1"/>
                      <w:sz w:val="21"/>
                      <w14:textFill>
                        <w14:solidFill>
                          <w14:schemeClr w14:val="tx1"/>
                        </w14:solidFill>
                      </w14:textFill>
                    </w:rPr>
                  </w:pPr>
                </w:p>
              </w:tc>
              <w:tc>
                <w:tcPr>
                  <w:tcW w:w="1607" w:type="dxa"/>
                  <w:tcBorders>
                    <w:tl2br w:val="nil"/>
                    <w:tr2bl w:val="nil"/>
                  </w:tcBorders>
                  <w:vAlign w:val="center"/>
                </w:tcPr>
                <w:p w14:paraId="2216EED4">
                  <w:pPr>
                    <w:pStyle w:val="14"/>
                    <w:bidi w:val="0"/>
                    <w:rPr>
                      <w:color w:val="000000" w:themeColor="text1"/>
                      <w:sz w:val="21"/>
                      <w14:textFill>
                        <w14:solidFill>
                          <w14:schemeClr w14:val="tx1"/>
                        </w14:solidFill>
                      </w14:textFill>
                    </w:rPr>
                  </w:pPr>
                  <w:r>
                    <w:rPr>
                      <w:rFonts w:hint="eastAsia"/>
                      <w:lang w:val="en-US" w:eastAsia="zh-CN"/>
                    </w:rPr>
                    <w:t>100</w:t>
                  </w:r>
                </w:p>
              </w:tc>
              <w:tc>
                <w:tcPr>
                  <w:tcW w:w="1190" w:type="dxa"/>
                  <w:tcBorders>
                    <w:tl2br w:val="nil"/>
                    <w:tr2bl w:val="nil"/>
                  </w:tcBorders>
                  <w:vAlign w:val="center"/>
                </w:tcPr>
                <w:p w14:paraId="7E735122">
                  <w:pPr>
                    <w:pStyle w:val="14"/>
                    <w:bidi w:val="0"/>
                    <w:rPr>
                      <w:color w:val="000000" w:themeColor="text1"/>
                      <w14:textFill>
                        <w14:solidFill>
                          <w14:schemeClr w14:val="tx1"/>
                        </w14:solidFill>
                      </w14:textFill>
                    </w:rPr>
                  </w:pPr>
                  <w:r>
                    <w:rPr>
                      <w:rFonts w:hint="eastAsia"/>
                      <w:lang w:val="en-US" w:eastAsia="zh-CN"/>
                    </w:rPr>
                    <w:t>0.0423</w:t>
                  </w:r>
                </w:p>
              </w:tc>
              <w:tc>
                <w:tcPr>
                  <w:tcW w:w="1191" w:type="dxa"/>
                  <w:vMerge w:val="continue"/>
                  <w:tcBorders>
                    <w:tl2br w:val="nil"/>
                    <w:tr2bl w:val="nil"/>
                  </w:tcBorders>
                  <w:vAlign w:val="center"/>
                </w:tcPr>
                <w:p w14:paraId="36355B0E">
                  <w:pPr>
                    <w:adjustRightInd w:val="0"/>
                    <w:snapToGrid w:val="0"/>
                    <w:spacing w:line="240" w:lineRule="auto"/>
                    <w:jc w:val="center"/>
                    <w:rPr>
                      <w:color w:val="000000" w:themeColor="text1"/>
                      <w:sz w:val="21"/>
                      <w14:textFill>
                        <w14:solidFill>
                          <w14:schemeClr w14:val="tx1"/>
                        </w14:solidFill>
                      </w14:textFill>
                    </w:rPr>
                  </w:pPr>
                </w:p>
              </w:tc>
              <w:tc>
                <w:tcPr>
                  <w:tcW w:w="891" w:type="dxa"/>
                  <w:tcBorders>
                    <w:tl2br w:val="nil"/>
                    <w:tr2bl w:val="nil"/>
                  </w:tcBorders>
                  <w:vAlign w:val="center"/>
                </w:tcPr>
                <w:p w14:paraId="7E1B6561">
                  <w:pPr>
                    <w:pStyle w:val="14"/>
                    <w:bidi w:val="0"/>
                    <w:rPr>
                      <w:color w:val="000000" w:themeColor="text1"/>
                      <w:sz w:val="21"/>
                      <w14:textFill>
                        <w14:solidFill>
                          <w14:schemeClr w14:val="tx1"/>
                        </w14:solidFill>
                      </w14:textFill>
                    </w:rPr>
                  </w:pPr>
                  <w:r>
                    <w:rPr>
                      <w:rFonts w:hint="eastAsia"/>
                      <w:lang w:val="en-US" w:eastAsia="zh-CN"/>
                    </w:rPr>
                    <w:t>90</w:t>
                  </w:r>
                </w:p>
              </w:tc>
              <w:tc>
                <w:tcPr>
                  <w:tcW w:w="1379" w:type="dxa"/>
                  <w:vMerge w:val="continue"/>
                  <w:tcBorders>
                    <w:tl2br w:val="nil"/>
                    <w:tr2bl w:val="nil"/>
                  </w:tcBorders>
                  <w:vAlign w:val="center"/>
                </w:tcPr>
                <w:p w14:paraId="780EA158">
                  <w:pPr>
                    <w:adjustRightInd w:val="0"/>
                    <w:snapToGrid w:val="0"/>
                    <w:spacing w:line="240" w:lineRule="auto"/>
                    <w:jc w:val="center"/>
                    <w:rPr>
                      <w:color w:val="000000" w:themeColor="text1"/>
                      <w:sz w:val="21"/>
                      <w14:textFill>
                        <w14:solidFill>
                          <w14:schemeClr w14:val="tx1"/>
                        </w14:solidFill>
                      </w14:textFill>
                    </w:rPr>
                  </w:pPr>
                </w:p>
              </w:tc>
              <w:tc>
                <w:tcPr>
                  <w:tcW w:w="1877" w:type="dxa"/>
                  <w:tcBorders>
                    <w:tl2br w:val="nil"/>
                    <w:tr2bl w:val="nil"/>
                  </w:tcBorders>
                  <w:vAlign w:val="center"/>
                </w:tcPr>
                <w:p w14:paraId="4B3E7CCE">
                  <w:pPr>
                    <w:pStyle w:val="14"/>
                    <w:bidi w:val="0"/>
                    <w:rPr>
                      <w:color w:val="000000" w:themeColor="text1"/>
                      <w:sz w:val="21"/>
                      <w14:textFill>
                        <w14:solidFill>
                          <w14:schemeClr w14:val="tx1"/>
                        </w14:solidFill>
                      </w14:textFill>
                    </w:rPr>
                  </w:pPr>
                  <w:r>
                    <w:rPr>
                      <w:rFonts w:hint="eastAsia"/>
                      <w:lang w:val="en-US" w:eastAsia="zh-CN"/>
                    </w:rPr>
                    <w:t>10</w:t>
                  </w:r>
                </w:p>
              </w:tc>
              <w:tc>
                <w:tcPr>
                  <w:tcW w:w="1259" w:type="dxa"/>
                  <w:tcBorders>
                    <w:tl2br w:val="nil"/>
                    <w:tr2bl w:val="nil"/>
                  </w:tcBorders>
                  <w:vAlign w:val="center"/>
                </w:tcPr>
                <w:p w14:paraId="09303CCA">
                  <w:pPr>
                    <w:pStyle w:val="14"/>
                    <w:bidi w:val="0"/>
                    <w:rPr>
                      <w:color w:val="000000" w:themeColor="text1"/>
                      <w14:textFill>
                        <w14:solidFill>
                          <w14:schemeClr w14:val="tx1"/>
                        </w14:solidFill>
                      </w14:textFill>
                    </w:rPr>
                  </w:pPr>
                  <w:r>
                    <w:rPr>
                      <w:rFonts w:hint="eastAsia"/>
                      <w:lang w:val="en-US" w:eastAsia="zh-CN"/>
                    </w:rPr>
                    <w:t>0.0043</w:t>
                  </w:r>
                </w:p>
              </w:tc>
            </w:tr>
            <w:tr w14:paraId="3D4E4B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continue"/>
                  <w:tcBorders>
                    <w:tl2br w:val="nil"/>
                    <w:tr2bl w:val="nil"/>
                  </w:tcBorders>
                  <w:vAlign w:val="center"/>
                </w:tcPr>
                <w:p w14:paraId="22B2E414">
                  <w:pPr>
                    <w:adjustRightInd w:val="0"/>
                    <w:snapToGrid w:val="0"/>
                    <w:spacing w:line="240" w:lineRule="auto"/>
                    <w:jc w:val="center"/>
                    <w:rPr>
                      <w:color w:val="000000" w:themeColor="text1"/>
                      <w:sz w:val="21"/>
                      <w14:textFill>
                        <w14:solidFill>
                          <w14:schemeClr w14:val="tx1"/>
                        </w14:solidFill>
                      </w14:textFill>
                    </w:rPr>
                  </w:pPr>
                </w:p>
              </w:tc>
              <w:tc>
                <w:tcPr>
                  <w:tcW w:w="1018" w:type="dxa"/>
                  <w:vMerge w:val="continue"/>
                  <w:tcBorders>
                    <w:tl2br w:val="nil"/>
                    <w:tr2bl w:val="nil"/>
                  </w:tcBorders>
                  <w:vAlign w:val="center"/>
                </w:tcPr>
                <w:p w14:paraId="7EF05C96">
                  <w:pPr>
                    <w:adjustRightInd w:val="0"/>
                    <w:snapToGrid w:val="0"/>
                    <w:spacing w:line="240" w:lineRule="auto"/>
                    <w:jc w:val="center"/>
                    <w:rPr>
                      <w:color w:val="000000" w:themeColor="text1"/>
                      <w:sz w:val="21"/>
                      <w14:textFill>
                        <w14:solidFill>
                          <w14:schemeClr w14:val="tx1"/>
                        </w14:solidFill>
                      </w14:textFill>
                    </w:rPr>
                  </w:pPr>
                </w:p>
              </w:tc>
              <w:tc>
                <w:tcPr>
                  <w:tcW w:w="1263" w:type="dxa"/>
                  <w:tcBorders>
                    <w:tl2br w:val="nil"/>
                    <w:tr2bl w:val="nil"/>
                  </w:tcBorders>
                  <w:vAlign w:val="center"/>
                </w:tcPr>
                <w:p w14:paraId="41EC5706">
                  <w:pPr>
                    <w:pStyle w:val="14"/>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1351" w:type="dxa"/>
                  <w:vMerge w:val="continue"/>
                  <w:tcBorders>
                    <w:tl2br w:val="nil"/>
                    <w:tr2bl w:val="nil"/>
                  </w:tcBorders>
                  <w:vAlign w:val="center"/>
                </w:tcPr>
                <w:p w14:paraId="00064CD7">
                  <w:pPr>
                    <w:adjustRightInd w:val="0"/>
                    <w:snapToGrid w:val="0"/>
                    <w:spacing w:line="240" w:lineRule="auto"/>
                    <w:jc w:val="center"/>
                    <w:rPr>
                      <w:color w:val="000000" w:themeColor="text1"/>
                      <w:sz w:val="21"/>
                      <w14:textFill>
                        <w14:solidFill>
                          <w14:schemeClr w14:val="tx1"/>
                        </w14:solidFill>
                      </w14:textFill>
                    </w:rPr>
                  </w:pPr>
                </w:p>
              </w:tc>
              <w:tc>
                <w:tcPr>
                  <w:tcW w:w="1607" w:type="dxa"/>
                  <w:tcBorders>
                    <w:tl2br w:val="nil"/>
                    <w:tr2bl w:val="nil"/>
                  </w:tcBorders>
                  <w:vAlign w:val="center"/>
                </w:tcPr>
                <w:p w14:paraId="3EA3C8AB">
                  <w:pPr>
                    <w:pStyle w:val="14"/>
                    <w:bidi w:val="0"/>
                    <w:rPr>
                      <w:color w:val="000000" w:themeColor="text1"/>
                      <w:sz w:val="21"/>
                      <w14:textFill>
                        <w14:solidFill>
                          <w14:schemeClr w14:val="tx1"/>
                        </w14:solidFill>
                      </w14:textFill>
                    </w:rPr>
                  </w:pPr>
                  <w:r>
                    <w:rPr>
                      <w:rFonts w:hint="eastAsia"/>
                      <w:lang w:val="en-US" w:eastAsia="zh-CN"/>
                    </w:rPr>
                    <w:t>28.3</w:t>
                  </w:r>
                </w:p>
              </w:tc>
              <w:tc>
                <w:tcPr>
                  <w:tcW w:w="1190" w:type="dxa"/>
                  <w:tcBorders>
                    <w:tl2br w:val="nil"/>
                    <w:tr2bl w:val="nil"/>
                  </w:tcBorders>
                  <w:vAlign w:val="center"/>
                </w:tcPr>
                <w:p w14:paraId="7CA328E8">
                  <w:pPr>
                    <w:pStyle w:val="14"/>
                    <w:bidi w:val="0"/>
                    <w:rPr>
                      <w:color w:val="000000" w:themeColor="text1"/>
                      <w14:textFill>
                        <w14:solidFill>
                          <w14:schemeClr w14:val="tx1"/>
                        </w14:solidFill>
                      </w14:textFill>
                    </w:rPr>
                  </w:pPr>
                  <w:r>
                    <w:rPr>
                      <w:rFonts w:hint="eastAsia"/>
                      <w:lang w:val="en-US" w:eastAsia="zh-CN"/>
                    </w:rPr>
                    <w:t>0.012</w:t>
                  </w:r>
                </w:p>
              </w:tc>
              <w:tc>
                <w:tcPr>
                  <w:tcW w:w="1191" w:type="dxa"/>
                  <w:vMerge w:val="continue"/>
                  <w:tcBorders>
                    <w:tl2br w:val="nil"/>
                    <w:tr2bl w:val="nil"/>
                  </w:tcBorders>
                  <w:vAlign w:val="center"/>
                </w:tcPr>
                <w:p w14:paraId="2D965CCD">
                  <w:pPr>
                    <w:adjustRightInd w:val="0"/>
                    <w:snapToGrid w:val="0"/>
                    <w:spacing w:line="240" w:lineRule="auto"/>
                    <w:jc w:val="center"/>
                    <w:rPr>
                      <w:color w:val="000000" w:themeColor="text1"/>
                      <w:sz w:val="21"/>
                      <w14:textFill>
                        <w14:solidFill>
                          <w14:schemeClr w14:val="tx1"/>
                        </w14:solidFill>
                      </w14:textFill>
                    </w:rPr>
                  </w:pPr>
                </w:p>
              </w:tc>
              <w:tc>
                <w:tcPr>
                  <w:tcW w:w="891" w:type="dxa"/>
                  <w:tcBorders>
                    <w:tl2br w:val="nil"/>
                    <w:tr2bl w:val="nil"/>
                  </w:tcBorders>
                  <w:vAlign w:val="center"/>
                </w:tcPr>
                <w:p w14:paraId="6B58FB04">
                  <w:pPr>
                    <w:pStyle w:val="14"/>
                    <w:bidi w:val="0"/>
                    <w:rPr>
                      <w:color w:val="000000" w:themeColor="text1"/>
                      <w:sz w:val="21"/>
                      <w14:textFill>
                        <w14:solidFill>
                          <w14:schemeClr w14:val="tx1"/>
                        </w14:solidFill>
                      </w14:textFill>
                    </w:rPr>
                  </w:pPr>
                  <w:r>
                    <w:rPr>
                      <w:rFonts w:hint="eastAsia"/>
                      <w:lang w:val="en-US" w:eastAsia="zh-CN"/>
                    </w:rPr>
                    <w:t>6</w:t>
                  </w:r>
                </w:p>
              </w:tc>
              <w:tc>
                <w:tcPr>
                  <w:tcW w:w="1379" w:type="dxa"/>
                  <w:vMerge w:val="continue"/>
                  <w:tcBorders>
                    <w:tl2br w:val="nil"/>
                    <w:tr2bl w:val="nil"/>
                  </w:tcBorders>
                  <w:vAlign w:val="center"/>
                </w:tcPr>
                <w:p w14:paraId="2279917A">
                  <w:pPr>
                    <w:adjustRightInd w:val="0"/>
                    <w:snapToGrid w:val="0"/>
                    <w:spacing w:line="240" w:lineRule="auto"/>
                    <w:jc w:val="center"/>
                    <w:rPr>
                      <w:color w:val="000000" w:themeColor="text1"/>
                      <w:sz w:val="21"/>
                      <w14:textFill>
                        <w14:solidFill>
                          <w14:schemeClr w14:val="tx1"/>
                        </w14:solidFill>
                      </w14:textFill>
                    </w:rPr>
                  </w:pPr>
                </w:p>
              </w:tc>
              <w:tc>
                <w:tcPr>
                  <w:tcW w:w="1877" w:type="dxa"/>
                  <w:tcBorders>
                    <w:tl2br w:val="nil"/>
                    <w:tr2bl w:val="nil"/>
                  </w:tcBorders>
                  <w:vAlign w:val="center"/>
                </w:tcPr>
                <w:p w14:paraId="54643B45">
                  <w:pPr>
                    <w:pStyle w:val="14"/>
                    <w:bidi w:val="0"/>
                    <w:rPr>
                      <w:color w:val="000000" w:themeColor="text1"/>
                      <w:sz w:val="21"/>
                      <w14:textFill>
                        <w14:solidFill>
                          <w14:schemeClr w14:val="tx1"/>
                        </w14:solidFill>
                      </w14:textFill>
                    </w:rPr>
                  </w:pPr>
                  <w:r>
                    <w:rPr>
                      <w:rFonts w:hint="eastAsia"/>
                      <w:lang w:val="en-US" w:eastAsia="zh-CN"/>
                    </w:rPr>
                    <w:t>26.6</w:t>
                  </w:r>
                </w:p>
              </w:tc>
              <w:tc>
                <w:tcPr>
                  <w:tcW w:w="1259" w:type="dxa"/>
                  <w:tcBorders>
                    <w:tl2br w:val="nil"/>
                    <w:tr2bl w:val="nil"/>
                  </w:tcBorders>
                  <w:vAlign w:val="center"/>
                </w:tcPr>
                <w:p w14:paraId="372A1BE8">
                  <w:pPr>
                    <w:pStyle w:val="14"/>
                    <w:bidi w:val="0"/>
                    <w:rPr>
                      <w:color w:val="000000" w:themeColor="text1"/>
                      <w14:textFill>
                        <w14:solidFill>
                          <w14:schemeClr w14:val="tx1"/>
                        </w14:solidFill>
                      </w14:textFill>
                    </w:rPr>
                  </w:pPr>
                  <w:r>
                    <w:rPr>
                      <w:rFonts w:hint="eastAsia"/>
                      <w:lang w:val="en-US" w:eastAsia="zh-CN"/>
                    </w:rPr>
                    <w:t>0.0113</w:t>
                  </w:r>
                </w:p>
              </w:tc>
            </w:tr>
            <w:tr w14:paraId="1072B7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continue"/>
                  <w:tcBorders>
                    <w:tl2br w:val="nil"/>
                    <w:tr2bl w:val="nil"/>
                  </w:tcBorders>
                  <w:vAlign w:val="center"/>
                </w:tcPr>
                <w:p w14:paraId="32A2F3A3">
                  <w:pPr>
                    <w:adjustRightInd w:val="0"/>
                    <w:snapToGrid w:val="0"/>
                    <w:spacing w:line="240" w:lineRule="auto"/>
                    <w:jc w:val="center"/>
                    <w:rPr>
                      <w:color w:val="000000" w:themeColor="text1"/>
                      <w:sz w:val="21"/>
                      <w14:textFill>
                        <w14:solidFill>
                          <w14:schemeClr w14:val="tx1"/>
                        </w14:solidFill>
                      </w14:textFill>
                    </w:rPr>
                  </w:pPr>
                </w:p>
              </w:tc>
              <w:tc>
                <w:tcPr>
                  <w:tcW w:w="1018" w:type="dxa"/>
                  <w:vMerge w:val="continue"/>
                  <w:tcBorders>
                    <w:tl2br w:val="nil"/>
                    <w:tr2bl w:val="nil"/>
                  </w:tcBorders>
                  <w:vAlign w:val="center"/>
                </w:tcPr>
                <w:p w14:paraId="60811D67">
                  <w:pPr>
                    <w:adjustRightInd w:val="0"/>
                    <w:snapToGrid w:val="0"/>
                    <w:spacing w:line="240" w:lineRule="auto"/>
                    <w:jc w:val="center"/>
                    <w:rPr>
                      <w:color w:val="000000" w:themeColor="text1"/>
                      <w:sz w:val="21"/>
                      <w14:textFill>
                        <w14:solidFill>
                          <w14:schemeClr w14:val="tx1"/>
                        </w14:solidFill>
                      </w14:textFill>
                    </w:rPr>
                  </w:pPr>
                </w:p>
              </w:tc>
              <w:tc>
                <w:tcPr>
                  <w:tcW w:w="1263" w:type="dxa"/>
                  <w:tcBorders>
                    <w:tl2br w:val="nil"/>
                    <w:tr2bl w:val="nil"/>
                  </w:tcBorders>
                  <w:vAlign w:val="center"/>
                </w:tcPr>
                <w:p w14:paraId="03AD80D5">
                  <w:pPr>
                    <w:pStyle w:val="14"/>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总磷</w:t>
                  </w:r>
                </w:p>
              </w:tc>
              <w:tc>
                <w:tcPr>
                  <w:tcW w:w="1351" w:type="dxa"/>
                  <w:vMerge w:val="continue"/>
                  <w:tcBorders>
                    <w:tl2br w:val="nil"/>
                    <w:tr2bl w:val="nil"/>
                  </w:tcBorders>
                  <w:vAlign w:val="center"/>
                </w:tcPr>
                <w:p w14:paraId="2123439C">
                  <w:pPr>
                    <w:adjustRightInd w:val="0"/>
                    <w:snapToGrid w:val="0"/>
                    <w:spacing w:line="240" w:lineRule="auto"/>
                    <w:jc w:val="center"/>
                    <w:rPr>
                      <w:color w:val="000000" w:themeColor="text1"/>
                      <w:sz w:val="21"/>
                      <w14:textFill>
                        <w14:solidFill>
                          <w14:schemeClr w14:val="tx1"/>
                        </w14:solidFill>
                      </w14:textFill>
                    </w:rPr>
                  </w:pPr>
                </w:p>
              </w:tc>
              <w:tc>
                <w:tcPr>
                  <w:tcW w:w="1607" w:type="dxa"/>
                  <w:tcBorders>
                    <w:tl2br w:val="nil"/>
                    <w:tr2bl w:val="nil"/>
                  </w:tcBorders>
                  <w:vAlign w:val="center"/>
                </w:tcPr>
                <w:p w14:paraId="0329217D">
                  <w:pPr>
                    <w:pStyle w:val="14"/>
                    <w:bidi w:val="0"/>
                    <w:rPr>
                      <w:rFonts w:hint="eastAsia"/>
                      <w:sz w:val="21"/>
                    </w:rPr>
                  </w:pPr>
                  <w:r>
                    <w:rPr>
                      <w:rFonts w:hint="eastAsia"/>
                      <w:lang w:val="en-US" w:eastAsia="zh-CN"/>
                    </w:rPr>
                    <w:t>4.1</w:t>
                  </w:r>
                </w:p>
              </w:tc>
              <w:tc>
                <w:tcPr>
                  <w:tcW w:w="1190" w:type="dxa"/>
                  <w:tcBorders>
                    <w:tl2br w:val="nil"/>
                    <w:tr2bl w:val="nil"/>
                  </w:tcBorders>
                  <w:vAlign w:val="center"/>
                </w:tcPr>
                <w:p w14:paraId="1AA0DEEA">
                  <w:pPr>
                    <w:pStyle w:val="14"/>
                    <w:bidi w:val="0"/>
                    <w:rPr>
                      <w:rFonts w:hint="eastAsia"/>
                    </w:rPr>
                  </w:pPr>
                  <w:r>
                    <w:rPr>
                      <w:rFonts w:hint="eastAsia"/>
                      <w:lang w:val="en-US" w:eastAsia="zh-CN"/>
                    </w:rPr>
                    <w:t>0.0018</w:t>
                  </w:r>
                </w:p>
              </w:tc>
              <w:tc>
                <w:tcPr>
                  <w:tcW w:w="1191" w:type="dxa"/>
                  <w:vMerge w:val="continue"/>
                  <w:tcBorders>
                    <w:tl2br w:val="nil"/>
                    <w:tr2bl w:val="nil"/>
                  </w:tcBorders>
                  <w:vAlign w:val="center"/>
                </w:tcPr>
                <w:p w14:paraId="5012E1F6">
                  <w:pPr>
                    <w:adjustRightInd w:val="0"/>
                    <w:snapToGrid w:val="0"/>
                    <w:spacing w:line="240" w:lineRule="auto"/>
                    <w:jc w:val="center"/>
                    <w:rPr>
                      <w:color w:val="000000" w:themeColor="text1"/>
                      <w:sz w:val="21"/>
                      <w14:textFill>
                        <w14:solidFill>
                          <w14:schemeClr w14:val="tx1"/>
                        </w14:solidFill>
                      </w14:textFill>
                    </w:rPr>
                  </w:pPr>
                </w:p>
              </w:tc>
              <w:tc>
                <w:tcPr>
                  <w:tcW w:w="891" w:type="dxa"/>
                  <w:tcBorders>
                    <w:tl2br w:val="nil"/>
                    <w:tr2bl w:val="nil"/>
                  </w:tcBorders>
                  <w:vAlign w:val="center"/>
                </w:tcPr>
                <w:p w14:paraId="2D35E7BA">
                  <w:pPr>
                    <w:pStyle w:val="14"/>
                    <w:bidi w:val="0"/>
                    <w:rPr>
                      <w:rFonts w:hint="eastAsia"/>
                      <w:sz w:val="21"/>
                    </w:rPr>
                  </w:pPr>
                  <w:r>
                    <w:rPr>
                      <w:rFonts w:hint="eastAsia"/>
                      <w:lang w:val="en-US" w:eastAsia="zh-CN"/>
                    </w:rPr>
                    <w:t>5</w:t>
                  </w:r>
                </w:p>
              </w:tc>
              <w:tc>
                <w:tcPr>
                  <w:tcW w:w="1379" w:type="dxa"/>
                  <w:vMerge w:val="continue"/>
                  <w:tcBorders>
                    <w:tl2br w:val="nil"/>
                    <w:tr2bl w:val="nil"/>
                  </w:tcBorders>
                  <w:vAlign w:val="center"/>
                </w:tcPr>
                <w:p w14:paraId="5B605D25">
                  <w:pPr>
                    <w:adjustRightInd w:val="0"/>
                    <w:snapToGrid w:val="0"/>
                    <w:spacing w:line="240" w:lineRule="auto"/>
                    <w:jc w:val="center"/>
                    <w:rPr>
                      <w:color w:val="000000" w:themeColor="text1"/>
                      <w:sz w:val="21"/>
                      <w14:textFill>
                        <w14:solidFill>
                          <w14:schemeClr w14:val="tx1"/>
                        </w14:solidFill>
                      </w14:textFill>
                    </w:rPr>
                  </w:pPr>
                </w:p>
              </w:tc>
              <w:tc>
                <w:tcPr>
                  <w:tcW w:w="1877" w:type="dxa"/>
                  <w:tcBorders>
                    <w:tl2br w:val="nil"/>
                    <w:tr2bl w:val="nil"/>
                  </w:tcBorders>
                  <w:vAlign w:val="center"/>
                </w:tcPr>
                <w:p w14:paraId="36DA0B49">
                  <w:pPr>
                    <w:pStyle w:val="14"/>
                    <w:bidi w:val="0"/>
                    <w:rPr>
                      <w:rFonts w:hint="eastAsia"/>
                      <w:sz w:val="21"/>
                    </w:rPr>
                  </w:pPr>
                  <w:r>
                    <w:rPr>
                      <w:rFonts w:hint="eastAsia"/>
                      <w:lang w:val="en-US" w:eastAsia="zh-CN"/>
                    </w:rPr>
                    <w:t>3.9</w:t>
                  </w:r>
                </w:p>
              </w:tc>
              <w:tc>
                <w:tcPr>
                  <w:tcW w:w="1259" w:type="dxa"/>
                  <w:tcBorders>
                    <w:tl2br w:val="nil"/>
                    <w:tr2bl w:val="nil"/>
                  </w:tcBorders>
                  <w:vAlign w:val="center"/>
                </w:tcPr>
                <w:p w14:paraId="00182975">
                  <w:pPr>
                    <w:pStyle w:val="14"/>
                    <w:bidi w:val="0"/>
                    <w:rPr>
                      <w:rFonts w:hint="eastAsia"/>
                    </w:rPr>
                  </w:pPr>
                  <w:r>
                    <w:rPr>
                      <w:rFonts w:hint="eastAsia"/>
                      <w:lang w:val="en-US" w:eastAsia="zh-CN"/>
                    </w:rPr>
                    <w:t>0.0017</w:t>
                  </w:r>
                </w:p>
              </w:tc>
            </w:tr>
            <w:tr w14:paraId="0E4C5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1285" w:type="dxa"/>
                  <w:vMerge w:val="continue"/>
                  <w:tcBorders>
                    <w:tl2br w:val="nil"/>
                    <w:tr2bl w:val="nil"/>
                  </w:tcBorders>
                  <w:vAlign w:val="center"/>
                </w:tcPr>
                <w:p w14:paraId="72067550">
                  <w:pPr>
                    <w:adjustRightInd w:val="0"/>
                    <w:snapToGrid w:val="0"/>
                    <w:spacing w:line="240" w:lineRule="auto"/>
                    <w:jc w:val="center"/>
                    <w:rPr>
                      <w:color w:val="000000" w:themeColor="text1"/>
                      <w:sz w:val="21"/>
                      <w14:textFill>
                        <w14:solidFill>
                          <w14:schemeClr w14:val="tx1"/>
                        </w14:solidFill>
                      </w14:textFill>
                    </w:rPr>
                  </w:pPr>
                </w:p>
              </w:tc>
              <w:tc>
                <w:tcPr>
                  <w:tcW w:w="1018" w:type="dxa"/>
                  <w:vMerge w:val="continue"/>
                  <w:tcBorders>
                    <w:tl2br w:val="nil"/>
                    <w:tr2bl w:val="nil"/>
                  </w:tcBorders>
                  <w:vAlign w:val="center"/>
                </w:tcPr>
                <w:p w14:paraId="69C522C2">
                  <w:pPr>
                    <w:adjustRightInd w:val="0"/>
                    <w:snapToGrid w:val="0"/>
                    <w:spacing w:line="240" w:lineRule="auto"/>
                    <w:jc w:val="center"/>
                    <w:rPr>
                      <w:color w:val="000000" w:themeColor="text1"/>
                      <w:sz w:val="21"/>
                      <w14:textFill>
                        <w14:solidFill>
                          <w14:schemeClr w14:val="tx1"/>
                        </w14:solidFill>
                      </w14:textFill>
                    </w:rPr>
                  </w:pPr>
                </w:p>
              </w:tc>
              <w:tc>
                <w:tcPr>
                  <w:tcW w:w="1263" w:type="dxa"/>
                  <w:tcBorders>
                    <w:tl2br w:val="nil"/>
                    <w:tr2bl w:val="nil"/>
                  </w:tcBorders>
                  <w:vAlign w:val="center"/>
                </w:tcPr>
                <w:p w14:paraId="30E2636B">
                  <w:pPr>
                    <w:pStyle w:val="14"/>
                    <w:rPr>
                      <w:color w:val="000000" w:themeColor="text1"/>
                      <w14:textFill>
                        <w14:solidFill>
                          <w14:schemeClr w14:val="tx1"/>
                        </w14:solidFill>
                      </w14:textFill>
                    </w:rPr>
                  </w:pPr>
                  <w:r>
                    <w:rPr>
                      <w:rFonts w:hint="eastAsia"/>
                      <w:color w:val="000000" w:themeColor="text1"/>
                      <w14:textFill>
                        <w14:solidFill>
                          <w14:schemeClr w14:val="tx1"/>
                        </w14:solidFill>
                      </w14:textFill>
                    </w:rPr>
                    <w:t>动植物油</w:t>
                  </w:r>
                </w:p>
              </w:tc>
              <w:tc>
                <w:tcPr>
                  <w:tcW w:w="1351" w:type="dxa"/>
                  <w:vMerge w:val="continue"/>
                  <w:tcBorders>
                    <w:tl2br w:val="nil"/>
                    <w:tr2bl w:val="nil"/>
                  </w:tcBorders>
                  <w:vAlign w:val="center"/>
                </w:tcPr>
                <w:p w14:paraId="5A26C4B9">
                  <w:pPr>
                    <w:adjustRightInd w:val="0"/>
                    <w:snapToGrid w:val="0"/>
                    <w:spacing w:line="240" w:lineRule="auto"/>
                    <w:jc w:val="center"/>
                    <w:rPr>
                      <w:color w:val="000000" w:themeColor="text1"/>
                      <w:sz w:val="21"/>
                      <w14:textFill>
                        <w14:solidFill>
                          <w14:schemeClr w14:val="tx1"/>
                        </w14:solidFill>
                      </w14:textFill>
                    </w:rPr>
                  </w:pPr>
                </w:p>
              </w:tc>
              <w:tc>
                <w:tcPr>
                  <w:tcW w:w="1607" w:type="dxa"/>
                  <w:tcBorders>
                    <w:tl2br w:val="nil"/>
                    <w:tr2bl w:val="nil"/>
                  </w:tcBorders>
                  <w:vAlign w:val="center"/>
                </w:tcPr>
                <w:p w14:paraId="599DB8E1">
                  <w:pPr>
                    <w:pStyle w:val="14"/>
                    <w:bidi w:val="0"/>
                    <w:rPr>
                      <w:color w:val="000000" w:themeColor="text1"/>
                      <w:sz w:val="21"/>
                      <w14:textFill>
                        <w14:solidFill>
                          <w14:schemeClr w14:val="tx1"/>
                        </w14:solidFill>
                      </w14:textFill>
                    </w:rPr>
                  </w:pPr>
                  <w:r>
                    <w:rPr>
                      <w:rFonts w:hint="eastAsia"/>
                      <w:lang w:val="en-US" w:eastAsia="zh-CN"/>
                    </w:rPr>
                    <w:t>20</w:t>
                  </w:r>
                </w:p>
              </w:tc>
              <w:tc>
                <w:tcPr>
                  <w:tcW w:w="1190" w:type="dxa"/>
                  <w:tcBorders>
                    <w:tl2br w:val="nil"/>
                    <w:tr2bl w:val="nil"/>
                  </w:tcBorders>
                  <w:vAlign w:val="center"/>
                </w:tcPr>
                <w:p w14:paraId="741AEE1B">
                  <w:pPr>
                    <w:pStyle w:val="14"/>
                    <w:bidi w:val="0"/>
                    <w:rPr>
                      <w:color w:val="000000" w:themeColor="text1"/>
                      <w14:textFill>
                        <w14:solidFill>
                          <w14:schemeClr w14:val="tx1"/>
                        </w14:solidFill>
                      </w14:textFill>
                    </w:rPr>
                  </w:pPr>
                  <w:r>
                    <w:rPr>
                      <w:rFonts w:hint="eastAsia"/>
                      <w:lang w:val="en-US" w:eastAsia="zh-CN"/>
                    </w:rPr>
                    <w:t>0.0085</w:t>
                  </w:r>
                </w:p>
              </w:tc>
              <w:tc>
                <w:tcPr>
                  <w:tcW w:w="1191" w:type="dxa"/>
                  <w:vMerge w:val="continue"/>
                  <w:tcBorders>
                    <w:tl2br w:val="nil"/>
                    <w:tr2bl w:val="nil"/>
                  </w:tcBorders>
                  <w:vAlign w:val="center"/>
                </w:tcPr>
                <w:p w14:paraId="4680B9A2">
                  <w:pPr>
                    <w:adjustRightInd w:val="0"/>
                    <w:snapToGrid w:val="0"/>
                    <w:spacing w:line="240" w:lineRule="auto"/>
                    <w:jc w:val="center"/>
                    <w:rPr>
                      <w:color w:val="000000" w:themeColor="text1"/>
                      <w:sz w:val="21"/>
                      <w14:textFill>
                        <w14:solidFill>
                          <w14:schemeClr w14:val="tx1"/>
                        </w14:solidFill>
                      </w14:textFill>
                    </w:rPr>
                  </w:pPr>
                </w:p>
              </w:tc>
              <w:tc>
                <w:tcPr>
                  <w:tcW w:w="891" w:type="dxa"/>
                  <w:tcBorders>
                    <w:tl2br w:val="nil"/>
                    <w:tr2bl w:val="nil"/>
                  </w:tcBorders>
                  <w:vAlign w:val="center"/>
                </w:tcPr>
                <w:p w14:paraId="046E8A08">
                  <w:pPr>
                    <w:pStyle w:val="14"/>
                    <w:bidi w:val="0"/>
                    <w:rPr>
                      <w:color w:val="000000" w:themeColor="text1"/>
                      <w:sz w:val="21"/>
                      <w14:textFill>
                        <w14:solidFill>
                          <w14:schemeClr w14:val="tx1"/>
                        </w14:solidFill>
                      </w14:textFill>
                    </w:rPr>
                  </w:pPr>
                  <w:r>
                    <w:rPr>
                      <w:rFonts w:hint="eastAsia"/>
                      <w:lang w:val="en-US" w:eastAsia="zh-CN"/>
                    </w:rPr>
                    <w:t>65</w:t>
                  </w:r>
                </w:p>
              </w:tc>
              <w:tc>
                <w:tcPr>
                  <w:tcW w:w="1379" w:type="dxa"/>
                  <w:vMerge w:val="continue"/>
                  <w:tcBorders>
                    <w:tl2br w:val="nil"/>
                    <w:tr2bl w:val="nil"/>
                  </w:tcBorders>
                  <w:vAlign w:val="center"/>
                </w:tcPr>
                <w:p w14:paraId="5739E08D">
                  <w:pPr>
                    <w:adjustRightInd w:val="0"/>
                    <w:snapToGrid w:val="0"/>
                    <w:spacing w:line="240" w:lineRule="auto"/>
                    <w:jc w:val="center"/>
                    <w:rPr>
                      <w:color w:val="000000" w:themeColor="text1"/>
                      <w:sz w:val="21"/>
                      <w14:textFill>
                        <w14:solidFill>
                          <w14:schemeClr w14:val="tx1"/>
                        </w14:solidFill>
                      </w14:textFill>
                    </w:rPr>
                  </w:pPr>
                </w:p>
              </w:tc>
              <w:tc>
                <w:tcPr>
                  <w:tcW w:w="1877" w:type="dxa"/>
                  <w:tcBorders>
                    <w:tl2br w:val="nil"/>
                    <w:tr2bl w:val="nil"/>
                  </w:tcBorders>
                  <w:vAlign w:val="center"/>
                </w:tcPr>
                <w:p w14:paraId="404E7A43">
                  <w:pPr>
                    <w:pStyle w:val="14"/>
                    <w:bidi w:val="0"/>
                    <w:rPr>
                      <w:color w:val="000000" w:themeColor="text1"/>
                      <w:sz w:val="21"/>
                      <w14:textFill>
                        <w14:solidFill>
                          <w14:schemeClr w14:val="tx1"/>
                        </w14:solidFill>
                      </w14:textFill>
                    </w:rPr>
                  </w:pPr>
                  <w:r>
                    <w:rPr>
                      <w:rFonts w:hint="eastAsia"/>
                      <w:lang w:val="en-US" w:eastAsia="zh-CN"/>
                    </w:rPr>
                    <w:t>7</w:t>
                  </w:r>
                </w:p>
              </w:tc>
              <w:tc>
                <w:tcPr>
                  <w:tcW w:w="1259" w:type="dxa"/>
                  <w:tcBorders>
                    <w:tl2br w:val="nil"/>
                    <w:tr2bl w:val="nil"/>
                  </w:tcBorders>
                  <w:vAlign w:val="center"/>
                </w:tcPr>
                <w:p w14:paraId="2A279D09">
                  <w:pPr>
                    <w:pStyle w:val="14"/>
                    <w:bidi w:val="0"/>
                    <w:rPr>
                      <w:color w:val="000000" w:themeColor="text1"/>
                      <w14:textFill>
                        <w14:solidFill>
                          <w14:schemeClr w14:val="tx1"/>
                        </w14:solidFill>
                      </w14:textFill>
                    </w:rPr>
                  </w:pPr>
                  <w:r>
                    <w:rPr>
                      <w:rFonts w:hint="eastAsia"/>
                      <w:lang w:val="en-US" w:eastAsia="zh-CN"/>
                    </w:rPr>
                    <w:t>0.003</w:t>
                  </w:r>
                </w:p>
              </w:tc>
            </w:tr>
          </w:tbl>
          <w:p w14:paraId="04499349">
            <w:pPr>
              <w:pStyle w:val="14"/>
            </w:pPr>
          </w:p>
          <w:p w14:paraId="44AFCBBB">
            <w:pPr>
              <w:ind w:firstLine="482" w:firstLineChars="200"/>
              <w:rPr>
                <w:b/>
                <w:bCs/>
              </w:rPr>
            </w:pPr>
            <w:r>
              <w:rPr>
                <w:rFonts w:hint="eastAsia"/>
                <w:b/>
                <w:bCs/>
              </w:rPr>
              <w:t>4、</w:t>
            </w:r>
            <w:r>
              <w:rPr>
                <w:b/>
                <w:bCs/>
              </w:rPr>
              <w:t>排放口基本情况</w:t>
            </w:r>
          </w:p>
          <w:p w14:paraId="76616C5A">
            <w:pPr>
              <w:adjustRightInd w:val="0"/>
              <w:snapToGrid w:val="0"/>
              <w:ind w:firstLine="480" w:firstLineChars="200"/>
            </w:pPr>
            <w:r>
              <w:rPr>
                <w:rFonts w:hint="eastAsia"/>
                <w:lang w:eastAsia="zh-CN"/>
              </w:rPr>
              <w:t>软水器制备纯水后产生少量浓水属于清净下水，直接排入园区雨水管网；球罐储存过程冷却降温用水，15%蒸发损耗，其余在球罐下方汇集，经管道输送返回防晒循环水池内循环回用，不外排；吸氨器冷却用水进入凉水塔冷却，凉水塔的水蒸发损耗2%，其余水经过冷却后循环回用于吸氨器冷却用水，并相应地补充蒸发损耗的水量；本项目尾气吸收塔喷淋用水均进入吸氨器回用于项目氨水生产，不外排；本项目</w:t>
            </w:r>
            <w:r>
              <w:rPr>
                <w:rFonts w:hint="eastAsia"/>
              </w:rPr>
              <w:t>初期雨水在初期雨水池内进行暂存，交由有资质的污水处理单位安排槽罐车清运处置，不外排；本项目生活污水为间接排放，本项目生活污水进入项目现有三级化粪池进行处理，处理后尾水达到《水污染物排放限值》（DB44/26-2001）表4第二类污染物最高允许排放浓度的第二时段三级标准后，经</w:t>
            </w:r>
            <w:r>
              <w:rPr>
                <w:rFonts w:hint="eastAsia"/>
                <w:lang w:eastAsia="zh-CN"/>
              </w:rPr>
              <w:t>园区</w:t>
            </w:r>
            <w:r>
              <w:rPr>
                <w:rFonts w:hint="eastAsia"/>
              </w:rPr>
              <w:t>污水管网排入</w:t>
            </w:r>
            <w:r>
              <w:rPr>
                <w:rFonts w:hint="eastAsia"/>
                <w:lang w:eastAsia="zh-CN"/>
              </w:rPr>
              <w:t>园区</w:t>
            </w:r>
            <w:r>
              <w:rPr>
                <w:rFonts w:hint="eastAsia"/>
              </w:rPr>
              <w:t>污水处理厂。</w:t>
            </w:r>
          </w:p>
          <w:p w14:paraId="74DFF2CF">
            <w:pPr>
              <w:autoSpaceDE w:val="0"/>
              <w:autoSpaceDN w:val="0"/>
              <w:adjustRightInd w:val="0"/>
              <w:snapToGrid w:val="0"/>
              <w:spacing w:line="240" w:lineRule="auto"/>
              <w:jc w:val="center"/>
              <w:textAlignment w:val="baseline"/>
              <w:rPr>
                <w:b/>
                <w:kern w:val="24"/>
                <w:szCs w:val="20"/>
              </w:rPr>
            </w:pPr>
            <w:r>
              <w:rPr>
                <w:rFonts w:hint="eastAsia"/>
                <w:b/>
                <w:kern w:val="24"/>
                <w:szCs w:val="20"/>
              </w:rPr>
              <w:t>表</w:t>
            </w:r>
            <w:r>
              <w:rPr>
                <w:b/>
                <w:kern w:val="24"/>
                <w:szCs w:val="20"/>
              </w:rPr>
              <w:t>4-</w:t>
            </w:r>
            <w:r>
              <w:rPr>
                <w:rFonts w:hint="eastAsia"/>
                <w:b/>
                <w:kern w:val="24"/>
                <w:szCs w:val="20"/>
                <w:lang w:val="en-US" w:eastAsia="zh-CN"/>
              </w:rPr>
              <w:t>18</w:t>
            </w:r>
            <w:r>
              <w:rPr>
                <w:b/>
                <w:kern w:val="24"/>
                <w:szCs w:val="20"/>
              </w:rPr>
              <w:t xml:space="preserve"> 废水类别、污染物及污染治理设施信息表</w:t>
            </w:r>
          </w:p>
          <w:tbl>
            <w:tblPr>
              <w:tblStyle w:val="11"/>
              <w:tblW w:w="1496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404"/>
              <w:gridCol w:w="551"/>
              <w:gridCol w:w="2524"/>
              <w:gridCol w:w="1601"/>
              <w:gridCol w:w="1356"/>
              <w:gridCol w:w="966"/>
              <w:gridCol w:w="1154"/>
              <w:gridCol w:w="2096"/>
              <w:gridCol w:w="721"/>
              <w:gridCol w:w="957"/>
              <w:gridCol w:w="2638"/>
            </w:tblGrid>
            <w:tr w14:paraId="61D759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9" w:hRule="atLeast"/>
                <w:jc w:val="center"/>
              </w:trPr>
              <w:tc>
                <w:tcPr>
                  <w:tcW w:w="404" w:type="dxa"/>
                  <w:vMerge w:val="restart"/>
                  <w:tcBorders>
                    <w:tl2br w:val="nil"/>
                    <w:tr2bl w:val="nil"/>
                  </w:tcBorders>
                  <w:vAlign w:val="center"/>
                </w:tcPr>
                <w:p w14:paraId="7A75F566">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序号</w:t>
                  </w:r>
                </w:p>
              </w:tc>
              <w:tc>
                <w:tcPr>
                  <w:tcW w:w="551" w:type="dxa"/>
                  <w:vMerge w:val="restart"/>
                  <w:tcBorders>
                    <w:tl2br w:val="nil"/>
                    <w:tr2bl w:val="nil"/>
                  </w:tcBorders>
                  <w:vAlign w:val="center"/>
                </w:tcPr>
                <w:p w14:paraId="06F5DCA1">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废水类别</w:t>
                  </w:r>
                </w:p>
              </w:tc>
              <w:tc>
                <w:tcPr>
                  <w:tcW w:w="2524" w:type="dxa"/>
                  <w:vMerge w:val="restart"/>
                  <w:tcBorders>
                    <w:tl2br w:val="nil"/>
                    <w:tr2bl w:val="nil"/>
                  </w:tcBorders>
                  <w:vAlign w:val="center"/>
                </w:tcPr>
                <w:p w14:paraId="148AF402">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污染物种类</w:t>
                  </w:r>
                </w:p>
              </w:tc>
              <w:tc>
                <w:tcPr>
                  <w:tcW w:w="1601" w:type="dxa"/>
                  <w:vMerge w:val="restart"/>
                  <w:tcBorders>
                    <w:tl2br w:val="nil"/>
                    <w:tr2bl w:val="nil"/>
                  </w:tcBorders>
                  <w:vAlign w:val="center"/>
                </w:tcPr>
                <w:p w14:paraId="24688F5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排放去向</w:t>
                  </w:r>
                </w:p>
              </w:tc>
              <w:tc>
                <w:tcPr>
                  <w:tcW w:w="1356" w:type="dxa"/>
                  <w:vMerge w:val="restart"/>
                  <w:tcBorders>
                    <w:tl2br w:val="nil"/>
                    <w:tr2bl w:val="nil"/>
                  </w:tcBorders>
                  <w:vAlign w:val="center"/>
                </w:tcPr>
                <w:p w14:paraId="0DEC94F6">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排放规律</w:t>
                  </w:r>
                </w:p>
              </w:tc>
              <w:tc>
                <w:tcPr>
                  <w:tcW w:w="4216" w:type="dxa"/>
                  <w:gridSpan w:val="3"/>
                  <w:tcBorders>
                    <w:tl2br w:val="nil"/>
                    <w:tr2bl w:val="nil"/>
                  </w:tcBorders>
                  <w:vAlign w:val="center"/>
                </w:tcPr>
                <w:p w14:paraId="7032CFE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污染治理设施</w:t>
                  </w:r>
                </w:p>
              </w:tc>
              <w:tc>
                <w:tcPr>
                  <w:tcW w:w="721" w:type="dxa"/>
                  <w:vMerge w:val="restart"/>
                  <w:tcBorders>
                    <w:tl2br w:val="nil"/>
                    <w:tr2bl w:val="nil"/>
                  </w:tcBorders>
                  <w:vAlign w:val="center"/>
                </w:tcPr>
                <w:p w14:paraId="72D65D23">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排放口编号</w:t>
                  </w:r>
                </w:p>
              </w:tc>
              <w:tc>
                <w:tcPr>
                  <w:tcW w:w="957" w:type="dxa"/>
                  <w:vMerge w:val="restart"/>
                  <w:tcBorders>
                    <w:tl2br w:val="nil"/>
                    <w:tr2bl w:val="nil"/>
                  </w:tcBorders>
                  <w:vAlign w:val="center"/>
                </w:tcPr>
                <w:p w14:paraId="1FAD0FBD">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排放口设置是否符合要求</w:t>
                  </w:r>
                </w:p>
              </w:tc>
              <w:tc>
                <w:tcPr>
                  <w:tcW w:w="2638" w:type="dxa"/>
                  <w:vMerge w:val="restart"/>
                  <w:tcBorders>
                    <w:tl2br w:val="nil"/>
                    <w:tr2bl w:val="nil"/>
                  </w:tcBorders>
                  <w:vAlign w:val="center"/>
                </w:tcPr>
                <w:p w14:paraId="0974222E">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排放口类型</w:t>
                  </w:r>
                </w:p>
              </w:tc>
            </w:tr>
            <w:tr w14:paraId="6B400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3" w:hRule="atLeast"/>
                <w:jc w:val="center"/>
              </w:trPr>
              <w:tc>
                <w:tcPr>
                  <w:tcW w:w="404" w:type="dxa"/>
                  <w:vMerge w:val="continue"/>
                  <w:tcBorders>
                    <w:tl2br w:val="nil"/>
                    <w:tr2bl w:val="nil"/>
                  </w:tcBorders>
                  <w:vAlign w:val="center"/>
                </w:tcPr>
                <w:p w14:paraId="3E59FC92">
                  <w:pPr>
                    <w:adjustRightInd w:val="0"/>
                    <w:snapToGrid w:val="0"/>
                    <w:spacing w:line="240" w:lineRule="auto"/>
                    <w:jc w:val="center"/>
                    <w:rPr>
                      <w:color w:val="000000" w:themeColor="text1"/>
                      <w:sz w:val="21"/>
                      <w14:textFill>
                        <w14:solidFill>
                          <w14:schemeClr w14:val="tx1"/>
                        </w14:solidFill>
                      </w14:textFill>
                    </w:rPr>
                  </w:pPr>
                </w:p>
              </w:tc>
              <w:tc>
                <w:tcPr>
                  <w:tcW w:w="551" w:type="dxa"/>
                  <w:vMerge w:val="continue"/>
                  <w:tcBorders>
                    <w:tl2br w:val="nil"/>
                    <w:tr2bl w:val="nil"/>
                  </w:tcBorders>
                  <w:vAlign w:val="center"/>
                </w:tcPr>
                <w:p w14:paraId="12D94BA7">
                  <w:pPr>
                    <w:adjustRightInd w:val="0"/>
                    <w:snapToGrid w:val="0"/>
                    <w:spacing w:line="240" w:lineRule="auto"/>
                    <w:jc w:val="center"/>
                    <w:rPr>
                      <w:color w:val="000000" w:themeColor="text1"/>
                      <w:sz w:val="21"/>
                      <w14:textFill>
                        <w14:solidFill>
                          <w14:schemeClr w14:val="tx1"/>
                        </w14:solidFill>
                      </w14:textFill>
                    </w:rPr>
                  </w:pPr>
                </w:p>
              </w:tc>
              <w:tc>
                <w:tcPr>
                  <w:tcW w:w="2524" w:type="dxa"/>
                  <w:vMerge w:val="continue"/>
                  <w:tcBorders>
                    <w:tl2br w:val="nil"/>
                    <w:tr2bl w:val="nil"/>
                  </w:tcBorders>
                  <w:vAlign w:val="center"/>
                </w:tcPr>
                <w:p w14:paraId="7004EE2D">
                  <w:pPr>
                    <w:adjustRightInd w:val="0"/>
                    <w:snapToGrid w:val="0"/>
                    <w:spacing w:line="240" w:lineRule="auto"/>
                    <w:jc w:val="center"/>
                    <w:rPr>
                      <w:color w:val="000000" w:themeColor="text1"/>
                      <w:sz w:val="21"/>
                      <w14:textFill>
                        <w14:solidFill>
                          <w14:schemeClr w14:val="tx1"/>
                        </w14:solidFill>
                      </w14:textFill>
                    </w:rPr>
                  </w:pPr>
                </w:p>
              </w:tc>
              <w:tc>
                <w:tcPr>
                  <w:tcW w:w="1601" w:type="dxa"/>
                  <w:vMerge w:val="continue"/>
                  <w:tcBorders>
                    <w:tl2br w:val="nil"/>
                    <w:tr2bl w:val="nil"/>
                  </w:tcBorders>
                  <w:vAlign w:val="center"/>
                </w:tcPr>
                <w:p w14:paraId="3553BCB4">
                  <w:pPr>
                    <w:adjustRightInd w:val="0"/>
                    <w:snapToGrid w:val="0"/>
                    <w:spacing w:line="240" w:lineRule="auto"/>
                    <w:jc w:val="center"/>
                    <w:rPr>
                      <w:color w:val="000000" w:themeColor="text1"/>
                      <w:sz w:val="21"/>
                      <w14:textFill>
                        <w14:solidFill>
                          <w14:schemeClr w14:val="tx1"/>
                        </w14:solidFill>
                      </w14:textFill>
                    </w:rPr>
                  </w:pPr>
                </w:p>
              </w:tc>
              <w:tc>
                <w:tcPr>
                  <w:tcW w:w="1356" w:type="dxa"/>
                  <w:vMerge w:val="continue"/>
                  <w:tcBorders>
                    <w:tl2br w:val="nil"/>
                    <w:tr2bl w:val="nil"/>
                  </w:tcBorders>
                  <w:vAlign w:val="center"/>
                </w:tcPr>
                <w:p w14:paraId="6088FD55">
                  <w:pPr>
                    <w:adjustRightInd w:val="0"/>
                    <w:snapToGrid w:val="0"/>
                    <w:spacing w:line="240" w:lineRule="auto"/>
                    <w:jc w:val="center"/>
                    <w:rPr>
                      <w:color w:val="000000" w:themeColor="text1"/>
                      <w:sz w:val="21"/>
                      <w14:textFill>
                        <w14:solidFill>
                          <w14:schemeClr w14:val="tx1"/>
                        </w14:solidFill>
                      </w14:textFill>
                    </w:rPr>
                  </w:pPr>
                </w:p>
              </w:tc>
              <w:tc>
                <w:tcPr>
                  <w:tcW w:w="966" w:type="dxa"/>
                  <w:tcBorders>
                    <w:tl2br w:val="nil"/>
                    <w:tr2bl w:val="nil"/>
                  </w:tcBorders>
                  <w:vAlign w:val="center"/>
                </w:tcPr>
                <w:p w14:paraId="6E2729C7">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污染治理设施编号</w:t>
                  </w:r>
                </w:p>
              </w:tc>
              <w:tc>
                <w:tcPr>
                  <w:tcW w:w="1154" w:type="dxa"/>
                  <w:tcBorders>
                    <w:tl2br w:val="nil"/>
                    <w:tr2bl w:val="nil"/>
                  </w:tcBorders>
                  <w:vAlign w:val="center"/>
                </w:tcPr>
                <w:p w14:paraId="4C06AA50">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污染治理设施名称</w:t>
                  </w:r>
                </w:p>
              </w:tc>
              <w:tc>
                <w:tcPr>
                  <w:tcW w:w="2096" w:type="dxa"/>
                  <w:tcBorders>
                    <w:tl2br w:val="nil"/>
                    <w:tr2bl w:val="nil"/>
                  </w:tcBorders>
                  <w:vAlign w:val="center"/>
                </w:tcPr>
                <w:p w14:paraId="292B737D">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污染治理设施工艺</w:t>
                  </w:r>
                </w:p>
              </w:tc>
              <w:tc>
                <w:tcPr>
                  <w:tcW w:w="721" w:type="dxa"/>
                  <w:vMerge w:val="continue"/>
                  <w:tcBorders>
                    <w:tl2br w:val="nil"/>
                    <w:tr2bl w:val="nil"/>
                  </w:tcBorders>
                  <w:vAlign w:val="center"/>
                </w:tcPr>
                <w:p w14:paraId="3F7020B0">
                  <w:pPr>
                    <w:adjustRightInd w:val="0"/>
                    <w:snapToGrid w:val="0"/>
                    <w:spacing w:line="240" w:lineRule="auto"/>
                    <w:jc w:val="center"/>
                    <w:rPr>
                      <w:color w:val="000000" w:themeColor="text1"/>
                      <w:sz w:val="21"/>
                      <w14:textFill>
                        <w14:solidFill>
                          <w14:schemeClr w14:val="tx1"/>
                        </w14:solidFill>
                      </w14:textFill>
                    </w:rPr>
                  </w:pPr>
                </w:p>
              </w:tc>
              <w:tc>
                <w:tcPr>
                  <w:tcW w:w="957" w:type="dxa"/>
                  <w:vMerge w:val="continue"/>
                  <w:tcBorders>
                    <w:tl2br w:val="nil"/>
                    <w:tr2bl w:val="nil"/>
                  </w:tcBorders>
                  <w:vAlign w:val="center"/>
                </w:tcPr>
                <w:p w14:paraId="03B86987">
                  <w:pPr>
                    <w:adjustRightInd w:val="0"/>
                    <w:snapToGrid w:val="0"/>
                    <w:spacing w:line="240" w:lineRule="auto"/>
                    <w:jc w:val="center"/>
                    <w:rPr>
                      <w:color w:val="000000" w:themeColor="text1"/>
                      <w:sz w:val="21"/>
                      <w14:textFill>
                        <w14:solidFill>
                          <w14:schemeClr w14:val="tx1"/>
                        </w14:solidFill>
                      </w14:textFill>
                    </w:rPr>
                  </w:pPr>
                </w:p>
              </w:tc>
              <w:tc>
                <w:tcPr>
                  <w:tcW w:w="2638" w:type="dxa"/>
                  <w:vMerge w:val="continue"/>
                  <w:tcBorders>
                    <w:tl2br w:val="nil"/>
                    <w:tr2bl w:val="nil"/>
                  </w:tcBorders>
                  <w:vAlign w:val="center"/>
                </w:tcPr>
                <w:p w14:paraId="32AB6102">
                  <w:pPr>
                    <w:adjustRightInd w:val="0"/>
                    <w:snapToGrid w:val="0"/>
                    <w:spacing w:line="240" w:lineRule="auto"/>
                    <w:jc w:val="center"/>
                    <w:rPr>
                      <w:color w:val="000000" w:themeColor="text1"/>
                      <w:sz w:val="21"/>
                      <w14:textFill>
                        <w14:solidFill>
                          <w14:schemeClr w14:val="tx1"/>
                        </w14:solidFill>
                      </w14:textFill>
                    </w:rPr>
                  </w:pPr>
                </w:p>
              </w:tc>
            </w:tr>
            <w:tr w14:paraId="3514B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404" w:type="dxa"/>
                  <w:tcBorders>
                    <w:tl2br w:val="nil"/>
                    <w:tr2bl w:val="nil"/>
                  </w:tcBorders>
                  <w:vAlign w:val="center"/>
                </w:tcPr>
                <w:p w14:paraId="37009E19">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551" w:type="dxa"/>
                  <w:tcBorders>
                    <w:tl2br w:val="nil"/>
                    <w:tr2bl w:val="nil"/>
                  </w:tcBorders>
                  <w:vAlign w:val="center"/>
                </w:tcPr>
                <w:p w14:paraId="09717E97">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生活污水</w:t>
                  </w:r>
                </w:p>
              </w:tc>
              <w:tc>
                <w:tcPr>
                  <w:tcW w:w="2524" w:type="dxa"/>
                  <w:tcBorders>
                    <w:tl2br w:val="nil"/>
                    <w:tr2bl w:val="nil"/>
                  </w:tcBorders>
                  <w:vAlign w:val="center"/>
                </w:tcPr>
                <w:p w14:paraId="69B17B37">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COD</w:t>
                  </w:r>
                  <w:r>
                    <w:rPr>
                      <w:rFonts w:hint="eastAsia"/>
                      <w:color w:val="000000" w:themeColor="text1"/>
                      <w:sz w:val="21"/>
                      <w:vertAlign w:val="subscript"/>
                      <w14:textFill>
                        <w14:solidFill>
                          <w14:schemeClr w14:val="tx1"/>
                        </w14:solidFill>
                      </w14:textFill>
                    </w:rPr>
                    <w:t>Cr</w:t>
                  </w:r>
                  <w:r>
                    <w:rPr>
                      <w:rFonts w:hint="eastAsia"/>
                      <w:color w:val="000000" w:themeColor="text1"/>
                      <w:sz w:val="21"/>
                      <w14:textFill>
                        <w14:solidFill>
                          <w14:schemeClr w14:val="tx1"/>
                        </w14:solidFill>
                      </w14:textFill>
                    </w:rPr>
                    <w:t>、BOD</w:t>
                  </w:r>
                  <w:r>
                    <w:rPr>
                      <w:rFonts w:hint="eastAsia"/>
                      <w:color w:val="000000" w:themeColor="text1"/>
                      <w:sz w:val="21"/>
                      <w:vertAlign w:val="subscript"/>
                      <w14:textFill>
                        <w14:solidFill>
                          <w14:schemeClr w14:val="tx1"/>
                        </w14:solidFill>
                      </w14:textFill>
                    </w:rPr>
                    <w:t>5</w:t>
                  </w:r>
                  <w:r>
                    <w:rPr>
                      <w:rFonts w:hint="eastAsia"/>
                      <w:color w:val="000000" w:themeColor="text1"/>
                      <w:sz w:val="21"/>
                      <w14:textFill>
                        <w14:solidFill>
                          <w14:schemeClr w14:val="tx1"/>
                        </w14:solidFill>
                      </w14:textFill>
                    </w:rPr>
                    <w:t>、SS、NH</w:t>
                  </w:r>
                  <w:r>
                    <w:rPr>
                      <w:rFonts w:hint="eastAsia"/>
                      <w:color w:val="000000" w:themeColor="text1"/>
                      <w:sz w:val="21"/>
                      <w:vertAlign w:val="subscript"/>
                      <w14:textFill>
                        <w14:solidFill>
                          <w14:schemeClr w14:val="tx1"/>
                        </w14:solidFill>
                      </w14:textFill>
                    </w:rPr>
                    <w:t>3</w:t>
                  </w:r>
                  <w:r>
                    <w:rPr>
                      <w:rFonts w:hint="eastAsia"/>
                      <w:color w:val="000000" w:themeColor="text1"/>
                      <w:sz w:val="21"/>
                      <w14:textFill>
                        <w14:solidFill>
                          <w14:schemeClr w14:val="tx1"/>
                        </w14:solidFill>
                      </w14:textFill>
                    </w:rPr>
                    <w:t>-N、植物油</w:t>
                  </w:r>
                </w:p>
              </w:tc>
              <w:tc>
                <w:tcPr>
                  <w:tcW w:w="1601" w:type="dxa"/>
                  <w:tcBorders>
                    <w:tl2br w:val="nil"/>
                    <w:tr2bl w:val="nil"/>
                  </w:tcBorders>
                  <w:vAlign w:val="center"/>
                </w:tcPr>
                <w:p w14:paraId="411AC2DA">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lang w:eastAsia="zh-CN"/>
                      <w14:textFill>
                        <w14:solidFill>
                          <w14:schemeClr w14:val="tx1"/>
                        </w14:solidFill>
                      </w14:textFill>
                    </w:rPr>
                    <w:t>园区</w:t>
                  </w:r>
                  <w:r>
                    <w:rPr>
                      <w:rFonts w:hint="eastAsia"/>
                      <w:color w:val="000000" w:themeColor="text1"/>
                      <w:sz w:val="21"/>
                      <w14:textFill>
                        <w14:solidFill>
                          <w14:schemeClr w14:val="tx1"/>
                        </w14:solidFill>
                      </w14:textFill>
                    </w:rPr>
                    <w:t>污水处理厂</w:t>
                  </w:r>
                </w:p>
              </w:tc>
              <w:tc>
                <w:tcPr>
                  <w:tcW w:w="1356" w:type="dxa"/>
                  <w:tcBorders>
                    <w:tl2br w:val="nil"/>
                    <w:tr2bl w:val="nil"/>
                  </w:tcBorders>
                  <w:vAlign w:val="center"/>
                </w:tcPr>
                <w:p w14:paraId="609293F3">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连续排放，流量不稳定，但有周期性规律</w:t>
                  </w:r>
                </w:p>
              </w:tc>
              <w:tc>
                <w:tcPr>
                  <w:tcW w:w="966" w:type="dxa"/>
                  <w:tcBorders>
                    <w:tl2br w:val="nil"/>
                    <w:tr2bl w:val="nil"/>
                  </w:tcBorders>
                  <w:vAlign w:val="center"/>
                </w:tcPr>
                <w:p w14:paraId="707704B1">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TW001</w:t>
                  </w:r>
                </w:p>
              </w:tc>
              <w:tc>
                <w:tcPr>
                  <w:tcW w:w="1154" w:type="dxa"/>
                  <w:tcBorders>
                    <w:tl2br w:val="nil"/>
                    <w:tr2bl w:val="nil"/>
                  </w:tcBorders>
                  <w:vAlign w:val="center"/>
                </w:tcPr>
                <w:p w14:paraId="1CB65E43">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三级化粪池</w:t>
                  </w:r>
                </w:p>
              </w:tc>
              <w:tc>
                <w:tcPr>
                  <w:tcW w:w="2096" w:type="dxa"/>
                  <w:tcBorders>
                    <w:tl2br w:val="nil"/>
                    <w:tr2bl w:val="nil"/>
                  </w:tcBorders>
                  <w:vAlign w:val="center"/>
                </w:tcPr>
                <w:p w14:paraId="29EF2DDB">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三级化粪池</w:t>
                  </w:r>
                </w:p>
              </w:tc>
              <w:tc>
                <w:tcPr>
                  <w:tcW w:w="721" w:type="dxa"/>
                  <w:tcBorders>
                    <w:tl2br w:val="nil"/>
                    <w:tr2bl w:val="nil"/>
                  </w:tcBorders>
                  <w:vAlign w:val="center"/>
                </w:tcPr>
                <w:p w14:paraId="7CAEF959">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DW001</w:t>
                  </w:r>
                </w:p>
              </w:tc>
              <w:tc>
                <w:tcPr>
                  <w:tcW w:w="957" w:type="dxa"/>
                  <w:tcBorders>
                    <w:tl2br w:val="nil"/>
                    <w:tr2bl w:val="nil"/>
                  </w:tcBorders>
                  <w:vAlign w:val="center"/>
                </w:tcPr>
                <w:p w14:paraId="30BB2683">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是</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否</w:t>
                  </w:r>
                </w:p>
              </w:tc>
              <w:tc>
                <w:tcPr>
                  <w:tcW w:w="2638" w:type="dxa"/>
                  <w:tcBorders>
                    <w:tl2br w:val="nil"/>
                    <w:tr2bl w:val="nil"/>
                  </w:tcBorders>
                  <w:vAlign w:val="center"/>
                </w:tcPr>
                <w:p w14:paraId="68EAAE55">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企业总排</w:t>
                  </w:r>
                </w:p>
                <w:p w14:paraId="04DB5C7E">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雨水排放</w:t>
                  </w:r>
                </w:p>
                <w:p w14:paraId="6CBA1864">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清净下水排放</w:t>
                  </w:r>
                </w:p>
                <w:p w14:paraId="354D60F2">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车间或车间处理设施排放</w:t>
                  </w:r>
                </w:p>
              </w:tc>
            </w:tr>
          </w:tbl>
          <w:p w14:paraId="6CFDB1C9">
            <w:pPr>
              <w:autoSpaceDE w:val="0"/>
              <w:autoSpaceDN w:val="0"/>
              <w:adjustRightInd w:val="0"/>
              <w:snapToGrid w:val="0"/>
              <w:spacing w:line="240" w:lineRule="auto"/>
              <w:jc w:val="center"/>
              <w:textAlignment w:val="baseline"/>
              <w:rPr>
                <w:b/>
                <w:kern w:val="24"/>
                <w:szCs w:val="20"/>
              </w:rPr>
            </w:pPr>
          </w:p>
          <w:p w14:paraId="13838ED3">
            <w:pPr>
              <w:adjustRightInd w:val="0"/>
              <w:snapToGrid w:val="0"/>
              <w:ind w:firstLine="482" w:firstLineChars="200"/>
              <w:rPr>
                <w:b/>
                <w:bCs/>
              </w:rPr>
            </w:pPr>
            <w:r>
              <w:rPr>
                <w:rFonts w:hint="eastAsia"/>
                <w:b/>
                <w:bCs/>
              </w:rPr>
              <w:t>5、项目废水监测计划</w:t>
            </w:r>
          </w:p>
          <w:p w14:paraId="005A7B1D">
            <w:pPr>
              <w:ind w:firstLine="480" w:firstLineChars="200"/>
            </w:pPr>
            <w:r>
              <w:rPr>
                <w:rFonts w:hint="eastAsia"/>
              </w:rPr>
              <w:t>根据《排污单位自行监测技术指南 总则》（HJ819-2017）和《排污许可证申请与核发技术规范 陶瓷砖瓦工业》（HJ 954-2018），本项目生活污水</w:t>
            </w:r>
            <w:r>
              <w:rPr>
                <w:rFonts w:hint="eastAsia"/>
                <w:lang w:eastAsia="zh-CN"/>
              </w:rPr>
              <w:t>和初期雨水</w:t>
            </w:r>
            <w:r>
              <w:rPr>
                <w:rFonts w:hint="eastAsia"/>
              </w:rPr>
              <w:t>属于间接排放，因此本项目废水可不进行自行监测。</w:t>
            </w:r>
          </w:p>
          <w:p w14:paraId="10D49A39">
            <w:pPr>
              <w:adjustRightInd w:val="0"/>
              <w:snapToGrid w:val="0"/>
              <w:ind w:firstLine="482" w:firstLineChars="200"/>
              <w:rPr>
                <w:b/>
                <w:bCs/>
              </w:rPr>
            </w:pPr>
            <w:r>
              <w:rPr>
                <w:rFonts w:hint="eastAsia"/>
                <w:b/>
                <w:bCs/>
              </w:rPr>
              <w:t>6、项目废水污染防治措施可行性分析</w:t>
            </w:r>
          </w:p>
          <w:p w14:paraId="13DCAAC5">
            <w:pPr>
              <w:ind w:firstLine="480" w:firstLineChars="200"/>
            </w:pPr>
            <w:r>
              <w:rPr>
                <w:rFonts w:hint="eastAsia"/>
              </w:rPr>
              <w:t>本项目生活污水经三级化粪池处理后，尾水经市政污水管网进入</w:t>
            </w:r>
            <w:r>
              <w:rPr>
                <w:rFonts w:hint="eastAsia"/>
                <w:lang w:eastAsia="zh-CN"/>
              </w:rPr>
              <w:t>园区</w:t>
            </w:r>
            <w:r>
              <w:rPr>
                <w:rFonts w:hint="eastAsia"/>
              </w:rPr>
              <w:t>污水处理厂进行处理。</w:t>
            </w:r>
          </w:p>
          <w:p w14:paraId="1209CD22">
            <w:pPr>
              <w:ind w:firstLine="482" w:firstLineChars="200"/>
              <w:rPr>
                <w:b/>
                <w:bCs/>
              </w:rPr>
            </w:pPr>
            <w:r>
              <w:rPr>
                <w:rFonts w:hint="eastAsia"/>
                <w:b/>
                <w:bCs/>
              </w:rPr>
              <w:t>依托</w:t>
            </w:r>
            <w:r>
              <w:rPr>
                <w:rFonts w:hint="eastAsia"/>
                <w:b/>
                <w:bCs/>
                <w:color w:val="000000"/>
              </w:rPr>
              <w:t>河口污</w:t>
            </w:r>
            <w:r>
              <w:rPr>
                <w:rFonts w:hint="eastAsia"/>
                <w:b/>
                <w:bCs/>
              </w:rPr>
              <w:t>水处理厂可行性分析</w:t>
            </w:r>
          </w:p>
          <w:p w14:paraId="2BA44EA0">
            <w:pPr>
              <w:adjustRightInd w:val="0"/>
              <w:snapToGrid w:val="0"/>
              <w:ind w:firstLine="480" w:firstLineChars="200"/>
            </w:pPr>
            <w:r>
              <w:rPr>
                <w:rFonts w:hint="eastAsia"/>
              </w:rPr>
              <w:t>（1）综合园区污水处理厂处理工艺综合园区污水处理厂位于云浮循环经济工业园区内，设计处理规模为5000m</w:t>
            </w:r>
            <w:r>
              <w:rPr>
                <w:rFonts w:hint="eastAsia"/>
                <w:vertAlign w:val="superscript"/>
              </w:rPr>
              <w:t>3</w:t>
            </w:r>
            <w:r>
              <w:rPr>
                <w:rFonts w:hint="eastAsia"/>
              </w:rPr>
              <w:t>/d，采用“混凝沉淀+生化+强化氧化法+砂滤+消毒”处理工艺。园区污水厂废水处理工艺流程具体见</w:t>
            </w:r>
            <w:r>
              <w:rPr>
                <w:rFonts w:hint="eastAsia"/>
                <w:color w:val="000000"/>
              </w:rPr>
              <w:t>图</w:t>
            </w:r>
            <w:r>
              <w:rPr>
                <w:rFonts w:hint="eastAsia"/>
                <w:color w:val="000000"/>
                <w:lang w:val="en-US" w:eastAsia="zh-CN"/>
              </w:rPr>
              <w:t>4</w:t>
            </w:r>
            <w:r>
              <w:rPr>
                <w:rFonts w:hint="eastAsia"/>
                <w:color w:val="000000"/>
              </w:rPr>
              <w:t>-2</w:t>
            </w:r>
            <w:r>
              <w:rPr>
                <w:rFonts w:hint="eastAsia"/>
              </w:rPr>
              <w:t>。目前废水经处理后回用于园区及周边企业用水，不外排。</w:t>
            </w:r>
          </w:p>
          <w:p w14:paraId="21375104">
            <w:pPr>
              <w:adjustRightInd w:val="0"/>
              <w:snapToGrid w:val="0"/>
              <w:ind w:firstLine="480" w:firstLineChars="200"/>
            </w:pPr>
            <w:r>
              <w:rPr>
                <w:rFonts w:hint="eastAsia"/>
              </w:rPr>
              <w:t>（2）本项目污水纳入综合园区污水处理厂处理可行性分析</w:t>
            </w:r>
          </w:p>
          <w:p w14:paraId="1435D091">
            <w:pPr>
              <w:adjustRightInd w:val="0"/>
              <w:snapToGrid w:val="0"/>
              <w:ind w:firstLine="480" w:firstLineChars="200"/>
            </w:pPr>
            <w:r>
              <w:rPr>
                <w:rFonts w:hint="eastAsia"/>
              </w:rPr>
              <w:t>①污水管网</w:t>
            </w:r>
          </w:p>
          <w:p w14:paraId="3C980146">
            <w:pPr>
              <w:adjustRightInd w:val="0"/>
              <w:snapToGrid w:val="0"/>
              <w:ind w:firstLine="480" w:firstLineChars="200"/>
            </w:pPr>
            <w:r>
              <w:rPr>
                <w:rFonts w:hint="eastAsia"/>
              </w:rPr>
              <w:t>本项目选址于云浮循环经济工业园，园区污水处理厂污水管线已铺设至项目厂区西侧的园区道路，项目生活污水经厂区三级化粪池处理达标后，可接入园区市政污水管网排至园区污水处理厂。因此本项目废水排放条件成熟，各类废水被接纳、收集措施可行。</w:t>
            </w:r>
          </w:p>
          <w:p w14:paraId="40155963">
            <w:pPr>
              <w:adjustRightInd w:val="0"/>
              <w:snapToGrid w:val="0"/>
              <w:ind w:firstLine="480" w:firstLineChars="200"/>
            </w:pPr>
            <w:r>
              <w:rPr>
                <w:rFonts w:hint="eastAsia"/>
              </w:rPr>
              <w:t>②水质符合性</w:t>
            </w:r>
          </w:p>
          <w:p w14:paraId="1C07AFDA">
            <w:pPr>
              <w:adjustRightInd w:val="0"/>
              <w:snapToGrid w:val="0"/>
              <w:ind w:firstLine="480" w:firstLineChars="200"/>
            </w:pPr>
            <w:r>
              <w:rPr>
                <w:rFonts w:hint="eastAsia"/>
              </w:rPr>
              <w:t>本项目生活污水经三级化粪池预处理后，达到广东省《水污染物排放限值》（DB44/26-2001）第二时段三级标准后排入综合园区污水处理厂，不会对综合园区污水处理厂的正常运营造成冲击影响。</w:t>
            </w:r>
          </w:p>
          <w:p w14:paraId="7BEA4D12">
            <w:pPr>
              <w:adjustRightInd w:val="0"/>
              <w:snapToGrid w:val="0"/>
              <w:ind w:firstLine="480" w:firstLineChars="200"/>
            </w:pPr>
            <w:r>
              <w:rPr>
                <w:rFonts w:hint="eastAsia"/>
              </w:rPr>
              <w:t>③水量符合性</w:t>
            </w:r>
          </w:p>
          <w:p w14:paraId="52859710">
            <w:pPr>
              <w:adjustRightInd w:val="0"/>
              <w:snapToGrid w:val="0"/>
              <w:ind w:firstLine="480" w:firstLineChars="200"/>
            </w:pPr>
            <w:r>
              <w:rPr>
                <w:rFonts w:hint="eastAsia"/>
                <w:color w:val="000000" w:themeColor="text1"/>
                <w:lang w:eastAsia="zh-CN"/>
                <w14:textFill>
                  <w14:solidFill>
                    <w14:schemeClr w14:val="tx1"/>
                  </w14:solidFill>
                </w14:textFill>
              </w:rPr>
              <w:t>现阶段</w:t>
            </w:r>
            <w:r>
              <w:rPr>
                <w:rFonts w:hint="eastAsia"/>
              </w:rPr>
              <w:t>综合园区污水厂实际处理量约为</w:t>
            </w:r>
            <w:r>
              <w:rPr>
                <w:rFonts w:hint="eastAsia"/>
                <w:lang w:val="en-US" w:eastAsia="zh-CN"/>
              </w:rPr>
              <w:t>12</w:t>
            </w:r>
            <w:r>
              <w:rPr>
                <w:rFonts w:hint="eastAsia"/>
              </w:rPr>
              <w:t>00m</w:t>
            </w:r>
            <w:r>
              <w:rPr>
                <w:rFonts w:hint="eastAsia"/>
                <w:vertAlign w:val="superscript"/>
              </w:rPr>
              <w:t>3</w:t>
            </w:r>
            <w:r>
              <w:rPr>
                <w:rFonts w:hint="eastAsia"/>
              </w:rPr>
              <w:t>/d，园区在建、拟建项目生产生活污水量约为</w:t>
            </w:r>
            <w:r>
              <w:rPr>
                <w:rFonts w:hint="eastAsia"/>
                <w:lang w:val="en-US" w:eastAsia="zh-CN"/>
              </w:rPr>
              <w:t>500</w:t>
            </w:r>
            <w:r>
              <w:rPr>
                <w:rFonts w:hint="eastAsia"/>
              </w:rPr>
              <w:t>m</w:t>
            </w:r>
            <w:r>
              <w:rPr>
                <w:rFonts w:hint="eastAsia"/>
                <w:vertAlign w:val="superscript"/>
              </w:rPr>
              <w:t>3</w:t>
            </w:r>
            <w:r>
              <w:rPr>
                <w:rFonts w:hint="eastAsia"/>
              </w:rPr>
              <w:t>/d，总计</w:t>
            </w:r>
            <w:r>
              <w:rPr>
                <w:rFonts w:hint="eastAsia"/>
                <w:lang w:val="en-US" w:eastAsia="zh-CN"/>
              </w:rPr>
              <w:t>1700</w:t>
            </w:r>
            <w:r>
              <w:rPr>
                <w:rFonts w:hint="eastAsia"/>
              </w:rPr>
              <w:t>m</w:t>
            </w:r>
            <w:r>
              <w:rPr>
                <w:rFonts w:hint="eastAsia"/>
                <w:vertAlign w:val="superscript"/>
              </w:rPr>
              <w:t>3</w:t>
            </w:r>
            <w:r>
              <w:rPr>
                <w:rFonts w:hint="eastAsia"/>
              </w:rPr>
              <w:t>/d，剩余处理能力</w:t>
            </w:r>
            <w:r>
              <w:rPr>
                <w:rFonts w:hint="eastAsia"/>
                <w:lang w:val="en-US" w:eastAsia="zh-CN"/>
              </w:rPr>
              <w:t>3300</w:t>
            </w:r>
            <w:r>
              <w:rPr>
                <w:rFonts w:hint="eastAsia"/>
              </w:rPr>
              <w:t>m</w:t>
            </w:r>
            <w:r>
              <w:rPr>
                <w:rFonts w:hint="eastAsia"/>
                <w:vertAlign w:val="superscript"/>
              </w:rPr>
              <w:t>3</w:t>
            </w:r>
            <w:r>
              <w:rPr>
                <w:rFonts w:hint="eastAsia"/>
              </w:rPr>
              <w:t>/d。本项目生产、生活废水最大排放量约为</w:t>
            </w:r>
            <w:r>
              <w:rPr>
                <w:rFonts w:hint="eastAsia"/>
                <w:color w:val="000000"/>
                <w:lang w:val="en-US" w:eastAsia="zh-CN"/>
              </w:rPr>
              <w:t>1.41</w:t>
            </w:r>
            <w:r>
              <w:rPr>
                <w:rFonts w:hint="eastAsia"/>
                <w:color w:val="000000"/>
              </w:rPr>
              <w:t>m</w:t>
            </w:r>
            <w:r>
              <w:rPr>
                <w:rFonts w:hint="eastAsia"/>
                <w:color w:val="000000"/>
                <w:vertAlign w:val="superscript"/>
              </w:rPr>
              <w:t>3</w:t>
            </w:r>
            <w:r>
              <w:rPr>
                <w:rFonts w:hint="eastAsia"/>
                <w:color w:val="000000"/>
              </w:rPr>
              <w:t>/d</w:t>
            </w:r>
            <w:r>
              <w:rPr>
                <w:rFonts w:hint="eastAsia"/>
              </w:rPr>
              <w:t>，仅占剩余处理能力的</w:t>
            </w:r>
            <w:r>
              <w:rPr>
                <w:rFonts w:hint="eastAsia"/>
                <w:color w:val="000000"/>
              </w:rPr>
              <w:t>0.0</w:t>
            </w:r>
            <w:r>
              <w:rPr>
                <w:rFonts w:hint="eastAsia"/>
                <w:color w:val="000000"/>
                <w:lang w:val="en-US" w:eastAsia="zh-CN"/>
              </w:rPr>
              <w:t>43</w:t>
            </w:r>
            <w:r>
              <w:rPr>
                <w:rFonts w:hint="eastAsia"/>
                <w:color w:val="000000"/>
              </w:rPr>
              <w:t>%</w:t>
            </w:r>
            <w:r>
              <w:rPr>
                <w:rFonts w:hint="eastAsia"/>
              </w:rPr>
              <w:t>，在综合园区污水厂的处理能力范围内，不会对综合园区污水处理厂造成冲击影响。</w:t>
            </w:r>
          </w:p>
          <w:p w14:paraId="5440404E">
            <w:pPr>
              <w:adjustRightInd w:val="0"/>
              <w:snapToGrid w:val="0"/>
              <w:ind w:firstLine="480" w:firstLineChars="200"/>
            </w:pPr>
            <w:r>
              <w:rPr>
                <w:rFonts w:hint="eastAsia"/>
              </w:rPr>
              <w:t>综合上述分析，本项目建成后，生产、生活废水经预处理后排入综合园区污水处理厂处理是可行的。</w:t>
            </w:r>
          </w:p>
          <w:p w14:paraId="1D29E03A">
            <w:pPr>
              <w:pStyle w:val="14"/>
              <w:bidi w:val="0"/>
            </w:pPr>
            <w:r>
              <w:drawing>
                <wp:inline distT="0" distB="0" distL="114300" distR="114300">
                  <wp:extent cx="3623310" cy="5863590"/>
                  <wp:effectExtent l="0" t="0" r="15240" b="3810"/>
                  <wp:docPr id="1818" name="图片 19" descr="F:\30、减水剂项目\5、图例\综合园区污水处理工艺流程图-01.bmp综合园区污水处理工艺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19" descr="F:\30、减水剂项目\5、图例\综合园区污水处理工艺流程图-01.bmp综合园区污水处理工艺流程图-01"/>
                          <pic:cNvPicPr>
                            <a:picLocks noChangeAspect="1"/>
                          </pic:cNvPicPr>
                        </pic:nvPicPr>
                        <pic:blipFill>
                          <a:blip r:embed="rId29" cstate="print"/>
                          <a:srcRect/>
                          <a:stretch>
                            <a:fillRect/>
                          </a:stretch>
                        </pic:blipFill>
                        <pic:spPr>
                          <a:xfrm>
                            <a:off x="0" y="0"/>
                            <a:ext cx="3623310" cy="5863590"/>
                          </a:xfrm>
                          <a:prstGeom prst="rect">
                            <a:avLst/>
                          </a:prstGeom>
                          <a:noFill/>
                          <a:ln>
                            <a:noFill/>
                          </a:ln>
                        </pic:spPr>
                      </pic:pic>
                    </a:graphicData>
                  </a:graphic>
                </wp:inline>
              </w:drawing>
            </w:r>
          </w:p>
          <w:p w14:paraId="012DD167">
            <w:pPr>
              <w:adjustRightInd w:val="0"/>
              <w:snapToGrid w:val="0"/>
              <w:jc w:val="center"/>
            </w:pPr>
            <w:r>
              <w:rPr>
                <w:rFonts w:hint="eastAsia" w:cs="宋体"/>
                <w:b/>
                <w:bCs/>
                <w:color w:val="000000"/>
              </w:rPr>
              <w:t>图</w:t>
            </w:r>
            <w:r>
              <w:rPr>
                <w:rFonts w:hint="eastAsia" w:cs="宋体"/>
                <w:b/>
                <w:bCs/>
                <w:color w:val="000000"/>
                <w:lang w:val="en-US" w:eastAsia="zh-CN"/>
              </w:rPr>
              <w:t>4</w:t>
            </w:r>
            <w:r>
              <w:rPr>
                <w:rFonts w:hint="eastAsia" w:cs="宋体"/>
                <w:b/>
                <w:bCs/>
                <w:color w:val="000000"/>
              </w:rPr>
              <w:t>-2 综合园区污水处理厂处理工艺流程图</w:t>
            </w:r>
          </w:p>
          <w:p w14:paraId="7306ECDB">
            <w:pPr>
              <w:ind w:firstLine="480" w:firstLineChars="200"/>
            </w:pPr>
            <w:r>
              <w:rPr>
                <w:rFonts w:hint="eastAsia"/>
              </w:rPr>
              <w:t>综上所述，</w:t>
            </w:r>
            <w:r>
              <w:rPr>
                <w:rFonts w:hint="eastAsia"/>
                <w:lang w:eastAsia="zh-CN"/>
              </w:rPr>
              <w:t>综合园区</w:t>
            </w:r>
            <w:r>
              <w:rPr>
                <w:rFonts w:hint="eastAsia"/>
              </w:rPr>
              <w:t>污水处理厂留有余量可容纳本项目生活污水废水量，尾水达标后回用于园区及周边企业用水，不外排。从水量、水质等方面分析，项目生活污水排入</w:t>
            </w:r>
            <w:r>
              <w:rPr>
                <w:rFonts w:hint="eastAsia"/>
                <w:lang w:eastAsia="zh-CN"/>
              </w:rPr>
              <w:t>综合园区</w:t>
            </w:r>
            <w:r>
              <w:rPr>
                <w:rFonts w:hint="eastAsia"/>
              </w:rPr>
              <w:t>污水处理厂处理是可行的。</w:t>
            </w:r>
          </w:p>
          <w:p w14:paraId="1DEC1255">
            <w:pPr>
              <w:adjustRightInd w:val="0"/>
              <w:snapToGrid w:val="0"/>
              <w:ind w:firstLine="482" w:firstLineChars="200"/>
              <w:rPr>
                <w:rFonts w:ascii="Times New Roman" w:hAnsi="Times New Roman" w:eastAsia="宋体" w:cs="Times New Roman"/>
                <w:b/>
                <w:bCs/>
              </w:rPr>
            </w:pPr>
            <w:r>
              <w:rPr>
                <w:rFonts w:hint="eastAsia" w:ascii="Times New Roman" w:hAnsi="Times New Roman" w:eastAsia="宋体" w:cs="Times New Roman"/>
                <w:b/>
                <w:bCs/>
              </w:rPr>
              <w:t>三、噪声</w:t>
            </w:r>
          </w:p>
          <w:p w14:paraId="76FF362D">
            <w:pPr>
              <w:adjustRightInd w:val="0"/>
              <w:snapToGrid w:val="0"/>
              <w:ind w:firstLine="482" w:firstLineChars="200"/>
              <w:rPr>
                <w:rFonts w:ascii="Times New Roman" w:hAnsi="Times New Roman" w:eastAsia="宋体" w:cs="Times New Roman"/>
              </w:rPr>
            </w:pPr>
            <w:r>
              <w:rPr>
                <w:rFonts w:hint="eastAsia" w:ascii="Times New Roman" w:hAnsi="Times New Roman" w:eastAsia="宋体" w:cs="Times New Roman"/>
                <w:b/>
                <w:bCs/>
              </w:rPr>
              <w:t>1、主要设备噪声源强</w:t>
            </w:r>
          </w:p>
          <w:p w14:paraId="75A603DB">
            <w:pPr>
              <w:adjustRightInd w:val="0"/>
              <w:snapToGrid w:val="0"/>
              <w:ind w:firstLine="480" w:firstLineChars="200"/>
              <w:rPr>
                <w:rFonts w:ascii="Times New Roman" w:hAnsi="Times New Roman" w:eastAsia="宋体" w:cs="Times New Roman"/>
                <w:b/>
                <w:kern w:val="24"/>
                <w:szCs w:val="20"/>
              </w:rPr>
            </w:pPr>
            <w:r>
              <w:rPr>
                <w:rFonts w:hint="eastAsia" w:ascii="Times New Roman" w:hAnsi="Times New Roman" w:eastAsia="宋体" w:cs="Times New Roman"/>
              </w:rPr>
              <w:t>本项目噪声主要来源于固定源，主要为</w:t>
            </w:r>
            <w:r>
              <w:rPr>
                <w:rFonts w:hint="eastAsia" w:cs="Times New Roman"/>
                <w:lang w:eastAsia="zh-CN"/>
              </w:rPr>
              <w:t>吸氨器、工艺水泵、尾气吸收塔、吸收循环泵、凉水塔、软水器和纯水泵</w:t>
            </w:r>
            <w:r>
              <w:rPr>
                <w:rFonts w:hint="eastAsia" w:ascii="Times New Roman" w:hAnsi="Times New Roman" w:eastAsia="宋体" w:cs="Times New Roman"/>
              </w:rPr>
              <w:t>等设备噪声，各噪声源的声级为6</w:t>
            </w:r>
            <w:r>
              <w:rPr>
                <w:rFonts w:hint="eastAsia" w:cs="Times New Roman"/>
                <w:lang w:val="en-US" w:eastAsia="zh-CN"/>
              </w:rPr>
              <w:t>5</w:t>
            </w:r>
            <w:r>
              <w:rPr>
                <w:rFonts w:hint="eastAsia" w:ascii="Times New Roman" w:hAnsi="Times New Roman" w:eastAsia="宋体" w:cs="Times New Roman"/>
              </w:rPr>
              <w:t>~</w:t>
            </w:r>
            <w:r>
              <w:rPr>
                <w:rFonts w:hint="eastAsia" w:cs="Times New Roman"/>
                <w:lang w:val="en-US" w:eastAsia="zh-CN"/>
              </w:rPr>
              <w:t>85</w:t>
            </w:r>
            <w:r>
              <w:rPr>
                <w:rFonts w:hint="eastAsia" w:ascii="Times New Roman" w:hAnsi="Times New Roman" w:eastAsia="宋体" w:cs="Times New Roman"/>
              </w:rPr>
              <w:t>dB（A），均为频发噪声。厂方主要采取合理布局机械设备、设置基础减振、建筑物隔声等措施进行噪声污染防治和控制，隔声量可达15～20dB（A），做到厂界噪声达标，以降低噪声对周围环境的影响。噪声产生情况及源强见下表。</w:t>
            </w:r>
          </w:p>
          <w:p w14:paraId="1A1029AC">
            <w:pPr>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Cs w:val="20"/>
              </w:rPr>
            </w:pPr>
            <w:r>
              <w:rPr>
                <w:rFonts w:hint="eastAsia" w:ascii="Times New Roman" w:hAnsi="Times New Roman" w:eastAsia="宋体" w:cs="Times New Roman"/>
                <w:b/>
                <w:color w:val="000000"/>
                <w:kern w:val="24"/>
                <w:szCs w:val="20"/>
              </w:rPr>
              <w:t>表4-</w:t>
            </w:r>
            <w:r>
              <w:rPr>
                <w:rFonts w:hint="eastAsia" w:cs="Times New Roman"/>
                <w:b/>
                <w:color w:val="000000"/>
                <w:kern w:val="24"/>
                <w:szCs w:val="20"/>
                <w:lang w:val="en-US" w:eastAsia="zh-CN"/>
              </w:rPr>
              <w:t>19</w:t>
            </w:r>
            <w:r>
              <w:rPr>
                <w:rFonts w:hint="eastAsia" w:ascii="Times New Roman" w:hAnsi="Times New Roman" w:eastAsia="宋体" w:cs="Times New Roman"/>
                <w:b/>
                <w:color w:val="000000"/>
                <w:kern w:val="24"/>
                <w:szCs w:val="20"/>
              </w:rPr>
              <w:t>（A） 噪声污染源源强核算结果及相关参数一览表（室内声源）</w:t>
            </w:r>
          </w:p>
          <w:tbl>
            <w:tblPr>
              <w:tblStyle w:val="11"/>
              <w:tblW w:w="1501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486"/>
              <w:gridCol w:w="870"/>
              <w:gridCol w:w="1443"/>
              <w:gridCol w:w="1592"/>
              <w:gridCol w:w="804"/>
              <w:gridCol w:w="1181"/>
              <w:gridCol w:w="837"/>
              <w:gridCol w:w="754"/>
              <w:gridCol w:w="738"/>
              <w:gridCol w:w="543"/>
              <w:gridCol w:w="442"/>
              <w:gridCol w:w="723"/>
              <w:gridCol w:w="934"/>
              <w:gridCol w:w="624"/>
              <w:gridCol w:w="1017"/>
              <w:gridCol w:w="853"/>
              <w:gridCol w:w="1174"/>
            </w:tblGrid>
            <w:tr w14:paraId="51267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59" w:hRule="atLeast"/>
                <w:jc w:val="center"/>
              </w:trPr>
              <w:tc>
                <w:tcPr>
                  <w:tcW w:w="486" w:type="dxa"/>
                  <w:vMerge w:val="restart"/>
                  <w:tcBorders>
                    <w:tl2br w:val="nil"/>
                    <w:tr2bl w:val="nil"/>
                  </w:tcBorders>
                  <w:vAlign w:val="center"/>
                </w:tcPr>
                <w:p w14:paraId="675F4FDF">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序号</w:t>
                  </w:r>
                </w:p>
              </w:tc>
              <w:tc>
                <w:tcPr>
                  <w:tcW w:w="870" w:type="dxa"/>
                  <w:vMerge w:val="restart"/>
                  <w:tcBorders>
                    <w:tl2br w:val="nil"/>
                    <w:tr2bl w:val="nil"/>
                  </w:tcBorders>
                  <w:vAlign w:val="center"/>
                </w:tcPr>
                <w:p w14:paraId="3C8A597F">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建筑物名称</w:t>
                  </w:r>
                </w:p>
              </w:tc>
              <w:tc>
                <w:tcPr>
                  <w:tcW w:w="1443" w:type="dxa"/>
                  <w:vMerge w:val="restart"/>
                  <w:tcBorders>
                    <w:tl2br w:val="nil"/>
                    <w:tr2bl w:val="nil"/>
                  </w:tcBorders>
                  <w:vAlign w:val="center"/>
                </w:tcPr>
                <w:p w14:paraId="3404B619">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声源名称</w:t>
                  </w:r>
                </w:p>
              </w:tc>
              <w:tc>
                <w:tcPr>
                  <w:tcW w:w="1592" w:type="dxa"/>
                  <w:vMerge w:val="restart"/>
                  <w:tcBorders>
                    <w:tl2br w:val="nil"/>
                    <w:tr2bl w:val="nil"/>
                  </w:tcBorders>
                  <w:vAlign w:val="center"/>
                </w:tcPr>
                <w:p w14:paraId="7F8068B1">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型号</w:t>
                  </w:r>
                </w:p>
              </w:tc>
              <w:tc>
                <w:tcPr>
                  <w:tcW w:w="804" w:type="dxa"/>
                  <w:vMerge w:val="restart"/>
                  <w:tcBorders>
                    <w:tl2br w:val="nil"/>
                    <w:tr2bl w:val="nil"/>
                  </w:tcBorders>
                  <w:vAlign w:val="center"/>
                </w:tcPr>
                <w:p w14:paraId="272F625A">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设备数量/台</w:t>
                  </w:r>
                </w:p>
              </w:tc>
              <w:tc>
                <w:tcPr>
                  <w:tcW w:w="1181" w:type="dxa"/>
                  <w:vMerge w:val="restart"/>
                  <w:tcBorders>
                    <w:tl2br w:val="nil"/>
                    <w:tr2bl w:val="nil"/>
                  </w:tcBorders>
                  <w:vAlign w:val="center"/>
                </w:tcPr>
                <w:p w14:paraId="305146D8">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单台声功率级dB(A)</w:t>
                  </w:r>
                </w:p>
              </w:tc>
              <w:tc>
                <w:tcPr>
                  <w:tcW w:w="837" w:type="dxa"/>
                  <w:vMerge w:val="restart"/>
                  <w:tcBorders>
                    <w:tl2br w:val="nil"/>
                    <w:tr2bl w:val="nil"/>
                  </w:tcBorders>
                  <w:vAlign w:val="center"/>
                </w:tcPr>
                <w:p w14:paraId="133BE1DC">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声源控制措施</w:t>
                  </w:r>
                </w:p>
                <w:p w14:paraId="5F5C06AF">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2035" w:type="dxa"/>
                  <w:gridSpan w:val="3"/>
                  <w:tcBorders>
                    <w:tl2br w:val="nil"/>
                    <w:tr2bl w:val="nil"/>
                  </w:tcBorders>
                  <w:vAlign w:val="center"/>
                </w:tcPr>
                <w:p w14:paraId="543964A3">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空间相对位置/m</w:t>
                  </w:r>
                </w:p>
              </w:tc>
              <w:tc>
                <w:tcPr>
                  <w:tcW w:w="1165" w:type="dxa"/>
                  <w:gridSpan w:val="2"/>
                  <w:vMerge w:val="restart"/>
                  <w:tcBorders>
                    <w:tl2br w:val="nil"/>
                    <w:tr2bl w:val="nil"/>
                  </w:tcBorders>
                  <w:vAlign w:val="center"/>
                </w:tcPr>
                <w:p w14:paraId="257AFD5E">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距室内边界距离/m</w:t>
                  </w:r>
                </w:p>
              </w:tc>
              <w:tc>
                <w:tcPr>
                  <w:tcW w:w="934" w:type="dxa"/>
                  <w:vMerge w:val="restart"/>
                  <w:tcBorders>
                    <w:tl2br w:val="nil"/>
                    <w:tr2bl w:val="nil"/>
                  </w:tcBorders>
                  <w:vAlign w:val="center"/>
                </w:tcPr>
                <w:p w14:paraId="74603545">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室内边界声级</w:t>
                  </w:r>
                </w:p>
                <w:p w14:paraId="5C30C949">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/dB(A)</w:t>
                  </w:r>
                </w:p>
              </w:tc>
              <w:tc>
                <w:tcPr>
                  <w:tcW w:w="624" w:type="dxa"/>
                  <w:vMerge w:val="restart"/>
                  <w:tcBorders>
                    <w:tl2br w:val="nil"/>
                    <w:tr2bl w:val="nil"/>
                  </w:tcBorders>
                  <w:vAlign w:val="center"/>
                </w:tcPr>
                <w:p w14:paraId="4982BD42">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运行时段</w:t>
                  </w:r>
                </w:p>
                <w:p w14:paraId="7FDAC78A">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1017" w:type="dxa"/>
                  <w:vMerge w:val="restart"/>
                  <w:tcBorders>
                    <w:tl2br w:val="nil"/>
                    <w:tr2bl w:val="nil"/>
                  </w:tcBorders>
                  <w:vAlign w:val="center"/>
                </w:tcPr>
                <w:p w14:paraId="783998E5">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建筑物插入损失/dB(A)</w:t>
                  </w:r>
                </w:p>
              </w:tc>
              <w:tc>
                <w:tcPr>
                  <w:tcW w:w="2027" w:type="dxa"/>
                  <w:gridSpan w:val="2"/>
                  <w:tcBorders>
                    <w:tl2br w:val="nil"/>
                    <w:tr2bl w:val="nil"/>
                  </w:tcBorders>
                  <w:vAlign w:val="center"/>
                </w:tcPr>
                <w:p w14:paraId="7C9C24E6">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建筑物外噪声</w:t>
                  </w:r>
                </w:p>
              </w:tc>
            </w:tr>
            <w:tr w14:paraId="73DD3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75" w:hRule="atLeast"/>
                <w:jc w:val="center"/>
              </w:trPr>
              <w:tc>
                <w:tcPr>
                  <w:tcW w:w="486" w:type="dxa"/>
                  <w:vMerge w:val="continue"/>
                  <w:tcBorders>
                    <w:tl2br w:val="nil"/>
                    <w:tr2bl w:val="nil"/>
                  </w:tcBorders>
                  <w:vAlign w:val="center"/>
                </w:tcPr>
                <w:p w14:paraId="1D509985">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870" w:type="dxa"/>
                  <w:vMerge w:val="continue"/>
                  <w:tcBorders>
                    <w:tl2br w:val="nil"/>
                    <w:tr2bl w:val="nil"/>
                  </w:tcBorders>
                  <w:vAlign w:val="center"/>
                </w:tcPr>
                <w:p w14:paraId="3BCB2ABD">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1443" w:type="dxa"/>
                  <w:vMerge w:val="continue"/>
                  <w:tcBorders>
                    <w:tl2br w:val="nil"/>
                    <w:tr2bl w:val="nil"/>
                  </w:tcBorders>
                  <w:vAlign w:val="center"/>
                </w:tcPr>
                <w:p w14:paraId="601A69D8">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1592" w:type="dxa"/>
                  <w:vMerge w:val="continue"/>
                  <w:tcBorders>
                    <w:tl2br w:val="nil"/>
                    <w:tr2bl w:val="nil"/>
                  </w:tcBorders>
                  <w:vAlign w:val="center"/>
                </w:tcPr>
                <w:p w14:paraId="5A965B1A">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804" w:type="dxa"/>
                  <w:vMerge w:val="continue"/>
                  <w:tcBorders>
                    <w:tl2br w:val="nil"/>
                    <w:tr2bl w:val="nil"/>
                  </w:tcBorders>
                  <w:vAlign w:val="center"/>
                </w:tcPr>
                <w:p w14:paraId="1538D310">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1181" w:type="dxa"/>
                  <w:vMerge w:val="continue"/>
                  <w:tcBorders>
                    <w:tl2br w:val="nil"/>
                    <w:tr2bl w:val="nil"/>
                  </w:tcBorders>
                  <w:vAlign w:val="center"/>
                </w:tcPr>
                <w:p w14:paraId="62E149D5">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837" w:type="dxa"/>
                  <w:vMerge w:val="continue"/>
                  <w:tcBorders>
                    <w:tl2br w:val="nil"/>
                    <w:tr2bl w:val="nil"/>
                  </w:tcBorders>
                  <w:vAlign w:val="center"/>
                </w:tcPr>
                <w:p w14:paraId="1ACDD5E2">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754" w:type="dxa"/>
                  <w:tcBorders>
                    <w:tl2br w:val="nil"/>
                    <w:tr2bl w:val="nil"/>
                  </w:tcBorders>
                  <w:vAlign w:val="center"/>
                </w:tcPr>
                <w:p w14:paraId="7D33B6DF">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X</w:t>
                  </w:r>
                </w:p>
              </w:tc>
              <w:tc>
                <w:tcPr>
                  <w:tcW w:w="738" w:type="dxa"/>
                  <w:tcBorders>
                    <w:tl2br w:val="nil"/>
                    <w:tr2bl w:val="nil"/>
                  </w:tcBorders>
                  <w:vAlign w:val="center"/>
                </w:tcPr>
                <w:p w14:paraId="6C8FD736">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Y</w:t>
                  </w:r>
                </w:p>
              </w:tc>
              <w:tc>
                <w:tcPr>
                  <w:tcW w:w="543" w:type="dxa"/>
                  <w:tcBorders>
                    <w:tl2br w:val="nil"/>
                    <w:tr2bl w:val="nil"/>
                  </w:tcBorders>
                  <w:vAlign w:val="center"/>
                </w:tcPr>
                <w:p w14:paraId="4F56DC57">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Z</w:t>
                  </w:r>
                </w:p>
              </w:tc>
              <w:tc>
                <w:tcPr>
                  <w:tcW w:w="1165" w:type="dxa"/>
                  <w:gridSpan w:val="2"/>
                  <w:vMerge w:val="continue"/>
                  <w:tcBorders>
                    <w:tl2br w:val="nil"/>
                    <w:tr2bl w:val="nil"/>
                  </w:tcBorders>
                  <w:vAlign w:val="center"/>
                </w:tcPr>
                <w:p w14:paraId="479FEF26">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934" w:type="dxa"/>
                  <w:vMerge w:val="continue"/>
                  <w:tcBorders>
                    <w:tl2br w:val="nil"/>
                    <w:tr2bl w:val="nil"/>
                  </w:tcBorders>
                  <w:vAlign w:val="center"/>
                </w:tcPr>
                <w:p w14:paraId="43259B41">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624" w:type="dxa"/>
                  <w:vMerge w:val="continue"/>
                  <w:tcBorders>
                    <w:tl2br w:val="nil"/>
                    <w:tr2bl w:val="nil"/>
                  </w:tcBorders>
                  <w:vAlign w:val="center"/>
                </w:tcPr>
                <w:p w14:paraId="7DBC37BD">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1017" w:type="dxa"/>
                  <w:vMerge w:val="continue"/>
                  <w:tcBorders>
                    <w:tl2br w:val="nil"/>
                    <w:tr2bl w:val="nil"/>
                  </w:tcBorders>
                  <w:vAlign w:val="center"/>
                </w:tcPr>
                <w:p w14:paraId="16AF04BD">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p>
              </w:tc>
              <w:tc>
                <w:tcPr>
                  <w:tcW w:w="853" w:type="dxa"/>
                  <w:tcBorders>
                    <w:tl2br w:val="nil"/>
                    <w:tr2bl w:val="nil"/>
                  </w:tcBorders>
                  <w:vAlign w:val="center"/>
                </w:tcPr>
                <w:p w14:paraId="00F0E9E6">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声压级/dB(A)</w:t>
                  </w:r>
                </w:p>
              </w:tc>
              <w:tc>
                <w:tcPr>
                  <w:tcW w:w="1174" w:type="dxa"/>
                  <w:tcBorders>
                    <w:tl2br w:val="nil"/>
                    <w:tr2bl w:val="nil"/>
                  </w:tcBorders>
                  <w:vAlign w:val="center"/>
                </w:tcPr>
                <w:p w14:paraId="703E135B">
                  <w:pPr>
                    <w:adjustRightInd w:val="0"/>
                    <w:snapToGrid w:val="0"/>
                    <w:spacing w:line="240" w:lineRule="auto"/>
                    <w:jc w:val="center"/>
                    <w:rPr>
                      <w:rFonts w:ascii="Times New Roman" w:hAnsi="Times New Roman" w:eastAsia="宋体" w:cs="Times New Roman"/>
                      <w:b/>
                      <w:bCs/>
                      <w:color w:val="000000" w:themeColor="text1"/>
                      <w:sz w:val="21"/>
                      <w14:textFill>
                        <w14:solidFill>
                          <w14:schemeClr w14:val="tx1"/>
                        </w14:solidFill>
                      </w14:textFill>
                    </w:rPr>
                  </w:pPr>
                  <w:r>
                    <w:rPr>
                      <w:rFonts w:ascii="Times New Roman" w:hAnsi="Times New Roman" w:eastAsia="宋体" w:cs="Times New Roman"/>
                      <w:b/>
                      <w:bCs/>
                      <w:color w:val="000000" w:themeColor="text1"/>
                      <w:sz w:val="21"/>
                      <w14:textFill>
                        <w14:solidFill>
                          <w14:schemeClr w14:val="tx1"/>
                        </w14:solidFill>
                      </w14:textFill>
                    </w:rPr>
                    <w:t>建筑物外距离</w:t>
                  </w:r>
                  <w:r>
                    <w:rPr>
                      <w:rFonts w:hint="eastAsia" w:ascii="Times New Roman" w:hAnsi="Times New Roman" w:eastAsia="宋体" w:cs="Times New Roman"/>
                      <w:b/>
                      <w:bCs/>
                      <w:color w:val="000000" w:themeColor="text1"/>
                      <w:sz w:val="21"/>
                      <w14:textFill>
                        <w14:solidFill>
                          <w14:schemeClr w14:val="tx1"/>
                        </w14:solidFill>
                      </w14:textFill>
                    </w:rPr>
                    <w:t>/m</w:t>
                  </w:r>
                </w:p>
              </w:tc>
            </w:tr>
            <w:tr w14:paraId="140578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restart"/>
                  <w:tcBorders>
                    <w:tl2br w:val="nil"/>
                    <w:tr2bl w:val="nil"/>
                  </w:tcBorders>
                  <w:vAlign w:val="center"/>
                </w:tcPr>
                <w:p w14:paraId="284A504D">
                  <w:pPr>
                    <w:adjustRightInd w:val="0"/>
                    <w:snapToGrid w:val="0"/>
                    <w:spacing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c>
                <w:tcPr>
                  <w:tcW w:w="870" w:type="dxa"/>
                  <w:vMerge w:val="restart"/>
                  <w:tcBorders>
                    <w:tl2br w:val="nil"/>
                    <w:tr2bl w:val="nil"/>
                  </w:tcBorders>
                  <w:vAlign w:val="center"/>
                </w:tcPr>
                <w:p w14:paraId="673DEE5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eastAsia="zh-CN"/>
                      <w14:textFill>
                        <w14:solidFill>
                          <w14:schemeClr w14:val="tx1"/>
                        </w14:solidFill>
                      </w14:textFill>
                    </w:rPr>
                    <w:t>生产</w:t>
                  </w:r>
                  <w:r>
                    <w:rPr>
                      <w:rFonts w:hint="eastAsia" w:ascii="Times New Roman" w:hAnsi="Times New Roman" w:eastAsia="宋体" w:cs="Times New Roman"/>
                      <w:color w:val="000000" w:themeColor="text1"/>
                      <w:sz w:val="21"/>
                      <w14:textFill>
                        <w14:solidFill>
                          <w14:schemeClr w14:val="tx1"/>
                        </w14:solidFill>
                      </w14:textFill>
                    </w:rPr>
                    <w:t>车间</w:t>
                  </w:r>
                </w:p>
              </w:tc>
              <w:tc>
                <w:tcPr>
                  <w:tcW w:w="1443" w:type="dxa"/>
                  <w:vMerge w:val="restart"/>
                  <w:tcBorders>
                    <w:tl2br w:val="nil"/>
                    <w:tr2bl w:val="nil"/>
                  </w:tcBorders>
                  <w:vAlign w:val="center"/>
                </w:tcPr>
                <w:p w14:paraId="263BA54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吸氨器</w:t>
                  </w:r>
                </w:p>
              </w:tc>
              <w:tc>
                <w:tcPr>
                  <w:tcW w:w="1592" w:type="dxa"/>
                  <w:vMerge w:val="restart"/>
                  <w:tcBorders>
                    <w:tl2br w:val="nil"/>
                    <w:tr2bl w:val="nil"/>
                  </w:tcBorders>
                  <w:vAlign w:val="center"/>
                </w:tcPr>
                <w:p w14:paraId="0911F43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8t/h</w:t>
                  </w:r>
                </w:p>
              </w:tc>
              <w:tc>
                <w:tcPr>
                  <w:tcW w:w="804" w:type="dxa"/>
                  <w:vMerge w:val="restart"/>
                  <w:tcBorders>
                    <w:tl2br w:val="nil"/>
                    <w:tr2bl w:val="nil"/>
                  </w:tcBorders>
                  <w:vAlign w:val="center"/>
                </w:tcPr>
                <w:p w14:paraId="4A3231C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lang w:eastAsia="en-US"/>
                      <w14:textFill>
                        <w14:solidFill>
                          <w14:schemeClr w14:val="tx1"/>
                        </w14:solidFill>
                      </w14:textFill>
                    </w:rPr>
                    <w:t>1</w:t>
                  </w:r>
                </w:p>
              </w:tc>
              <w:tc>
                <w:tcPr>
                  <w:tcW w:w="1181" w:type="dxa"/>
                  <w:vMerge w:val="restart"/>
                  <w:tcBorders>
                    <w:tl2br w:val="nil"/>
                    <w:tr2bl w:val="nil"/>
                  </w:tcBorders>
                  <w:vAlign w:val="center"/>
                </w:tcPr>
                <w:p w14:paraId="76C8E79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8</w:t>
                  </w:r>
                  <w:r>
                    <w:rPr>
                      <w:rFonts w:hint="eastAsia" w:ascii="Times New Roman" w:hAnsi="Times New Roman" w:eastAsia="宋体" w:cs="Times New Roman"/>
                      <w:color w:val="000000" w:themeColor="text1"/>
                      <w:sz w:val="21"/>
                      <w14:textFill>
                        <w14:solidFill>
                          <w14:schemeClr w14:val="tx1"/>
                        </w14:solidFill>
                      </w14:textFill>
                    </w:rPr>
                    <w:t>0</w:t>
                  </w:r>
                </w:p>
              </w:tc>
              <w:tc>
                <w:tcPr>
                  <w:tcW w:w="837" w:type="dxa"/>
                  <w:vMerge w:val="restart"/>
                  <w:tcBorders>
                    <w:tl2br w:val="nil"/>
                    <w:tr2bl w:val="nil"/>
                  </w:tcBorders>
                  <w:vAlign w:val="center"/>
                </w:tcPr>
                <w:p w14:paraId="2F26BF1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选用低噪声设备、建筑隔声、消声、减振</w:t>
                  </w:r>
                </w:p>
              </w:tc>
              <w:tc>
                <w:tcPr>
                  <w:tcW w:w="754" w:type="dxa"/>
                  <w:vMerge w:val="restart"/>
                  <w:tcBorders>
                    <w:tl2br w:val="nil"/>
                    <w:tr2bl w:val="nil"/>
                  </w:tcBorders>
                  <w:vAlign w:val="center"/>
                </w:tcPr>
                <w:p w14:paraId="2422A691">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w:t>
                  </w:r>
                </w:p>
              </w:tc>
              <w:tc>
                <w:tcPr>
                  <w:tcW w:w="738" w:type="dxa"/>
                  <w:vMerge w:val="restart"/>
                  <w:tcBorders>
                    <w:tl2br w:val="nil"/>
                    <w:tr2bl w:val="nil"/>
                  </w:tcBorders>
                  <w:vAlign w:val="center"/>
                </w:tcPr>
                <w:p w14:paraId="48376D48">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91</w:t>
                  </w:r>
                </w:p>
              </w:tc>
              <w:tc>
                <w:tcPr>
                  <w:tcW w:w="543" w:type="dxa"/>
                  <w:vMerge w:val="restart"/>
                  <w:tcBorders>
                    <w:tl2br w:val="nil"/>
                    <w:tr2bl w:val="nil"/>
                  </w:tcBorders>
                  <w:vAlign w:val="center"/>
                </w:tcPr>
                <w:p w14:paraId="15B4DC07">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442" w:type="dxa"/>
                  <w:tcBorders>
                    <w:tl2br w:val="nil"/>
                    <w:tr2bl w:val="nil"/>
                  </w:tcBorders>
                  <w:vAlign w:val="center"/>
                </w:tcPr>
                <w:p w14:paraId="36AA5A2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东</w:t>
                  </w:r>
                </w:p>
              </w:tc>
              <w:tc>
                <w:tcPr>
                  <w:tcW w:w="723" w:type="dxa"/>
                  <w:tcBorders>
                    <w:tl2br w:val="nil"/>
                    <w:tr2bl w:val="nil"/>
                  </w:tcBorders>
                  <w:vAlign w:val="center"/>
                </w:tcPr>
                <w:p w14:paraId="2C1FD709">
                  <w:pPr>
                    <w:pStyle w:val="14"/>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14 </w:t>
                  </w:r>
                </w:p>
              </w:tc>
              <w:tc>
                <w:tcPr>
                  <w:tcW w:w="934" w:type="dxa"/>
                  <w:tcBorders>
                    <w:tl2br w:val="nil"/>
                    <w:tr2bl w:val="nil"/>
                  </w:tcBorders>
                  <w:vAlign w:val="center"/>
                </w:tcPr>
                <w:p w14:paraId="0D55E3CB">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56.88 </w:t>
                  </w:r>
                </w:p>
              </w:tc>
              <w:tc>
                <w:tcPr>
                  <w:tcW w:w="624" w:type="dxa"/>
                  <w:vMerge w:val="restart"/>
                  <w:tcBorders>
                    <w:tl2br w:val="nil"/>
                    <w:tr2bl w:val="nil"/>
                  </w:tcBorders>
                  <w:vAlign w:val="center"/>
                </w:tcPr>
                <w:p w14:paraId="61219FA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全天</w:t>
                  </w:r>
                </w:p>
              </w:tc>
              <w:tc>
                <w:tcPr>
                  <w:tcW w:w="1017" w:type="dxa"/>
                  <w:tcBorders>
                    <w:tl2br w:val="nil"/>
                    <w:tr2bl w:val="nil"/>
                  </w:tcBorders>
                  <w:vAlign w:val="center"/>
                </w:tcPr>
                <w:p w14:paraId="41C3D2F1">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7A76C9AB">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35.88 </w:t>
                  </w:r>
                </w:p>
              </w:tc>
              <w:tc>
                <w:tcPr>
                  <w:tcW w:w="1174" w:type="dxa"/>
                  <w:tcBorders>
                    <w:tl2br w:val="nil"/>
                    <w:tr2bl w:val="nil"/>
                  </w:tcBorders>
                  <w:vAlign w:val="center"/>
                </w:tcPr>
                <w:p w14:paraId="407DF25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21FE2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4F901C7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46ADDC4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0F8894A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415E948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482B181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6274131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3C4099F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121B7924">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2737D290">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137883A1">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0AF3B88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南</w:t>
                  </w:r>
                </w:p>
              </w:tc>
              <w:tc>
                <w:tcPr>
                  <w:tcW w:w="723" w:type="dxa"/>
                  <w:tcBorders>
                    <w:tl2br w:val="nil"/>
                    <w:tr2bl w:val="nil"/>
                  </w:tcBorders>
                  <w:vAlign w:val="center"/>
                </w:tcPr>
                <w:p w14:paraId="39A3AE52">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19 </w:t>
                  </w:r>
                </w:p>
              </w:tc>
              <w:tc>
                <w:tcPr>
                  <w:tcW w:w="934" w:type="dxa"/>
                  <w:tcBorders>
                    <w:tl2br w:val="nil"/>
                    <w:tr2bl w:val="nil"/>
                  </w:tcBorders>
                  <w:vAlign w:val="center"/>
                </w:tcPr>
                <w:p w14:paraId="3F027701">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54.44 </w:t>
                  </w:r>
                </w:p>
              </w:tc>
              <w:tc>
                <w:tcPr>
                  <w:tcW w:w="624" w:type="dxa"/>
                  <w:vMerge w:val="continue"/>
                  <w:tcBorders>
                    <w:tl2br w:val="nil"/>
                    <w:tr2bl w:val="nil"/>
                  </w:tcBorders>
                  <w:vAlign w:val="center"/>
                </w:tcPr>
                <w:p w14:paraId="06010DC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7A577ABB">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3FCA7CDC">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33.44 </w:t>
                  </w:r>
                </w:p>
              </w:tc>
              <w:tc>
                <w:tcPr>
                  <w:tcW w:w="1174" w:type="dxa"/>
                  <w:tcBorders>
                    <w:tl2br w:val="nil"/>
                    <w:tr2bl w:val="nil"/>
                  </w:tcBorders>
                  <w:vAlign w:val="center"/>
                </w:tcPr>
                <w:p w14:paraId="275B99E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2F3E2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5EA6B59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733A5ED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20B4B34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65AC6A5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1135045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578697A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47C8A03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5CAA70F3">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5750D756">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5FD0D12D">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15B99D4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西</w:t>
                  </w:r>
                </w:p>
              </w:tc>
              <w:tc>
                <w:tcPr>
                  <w:tcW w:w="723" w:type="dxa"/>
                  <w:tcBorders>
                    <w:tl2br w:val="nil"/>
                    <w:tr2bl w:val="nil"/>
                  </w:tcBorders>
                  <w:vAlign w:val="center"/>
                </w:tcPr>
                <w:p w14:paraId="395C3D40">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4 </w:t>
                  </w:r>
                </w:p>
              </w:tc>
              <w:tc>
                <w:tcPr>
                  <w:tcW w:w="934" w:type="dxa"/>
                  <w:tcBorders>
                    <w:tl2br w:val="nil"/>
                    <w:tr2bl w:val="nil"/>
                  </w:tcBorders>
                  <w:vAlign w:val="center"/>
                </w:tcPr>
                <w:p w14:paraId="6DB252B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67.45 </w:t>
                  </w:r>
                </w:p>
              </w:tc>
              <w:tc>
                <w:tcPr>
                  <w:tcW w:w="624" w:type="dxa"/>
                  <w:vMerge w:val="continue"/>
                  <w:tcBorders>
                    <w:tl2br w:val="nil"/>
                    <w:tr2bl w:val="nil"/>
                  </w:tcBorders>
                  <w:vAlign w:val="center"/>
                </w:tcPr>
                <w:p w14:paraId="7316D31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4D15C2C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7D9F2A7A">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46.45 </w:t>
                  </w:r>
                </w:p>
              </w:tc>
              <w:tc>
                <w:tcPr>
                  <w:tcW w:w="1174" w:type="dxa"/>
                  <w:tcBorders>
                    <w:tl2br w:val="nil"/>
                    <w:tr2bl w:val="nil"/>
                  </w:tcBorders>
                  <w:vAlign w:val="center"/>
                </w:tcPr>
                <w:p w14:paraId="57076AC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7FD90A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2668CF1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0D151E0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7BA24D1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00AE848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1F1977F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385ECC3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448B0D4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094AFA12">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466CA5C2">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095C15D3">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4FC9B61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北</w:t>
                  </w:r>
                </w:p>
              </w:tc>
              <w:tc>
                <w:tcPr>
                  <w:tcW w:w="723" w:type="dxa"/>
                  <w:tcBorders>
                    <w:tl2br w:val="nil"/>
                    <w:tr2bl w:val="nil"/>
                  </w:tcBorders>
                  <w:vAlign w:val="center"/>
                </w:tcPr>
                <w:p w14:paraId="2AB1CDB5">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11 </w:t>
                  </w:r>
                </w:p>
              </w:tc>
              <w:tc>
                <w:tcPr>
                  <w:tcW w:w="934" w:type="dxa"/>
                  <w:tcBorders>
                    <w:tl2br w:val="nil"/>
                    <w:tr2bl w:val="nil"/>
                  </w:tcBorders>
                  <w:vAlign w:val="center"/>
                </w:tcPr>
                <w:p w14:paraId="5B0D5B39">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59.32 </w:t>
                  </w:r>
                </w:p>
              </w:tc>
              <w:tc>
                <w:tcPr>
                  <w:tcW w:w="624" w:type="dxa"/>
                  <w:vMerge w:val="continue"/>
                  <w:tcBorders>
                    <w:tl2br w:val="nil"/>
                    <w:tr2bl w:val="nil"/>
                  </w:tcBorders>
                  <w:vAlign w:val="center"/>
                </w:tcPr>
                <w:p w14:paraId="61EA877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25DF317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50274B1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38.32 </w:t>
                  </w:r>
                </w:p>
              </w:tc>
              <w:tc>
                <w:tcPr>
                  <w:tcW w:w="1174" w:type="dxa"/>
                  <w:tcBorders>
                    <w:tl2br w:val="nil"/>
                    <w:tr2bl w:val="nil"/>
                  </w:tcBorders>
                  <w:vAlign w:val="center"/>
                </w:tcPr>
                <w:p w14:paraId="1A3FD5B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1AF78B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restart"/>
                  <w:tcBorders>
                    <w:tl2br w:val="nil"/>
                    <w:tr2bl w:val="nil"/>
                  </w:tcBorders>
                  <w:vAlign w:val="center"/>
                </w:tcPr>
                <w:p w14:paraId="1E10F19A">
                  <w:pPr>
                    <w:adjustRightInd w:val="0"/>
                    <w:snapToGrid w:val="0"/>
                    <w:spacing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2</w:t>
                  </w:r>
                </w:p>
              </w:tc>
              <w:tc>
                <w:tcPr>
                  <w:tcW w:w="870" w:type="dxa"/>
                  <w:vMerge w:val="continue"/>
                  <w:tcBorders>
                    <w:tl2br w:val="nil"/>
                    <w:tr2bl w:val="nil"/>
                  </w:tcBorders>
                  <w:vAlign w:val="center"/>
                </w:tcPr>
                <w:p w14:paraId="7FAA656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restart"/>
                  <w:tcBorders>
                    <w:tl2br w:val="nil"/>
                    <w:tr2bl w:val="nil"/>
                  </w:tcBorders>
                  <w:vAlign w:val="center"/>
                </w:tcPr>
                <w:p w14:paraId="49D32B69">
                  <w:pPr>
                    <w:adjustRightInd w:val="0"/>
                    <w:snapToGrid w:val="0"/>
                    <w:spacing w:line="240" w:lineRule="auto"/>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工艺水泵</w:t>
                  </w:r>
                </w:p>
              </w:tc>
              <w:tc>
                <w:tcPr>
                  <w:tcW w:w="1592" w:type="dxa"/>
                  <w:vMerge w:val="restart"/>
                  <w:tcBorders>
                    <w:tl2br w:val="nil"/>
                    <w:tr2bl w:val="nil"/>
                  </w:tcBorders>
                  <w:vAlign w:val="center"/>
                </w:tcPr>
                <w:p w14:paraId="13ECA628">
                  <w:pPr>
                    <w:adjustRightInd w:val="0"/>
                    <w:snapToGrid w:val="0"/>
                    <w:spacing w:line="240" w:lineRule="auto"/>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w:t>
                  </w:r>
                  <w:r>
                    <w:rPr>
                      <w:rFonts w:hint="eastAsia" w:cs="Times New Roman"/>
                      <w:bCs/>
                      <w:color w:val="000000" w:themeColor="text1"/>
                      <w:sz w:val="21"/>
                      <w:szCs w:val="21"/>
                      <w:vertAlign w:val="baseline"/>
                      <w:lang w:val="en-US" w:eastAsia="zh-CN"/>
                      <w14:textFill>
                        <w14:solidFill>
                          <w14:schemeClr w14:val="tx1"/>
                        </w14:solidFill>
                      </w14:textFill>
                    </w:rPr>
                    <w:t>46.8</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w:t>
                  </w:r>
                  <w:r>
                    <w:rPr>
                      <w:rFonts w:hint="eastAsia" w:cs="Times New Roman"/>
                      <w:bCs/>
                      <w:color w:val="000000" w:themeColor="text1"/>
                      <w:sz w:val="21"/>
                      <w:szCs w:val="21"/>
                      <w:vertAlign w:val="baseline"/>
                      <w:lang w:val="en-US" w:eastAsia="zh-CN"/>
                      <w14:textFill>
                        <w14:solidFill>
                          <w14:schemeClr w14:val="tx1"/>
                        </w14:solidFill>
                      </w14:textFill>
                    </w:rPr>
                    <w:t>44</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p>
              </w:tc>
              <w:tc>
                <w:tcPr>
                  <w:tcW w:w="804" w:type="dxa"/>
                  <w:vMerge w:val="restart"/>
                  <w:tcBorders>
                    <w:tl2br w:val="nil"/>
                    <w:tr2bl w:val="nil"/>
                  </w:tcBorders>
                  <w:vAlign w:val="center"/>
                </w:tcPr>
                <w:p w14:paraId="2A3FC21D">
                  <w:pPr>
                    <w:adjustRightInd w:val="0"/>
                    <w:snapToGrid w:val="0"/>
                    <w:spacing w:line="240" w:lineRule="auto"/>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1181" w:type="dxa"/>
                  <w:vMerge w:val="restart"/>
                  <w:tcBorders>
                    <w:tl2br w:val="nil"/>
                    <w:tr2bl w:val="nil"/>
                  </w:tcBorders>
                  <w:vAlign w:val="center"/>
                </w:tcPr>
                <w:p w14:paraId="34601230">
                  <w:pPr>
                    <w:adjustRightInd w:val="0"/>
                    <w:snapToGrid w:val="0"/>
                    <w:spacing w:line="240" w:lineRule="auto"/>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7</w:t>
                  </w:r>
                  <w:r>
                    <w:rPr>
                      <w:rFonts w:hint="eastAsia" w:cs="Times New Roman"/>
                      <w:color w:val="000000" w:themeColor="text1"/>
                      <w:sz w:val="21"/>
                      <w:lang w:val="en-US" w:eastAsia="zh-CN"/>
                      <w14:textFill>
                        <w14:solidFill>
                          <w14:schemeClr w14:val="tx1"/>
                        </w14:solidFill>
                      </w14:textFill>
                    </w:rPr>
                    <w:t>5</w:t>
                  </w:r>
                </w:p>
              </w:tc>
              <w:tc>
                <w:tcPr>
                  <w:tcW w:w="837" w:type="dxa"/>
                  <w:vMerge w:val="continue"/>
                  <w:tcBorders>
                    <w:tl2br w:val="nil"/>
                    <w:tr2bl w:val="nil"/>
                  </w:tcBorders>
                  <w:vAlign w:val="center"/>
                </w:tcPr>
                <w:p w14:paraId="2789E8A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restart"/>
                  <w:tcBorders>
                    <w:tl2br w:val="nil"/>
                    <w:tr2bl w:val="nil"/>
                  </w:tcBorders>
                  <w:vAlign w:val="center"/>
                </w:tcPr>
                <w:p w14:paraId="7ABBBE95">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738" w:type="dxa"/>
                  <w:vMerge w:val="restart"/>
                  <w:tcBorders>
                    <w:tl2br w:val="nil"/>
                    <w:tr2bl w:val="nil"/>
                  </w:tcBorders>
                  <w:vAlign w:val="center"/>
                </w:tcPr>
                <w:p w14:paraId="25509AA3">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93</w:t>
                  </w:r>
                </w:p>
              </w:tc>
              <w:tc>
                <w:tcPr>
                  <w:tcW w:w="543" w:type="dxa"/>
                  <w:vMerge w:val="restart"/>
                  <w:tcBorders>
                    <w:tl2br w:val="nil"/>
                    <w:tr2bl w:val="nil"/>
                  </w:tcBorders>
                  <w:vAlign w:val="center"/>
                </w:tcPr>
                <w:p w14:paraId="2E10B7C6">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442" w:type="dxa"/>
                  <w:tcBorders>
                    <w:tl2br w:val="nil"/>
                    <w:tr2bl w:val="nil"/>
                  </w:tcBorders>
                  <w:vAlign w:val="center"/>
                </w:tcPr>
                <w:p w14:paraId="037D63E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东</w:t>
                  </w:r>
                </w:p>
              </w:tc>
              <w:tc>
                <w:tcPr>
                  <w:tcW w:w="723" w:type="dxa"/>
                  <w:tcBorders>
                    <w:tl2br w:val="nil"/>
                    <w:tr2bl w:val="nil"/>
                  </w:tcBorders>
                  <w:vAlign w:val="center"/>
                </w:tcPr>
                <w:p w14:paraId="3D28EEA0">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 </w:t>
                  </w:r>
                </w:p>
              </w:tc>
              <w:tc>
                <w:tcPr>
                  <w:tcW w:w="934" w:type="dxa"/>
                  <w:tcBorders>
                    <w:tl2br w:val="nil"/>
                    <w:tr2bl w:val="nil"/>
                  </w:tcBorders>
                  <w:vAlign w:val="center"/>
                </w:tcPr>
                <w:p w14:paraId="7327F757">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56.31 </w:t>
                  </w:r>
                </w:p>
              </w:tc>
              <w:tc>
                <w:tcPr>
                  <w:tcW w:w="624" w:type="dxa"/>
                  <w:vMerge w:val="continue"/>
                  <w:tcBorders>
                    <w:tl2br w:val="nil"/>
                    <w:tr2bl w:val="nil"/>
                  </w:tcBorders>
                  <w:vAlign w:val="center"/>
                </w:tcPr>
                <w:p w14:paraId="3E4DD95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0A11A94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7E6156F6">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35.31 </w:t>
                  </w:r>
                </w:p>
              </w:tc>
              <w:tc>
                <w:tcPr>
                  <w:tcW w:w="1174" w:type="dxa"/>
                  <w:tcBorders>
                    <w:tl2br w:val="nil"/>
                    <w:tr2bl w:val="nil"/>
                  </w:tcBorders>
                  <w:vAlign w:val="center"/>
                </w:tcPr>
                <w:p w14:paraId="585FBB6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3535E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3212F3C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36B0316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2769055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48CEFA7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15DC3DB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0C3D2F7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0C73B5F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5D0BE21A">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67C2BB0C">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63136735">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0FA256B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南</w:t>
                  </w:r>
                </w:p>
              </w:tc>
              <w:tc>
                <w:tcPr>
                  <w:tcW w:w="723" w:type="dxa"/>
                  <w:tcBorders>
                    <w:tl2br w:val="nil"/>
                    <w:tr2bl w:val="nil"/>
                  </w:tcBorders>
                  <w:vAlign w:val="center"/>
                </w:tcPr>
                <w:p w14:paraId="4DBA83A4">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20 </w:t>
                  </w:r>
                </w:p>
              </w:tc>
              <w:tc>
                <w:tcPr>
                  <w:tcW w:w="934" w:type="dxa"/>
                  <w:tcBorders>
                    <w:tl2br w:val="nil"/>
                    <w:tr2bl w:val="nil"/>
                  </w:tcBorders>
                  <w:vAlign w:val="center"/>
                </w:tcPr>
                <w:p w14:paraId="771AB247">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48.97 </w:t>
                  </w:r>
                </w:p>
              </w:tc>
              <w:tc>
                <w:tcPr>
                  <w:tcW w:w="624" w:type="dxa"/>
                  <w:vMerge w:val="continue"/>
                  <w:tcBorders>
                    <w:tl2br w:val="nil"/>
                    <w:tr2bl w:val="nil"/>
                  </w:tcBorders>
                  <w:vAlign w:val="center"/>
                </w:tcPr>
                <w:p w14:paraId="74EB0AF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7C161A0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5D2694EB">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27.97 </w:t>
                  </w:r>
                </w:p>
              </w:tc>
              <w:tc>
                <w:tcPr>
                  <w:tcW w:w="1174" w:type="dxa"/>
                  <w:tcBorders>
                    <w:tl2br w:val="nil"/>
                    <w:tr2bl w:val="nil"/>
                  </w:tcBorders>
                  <w:vAlign w:val="center"/>
                </w:tcPr>
                <w:p w14:paraId="1A38E8F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7A6888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1FE68D9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47EA8E1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5EC6CA9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4B76367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2D6D60F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49EC4A8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2CC6C8F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243E78B2">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5CDDBEB5">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14086383">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11F0F5D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西</w:t>
                  </w:r>
                </w:p>
              </w:tc>
              <w:tc>
                <w:tcPr>
                  <w:tcW w:w="723" w:type="dxa"/>
                  <w:tcBorders>
                    <w:tl2br w:val="nil"/>
                    <w:tr2bl w:val="nil"/>
                  </w:tcBorders>
                  <w:vAlign w:val="center"/>
                </w:tcPr>
                <w:p w14:paraId="6B71C604">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11 </w:t>
                  </w:r>
                </w:p>
              </w:tc>
              <w:tc>
                <w:tcPr>
                  <w:tcW w:w="934" w:type="dxa"/>
                  <w:tcBorders>
                    <w:tl2br w:val="nil"/>
                    <w:tr2bl w:val="nil"/>
                  </w:tcBorders>
                  <w:vAlign w:val="center"/>
                </w:tcPr>
                <w:p w14:paraId="07402688">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54.03 </w:t>
                  </w:r>
                </w:p>
              </w:tc>
              <w:tc>
                <w:tcPr>
                  <w:tcW w:w="624" w:type="dxa"/>
                  <w:vMerge w:val="continue"/>
                  <w:tcBorders>
                    <w:tl2br w:val="nil"/>
                    <w:tr2bl w:val="nil"/>
                  </w:tcBorders>
                  <w:vAlign w:val="center"/>
                </w:tcPr>
                <w:p w14:paraId="3DFACF6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5F037FA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7380FD6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33.03 </w:t>
                  </w:r>
                </w:p>
              </w:tc>
              <w:tc>
                <w:tcPr>
                  <w:tcW w:w="1174" w:type="dxa"/>
                  <w:tcBorders>
                    <w:tl2br w:val="nil"/>
                    <w:tr2bl w:val="nil"/>
                  </w:tcBorders>
                  <w:vAlign w:val="center"/>
                </w:tcPr>
                <w:p w14:paraId="672BBB5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15A0D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0981A63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7F342EE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7DE036C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3F8B732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1CF0E5F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00B3D1D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12A94D9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027250F4">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715E3BEE">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6DB6ED02">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52D9ACB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北</w:t>
                  </w:r>
                </w:p>
              </w:tc>
              <w:tc>
                <w:tcPr>
                  <w:tcW w:w="723" w:type="dxa"/>
                  <w:tcBorders>
                    <w:tl2br w:val="nil"/>
                    <w:tr2bl w:val="nil"/>
                  </w:tcBorders>
                  <w:vAlign w:val="center"/>
                </w:tcPr>
                <w:p w14:paraId="70EC9EC2">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 </w:t>
                  </w:r>
                </w:p>
              </w:tc>
              <w:tc>
                <w:tcPr>
                  <w:tcW w:w="934" w:type="dxa"/>
                  <w:tcBorders>
                    <w:tl2br w:val="nil"/>
                    <w:tr2bl w:val="nil"/>
                  </w:tcBorders>
                  <w:vAlign w:val="center"/>
                </w:tcPr>
                <w:p w14:paraId="3CD80039">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58.01 </w:t>
                  </w:r>
                </w:p>
              </w:tc>
              <w:tc>
                <w:tcPr>
                  <w:tcW w:w="624" w:type="dxa"/>
                  <w:vMerge w:val="continue"/>
                  <w:tcBorders>
                    <w:tl2br w:val="nil"/>
                    <w:tr2bl w:val="nil"/>
                  </w:tcBorders>
                  <w:vAlign w:val="center"/>
                </w:tcPr>
                <w:p w14:paraId="6CE9E1C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4B1EDC1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016A753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37.01 </w:t>
                  </w:r>
                </w:p>
              </w:tc>
              <w:tc>
                <w:tcPr>
                  <w:tcW w:w="1174" w:type="dxa"/>
                  <w:tcBorders>
                    <w:tl2br w:val="nil"/>
                    <w:tr2bl w:val="nil"/>
                  </w:tcBorders>
                  <w:vAlign w:val="center"/>
                </w:tcPr>
                <w:p w14:paraId="045D6C5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754AB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restart"/>
                  <w:tcBorders>
                    <w:tl2br w:val="nil"/>
                    <w:tr2bl w:val="nil"/>
                  </w:tcBorders>
                  <w:vAlign w:val="center"/>
                </w:tcPr>
                <w:p w14:paraId="0F9DEF01">
                  <w:pPr>
                    <w:adjustRightInd w:val="0"/>
                    <w:snapToGrid w:val="0"/>
                    <w:spacing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3</w:t>
                  </w:r>
                </w:p>
              </w:tc>
              <w:tc>
                <w:tcPr>
                  <w:tcW w:w="870" w:type="dxa"/>
                  <w:vMerge w:val="continue"/>
                  <w:tcBorders>
                    <w:tl2br w:val="nil"/>
                    <w:tr2bl w:val="nil"/>
                  </w:tcBorders>
                  <w:vAlign w:val="center"/>
                </w:tcPr>
                <w:p w14:paraId="2EA975D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restart"/>
                  <w:tcBorders>
                    <w:tl2br w:val="nil"/>
                    <w:tr2bl w:val="nil"/>
                  </w:tcBorders>
                  <w:shd w:val="clear" w:color="auto" w:fill="auto"/>
                  <w:vAlign w:val="center"/>
                </w:tcPr>
                <w:p w14:paraId="09165C36">
                  <w:pPr>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sz w:val="21"/>
                      <w:lang w:eastAsia="zh-CN"/>
                      <w14:textFill>
                        <w14:solidFill>
                          <w14:schemeClr w14:val="tx1"/>
                        </w14:solidFill>
                      </w14:textFill>
                    </w:rPr>
                    <w:t>软水器</w:t>
                  </w:r>
                </w:p>
              </w:tc>
              <w:tc>
                <w:tcPr>
                  <w:tcW w:w="1592" w:type="dxa"/>
                  <w:vMerge w:val="restart"/>
                  <w:tcBorders>
                    <w:tl2br w:val="nil"/>
                    <w:tr2bl w:val="nil"/>
                  </w:tcBorders>
                  <w:shd w:val="clear" w:color="auto" w:fill="auto"/>
                  <w:vAlign w:val="center"/>
                </w:tcPr>
                <w:p w14:paraId="7294F62E">
                  <w:pPr>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1"/>
                      <w:lang w:eastAsia="zh-CN"/>
                      <w14:textFill>
                        <w14:solidFill>
                          <w14:schemeClr w14:val="tx1"/>
                        </w14:solidFill>
                      </w14:textFill>
                    </w:rPr>
                    <w:t>出水能力50t/h，水质硬度&lt;0.03mm mol/L</w:t>
                  </w:r>
                </w:p>
              </w:tc>
              <w:tc>
                <w:tcPr>
                  <w:tcW w:w="804" w:type="dxa"/>
                  <w:vMerge w:val="restart"/>
                  <w:tcBorders>
                    <w:tl2br w:val="nil"/>
                    <w:tr2bl w:val="nil"/>
                  </w:tcBorders>
                  <w:vAlign w:val="center"/>
                </w:tcPr>
                <w:p w14:paraId="3F98352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lang w:eastAsia="en-US"/>
                      <w14:textFill>
                        <w14:solidFill>
                          <w14:schemeClr w14:val="tx1"/>
                        </w14:solidFill>
                      </w14:textFill>
                    </w:rPr>
                    <w:t>1</w:t>
                  </w:r>
                </w:p>
              </w:tc>
              <w:tc>
                <w:tcPr>
                  <w:tcW w:w="1181" w:type="dxa"/>
                  <w:vMerge w:val="restart"/>
                  <w:tcBorders>
                    <w:tl2br w:val="nil"/>
                    <w:tr2bl w:val="nil"/>
                  </w:tcBorders>
                  <w:vAlign w:val="center"/>
                </w:tcPr>
                <w:p w14:paraId="7EA152F1">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65</w:t>
                  </w:r>
                </w:p>
              </w:tc>
              <w:tc>
                <w:tcPr>
                  <w:tcW w:w="837" w:type="dxa"/>
                  <w:vMerge w:val="continue"/>
                  <w:tcBorders>
                    <w:tl2br w:val="nil"/>
                    <w:tr2bl w:val="nil"/>
                  </w:tcBorders>
                  <w:vAlign w:val="center"/>
                </w:tcPr>
                <w:p w14:paraId="31B2938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restart"/>
                  <w:tcBorders>
                    <w:tl2br w:val="nil"/>
                    <w:tr2bl w:val="nil"/>
                  </w:tcBorders>
                  <w:vAlign w:val="center"/>
                </w:tcPr>
                <w:p w14:paraId="7BCFBA4D">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w:t>
                  </w:r>
                </w:p>
              </w:tc>
              <w:tc>
                <w:tcPr>
                  <w:tcW w:w="738" w:type="dxa"/>
                  <w:vMerge w:val="restart"/>
                  <w:tcBorders>
                    <w:tl2br w:val="nil"/>
                    <w:tr2bl w:val="nil"/>
                  </w:tcBorders>
                  <w:vAlign w:val="center"/>
                </w:tcPr>
                <w:p w14:paraId="4E2B26F7">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97</w:t>
                  </w:r>
                </w:p>
              </w:tc>
              <w:tc>
                <w:tcPr>
                  <w:tcW w:w="543" w:type="dxa"/>
                  <w:vMerge w:val="restart"/>
                  <w:tcBorders>
                    <w:tl2br w:val="nil"/>
                    <w:tr2bl w:val="nil"/>
                  </w:tcBorders>
                  <w:vAlign w:val="center"/>
                </w:tcPr>
                <w:p w14:paraId="7208AF73">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442" w:type="dxa"/>
                  <w:tcBorders>
                    <w:tl2br w:val="nil"/>
                    <w:tr2bl w:val="nil"/>
                  </w:tcBorders>
                  <w:vAlign w:val="center"/>
                </w:tcPr>
                <w:p w14:paraId="2057581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东</w:t>
                  </w:r>
                </w:p>
              </w:tc>
              <w:tc>
                <w:tcPr>
                  <w:tcW w:w="723" w:type="dxa"/>
                  <w:tcBorders>
                    <w:tl2br w:val="nil"/>
                    <w:tr2bl w:val="nil"/>
                  </w:tcBorders>
                  <w:vAlign w:val="center"/>
                </w:tcPr>
                <w:p w14:paraId="1906A07F">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17 </w:t>
                  </w:r>
                </w:p>
              </w:tc>
              <w:tc>
                <w:tcPr>
                  <w:tcW w:w="934" w:type="dxa"/>
                  <w:tcBorders>
                    <w:tl2br w:val="nil"/>
                    <w:tr2bl w:val="nil"/>
                  </w:tcBorders>
                  <w:vAlign w:val="center"/>
                </w:tcPr>
                <w:p w14:paraId="298C7451">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40.58 </w:t>
                  </w:r>
                </w:p>
              </w:tc>
              <w:tc>
                <w:tcPr>
                  <w:tcW w:w="624" w:type="dxa"/>
                  <w:vMerge w:val="continue"/>
                  <w:tcBorders>
                    <w:tl2br w:val="nil"/>
                    <w:tr2bl w:val="nil"/>
                  </w:tcBorders>
                  <w:vAlign w:val="center"/>
                </w:tcPr>
                <w:p w14:paraId="1D2B29C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172E079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264A8093">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19.58 </w:t>
                  </w:r>
                </w:p>
              </w:tc>
              <w:tc>
                <w:tcPr>
                  <w:tcW w:w="1174" w:type="dxa"/>
                  <w:tcBorders>
                    <w:tl2br w:val="nil"/>
                    <w:tr2bl w:val="nil"/>
                  </w:tcBorders>
                  <w:vAlign w:val="center"/>
                </w:tcPr>
                <w:p w14:paraId="0BA84B5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68E943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4A831DA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008312A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7C79371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058B97E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2128C21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73E2945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0686A00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0D0970BF">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4BC82F57">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7AA56882">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621DA9D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南</w:t>
                  </w:r>
                </w:p>
              </w:tc>
              <w:tc>
                <w:tcPr>
                  <w:tcW w:w="723" w:type="dxa"/>
                  <w:tcBorders>
                    <w:tl2br w:val="nil"/>
                    <w:tr2bl w:val="nil"/>
                  </w:tcBorders>
                  <w:vAlign w:val="center"/>
                </w:tcPr>
                <w:p w14:paraId="2D99E9EB">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25 </w:t>
                  </w:r>
                </w:p>
              </w:tc>
              <w:tc>
                <w:tcPr>
                  <w:tcW w:w="934" w:type="dxa"/>
                  <w:tcBorders>
                    <w:tl2br w:val="nil"/>
                    <w:tr2bl w:val="nil"/>
                  </w:tcBorders>
                  <w:vAlign w:val="center"/>
                </w:tcPr>
                <w:p w14:paraId="3638922C">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37.13 </w:t>
                  </w:r>
                </w:p>
              </w:tc>
              <w:tc>
                <w:tcPr>
                  <w:tcW w:w="624" w:type="dxa"/>
                  <w:vMerge w:val="continue"/>
                  <w:tcBorders>
                    <w:tl2br w:val="nil"/>
                    <w:tr2bl w:val="nil"/>
                  </w:tcBorders>
                  <w:vAlign w:val="center"/>
                </w:tcPr>
                <w:p w14:paraId="6632B1E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28087D6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2CE68CBF">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16.13 </w:t>
                  </w:r>
                </w:p>
              </w:tc>
              <w:tc>
                <w:tcPr>
                  <w:tcW w:w="1174" w:type="dxa"/>
                  <w:tcBorders>
                    <w:tl2br w:val="nil"/>
                    <w:tr2bl w:val="nil"/>
                  </w:tcBorders>
                  <w:vAlign w:val="center"/>
                </w:tcPr>
                <w:p w14:paraId="51D24A6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1CC509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180CE6A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259CC42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43CD28B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75E6A80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158D506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67A84E1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1104D4C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14D009A4">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7617C436">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21381429">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2937241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西</w:t>
                  </w:r>
                </w:p>
              </w:tc>
              <w:tc>
                <w:tcPr>
                  <w:tcW w:w="723" w:type="dxa"/>
                  <w:tcBorders>
                    <w:tl2br w:val="nil"/>
                    <w:tr2bl w:val="nil"/>
                  </w:tcBorders>
                  <w:vAlign w:val="center"/>
                </w:tcPr>
                <w:p w14:paraId="0E0F8D4F">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 </w:t>
                  </w:r>
                </w:p>
              </w:tc>
              <w:tc>
                <w:tcPr>
                  <w:tcW w:w="934" w:type="dxa"/>
                  <w:tcBorders>
                    <w:tl2br w:val="nil"/>
                    <w:tr2bl w:val="nil"/>
                  </w:tcBorders>
                  <w:vAlign w:val="center"/>
                </w:tcPr>
                <w:p w14:paraId="7E201056">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45.46 </w:t>
                  </w:r>
                </w:p>
              </w:tc>
              <w:tc>
                <w:tcPr>
                  <w:tcW w:w="624" w:type="dxa"/>
                  <w:vMerge w:val="continue"/>
                  <w:tcBorders>
                    <w:tl2br w:val="nil"/>
                    <w:tr2bl w:val="nil"/>
                  </w:tcBorders>
                  <w:vAlign w:val="center"/>
                </w:tcPr>
                <w:p w14:paraId="56D71C9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7B3450F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2645AC39">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24.46 </w:t>
                  </w:r>
                </w:p>
              </w:tc>
              <w:tc>
                <w:tcPr>
                  <w:tcW w:w="1174" w:type="dxa"/>
                  <w:tcBorders>
                    <w:tl2br w:val="nil"/>
                    <w:tr2bl w:val="nil"/>
                  </w:tcBorders>
                  <w:vAlign w:val="center"/>
                </w:tcPr>
                <w:p w14:paraId="33FC789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1</w:t>
                  </w:r>
                </w:p>
              </w:tc>
            </w:tr>
            <w:tr w14:paraId="012B0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2F4CAFC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277C6D3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0F89ACE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6BB2592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29C54DA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1857855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76831F3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47298E86">
                  <w:pPr>
                    <w:pStyle w:val="14"/>
                    <w:bidi w:val="0"/>
                    <w:rPr>
                      <w:color w:val="000000" w:themeColor="text1"/>
                      <w:lang w:val="en-US" w:eastAsia="zh-CN"/>
                      <w14:textFill>
                        <w14:solidFill>
                          <w14:schemeClr w14:val="tx1"/>
                        </w14:solidFill>
                      </w14:textFill>
                    </w:rPr>
                  </w:pPr>
                </w:p>
              </w:tc>
              <w:tc>
                <w:tcPr>
                  <w:tcW w:w="738" w:type="dxa"/>
                  <w:vMerge w:val="continue"/>
                  <w:tcBorders>
                    <w:tl2br w:val="nil"/>
                    <w:tr2bl w:val="nil"/>
                  </w:tcBorders>
                  <w:vAlign w:val="center"/>
                </w:tcPr>
                <w:p w14:paraId="43F4F6DA">
                  <w:pPr>
                    <w:pStyle w:val="14"/>
                    <w:bidi w:val="0"/>
                    <w:rPr>
                      <w:color w:val="000000" w:themeColor="text1"/>
                      <w:lang w:val="en-US" w:eastAsia="zh-CN"/>
                      <w14:textFill>
                        <w14:solidFill>
                          <w14:schemeClr w14:val="tx1"/>
                        </w14:solidFill>
                      </w14:textFill>
                    </w:rPr>
                  </w:pPr>
                </w:p>
              </w:tc>
              <w:tc>
                <w:tcPr>
                  <w:tcW w:w="543" w:type="dxa"/>
                  <w:vMerge w:val="continue"/>
                  <w:tcBorders>
                    <w:tl2br w:val="nil"/>
                    <w:tr2bl w:val="nil"/>
                  </w:tcBorders>
                  <w:vAlign w:val="center"/>
                </w:tcPr>
                <w:p w14:paraId="1B961463">
                  <w:pPr>
                    <w:pStyle w:val="14"/>
                    <w:bidi w:val="0"/>
                    <w:rPr>
                      <w:color w:val="000000" w:themeColor="text1"/>
                      <w:lang w:val="en-US" w:eastAsia="zh-CN"/>
                      <w14:textFill>
                        <w14:solidFill>
                          <w14:schemeClr w14:val="tx1"/>
                        </w14:solidFill>
                      </w14:textFill>
                    </w:rPr>
                  </w:pPr>
                </w:p>
              </w:tc>
              <w:tc>
                <w:tcPr>
                  <w:tcW w:w="442" w:type="dxa"/>
                  <w:tcBorders>
                    <w:tl2br w:val="nil"/>
                    <w:tr2bl w:val="nil"/>
                  </w:tcBorders>
                  <w:vAlign w:val="center"/>
                </w:tcPr>
                <w:p w14:paraId="6FB3E89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北</w:t>
                  </w:r>
                </w:p>
              </w:tc>
              <w:tc>
                <w:tcPr>
                  <w:tcW w:w="723" w:type="dxa"/>
                  <w:tcBorders>
                    <w:tl2br w:val="nil"/>
                    <w:tr2bl w:val="nil"/>
                  </w:tcBorders>
                  <w:vAlign w:val="center"/>
                </w:tcPr>
                <w:p w14:paraId="12C0F544">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7 </w:t>
                  </w:r>
                </w:p>
              </w:tc>
              <w:tc>
                <w:tcPr>
                  <w:tcW w:w="934" w:type="dxa"/>
                  <w:tcBorders>
                    <w:tl2br w:val="nil"/>
                    <w:tr2bl w:val="nil"/>
                  </w:tcBorders>
                  <w:vAlign w:val="center"/>
                </w:tcPr>
                <w:p w14:paraId="1F11631E">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48.47 </w:t>
                  </w:r>
                </w:p>
              </w:tc>
              <w:tc>
                <w:tcPr>
                  <w:tcW w:w="624" w:type="dxa"/>
                  <w:vMerge w:val="continue"/>
                  <w:tcBorders>
                    <w:tl2br w:val="nil"/>
                    <w:tr2bl w:val="nil"/>
                  </w:tcBorders>
                  <w:vAlign w:val="center"/>
                </w:tcPr>
                <w:p w14:paraId="1609171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621A9C9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7DC29A16">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27.47 </w:t>
                  </w:r>
                </w:p>
              </w:tc>
              <w:tc>
                <w:tcPr>
                  <w:tcW w:w="1174" w:type="dxa"/>
                  <w:tcBorders>
                    <w:tl2br w:val="nil"/>
                    <w:tr2bl w:val="nil"/>
                  </w:tcBorders>
                  <w:vAlign w:val="center"/>
                </w:tcPr>
                <w:p w14:paraId="7760032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059F6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 w:hRule="atLeast"/>
                <w:jc w:val="center"/>
              </w:trPr>
              <w:tc>
                <w:tcPr>
                  <w:tcW w:w="486" w:type="dxa"/>
                  <w:vMerge w:val="restart"/>
                  <w:tcBorders>
                    <w:tl2br w:val="nil"/>
                    <w:tr2bl w:val="nil"/>
                  </w:tcBorders>
                  <w:vAlign w:val="center"/>
                </w:tcPr>
                <w:p w14:paraId="0C9DA52E">
                  <w:pPr>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4</w:t>
                  </w:r>
                </w:p>
              </w:tc>
              <w:tc>
                <w:tcPr>
                  <w:tcW w:w="870" w:type="dxa"/>
                  <w:vMerge w:val="continue"/>
                  <w:tcBorders>
                    <w:tl2br w:val="nil"/>
                    <w:tr2bl w:val="nil"/>
                  </w:tcBorders>
                  <w:vAlign w:val="center"/>
                </w:tcPr>
                <w:p w14:paraId="40C9379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restart"/>
                  <w:tcBorders>
                    <w:tl2br w:val="nil"/>
                    <w:tr2bl w:val="nil"/>
                  </w:tcBorders>
                  <w:vAlign w:val="center"/>
                </w:tcPr>
                <w:p w14:paraId="386FDFF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尾气吸收</w:t>
                  </w:r>
                  <w:r>
                    <w:rPr>
                      <w:rFonts w:hint="eastAsia" w:cs="Times New Roman"/>
                      <w:bCs/>
                      <w:color w:val="000000" w:themeColor="text1"/>
                      <w:sz w:val="21"/>
                      <w:szCs w:val="21"/>
                      <w:highlight w:val="none"/>
                      <w:vertAlign w:val="baseline"/>
                      <w:lang w:eastAsia="zh-CN"/>
                      <w14:textFill>
                        <w14:solidFill>
                          <w14:schemeClr w14:val="tx1"/>
                        </w14:solidFill>
                      </w14:textFill>
                    </w:rPr>
                    <w:t>塔</w:t>
                  </w:r>
                </w:p>
              </w:tc>
              <w:tc>
                <w:tcPr>
                  <w:tcW w:w="1592" w:type="dxa"/>
                  <w:vMerge w:val="restart"/>
                  <w:tcBorders>
                    <w:tl2br w:val="nil"/>
                    <w:tr2bl w:val="nil"/>
                  </w:tcBorders>
                  <w:vAlign w:val="center"/>
                </w:tcPr>
                <w:p w14:paraId="06EB9A03">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bCs/>
                      <w:color w:val="000000" w:themeColor="text1"/>
                      <w:sz w:val="21"/>
                      <w:szCs w:val="21"/>
                      <w:vertAlign w:val="baseline"/>
                      <w:lang w:val="en-US" w:eastAsia="zh-CN"/>
                      <w14:textFill>
                        <w14:solidFill>
                          <w14:schemeClr w14:val="tx1"/>
                        </w14:solidFill>
                      </w14:textFill>
                    </w:rPr>
                    <w:t>D=1800mm，H=7000mm</w:t>
                  </w:r>
                </w:p>
              </w:tc>
              <w:tc>
                <w:tcPr>
                  <w:tcW w:w="804" w:type="dxa"/>
                  <w:vMerge w:val="restart"/>
                  <w:tcBorders>
                    <w:tl2br w:val="nil"/>
                    <w:tr2bl w:val="nil"/>
                  </w:tcBorders>
                  <w:vAlign w:val="center"/>
                </w:tcPr>
                <w:p w14:paraId="4950BAF0">
                  <w:pPr>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c>
                <w:tcPr>
                  <w:tcW w:w="1181" w:type="dxa"/>
                  <w:vMerge w:val="restart"/>
                  <w:tcBorders>
                    <w:tl2br w:val="nil"/>
                    <w:tr2bl w:val="nil"/>
                  </w:tcBorders>
                  <w:vAlign w:val="center"/>
                </w:tcPr>
                <w:p w14:paraId="4BCCCC1F">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75</w:t>
                  </w:r>
                </w:p>
              </w:tc>
              <w:tc>
                <w:tcPr>
                  <w:tcW w:w="837" w:type="dxa"/>
                  <w:vMerge w:val="continue"/>
                  <w:tcBorders>
                    <w:tl2br w:val="nil"/>
                    <w:tr2bl w:val="nil"/>
                  </w:tcBorders>
                  <w:vAlign w:val="center"/>
                </w:tcPr>
                <w:p w14:paraId="09B94AE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restart"/>
                  <w:tcBorders>
                    <w:tl2br w:val="nil"/>
                    <w:tr2bl w:val="nil"/>
                  </w:tcBorders>
                  <w:vAlign w:val="center"/>
                </w:tcPr>
                <w:p w14:paraId="22BDBCB0">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w:t>
                  </w:r>
                </w:p>
              </w:tc>
              <w:tc>
                <w:tcPr>
                  <w:tcW w:w="738" w:type="dxa"/>
                  <w:vMerge w:val="restart"/>
                  <w:tcBorders>
                    <w:tl2br w:val="nil"/>
                    <w:tr2bl w:val="nil"/>
                  </w:tcBorders>
                  <w:vAlign w:val="center"/>
                </w:tcPr>
                <w:p w14:paraId="1CF4A4F9">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91</w:t>
                  </w:r>
                </w:p>
              </w:tc>
              <w:tc>
                <w:tcPr>
                  <w:tcW w:w="543" w:type="dxa"/>
                  <w:vMerge w:val="restart"/>
                  <w:tcBorders>
                    <w:tl2br w:val="nil"/>
                    <w:tr2bl w:val="nil"/>
                  </w:tcBorders>
                  <w:vAlign w:val="center"/>
                </w:tcPr>
                <w:p w14:paraId="6698891B">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442" w:type="dxa"/>
                  <w:tcBorders>
                    <w:tl2br w:val="nil"/>
                    <w:tr2bl w:val="nil"/>
                  </w:tcBorders>
                  <w:vAlign w:val="center"/>
                </w:tcPr>
                <w:p w14:paraId="445F615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东</w:t>
                  </w:r>
                </w:p>
              </w:tc>
              <w:tc>
                <w:tcPr>
                  <w:tcW w:w="723" w:type="dxa"/>
                  <w:tcBorders>
                    <w:tl2br w:val="nil"/>
                    <w:tr2bl w:val="nil"/>
                  </w:tcBorders>
                  <w:vAlign w:val="center"/>
                </w:tcPr>
                <w:p w14:paraId="06FEA55B">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10 </w:t>
                  </w:r>
                </w:p>
              </w:tc>
              <w:tc>
                <w:tcPr>
                  <w:tcW w:w="934" w:type="dxa"/>
                  <w:tcBorders>
                    <w:tl2br w:val="nil"/>
                    <w:tr2bl w:val="nil"/>
                  </w:tcBorders>
                  <w:vAlign w:val="center"/>
                </w:tcPr>
                <w:p w14:paraId="7CC3201D">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54.63 </w:t>
                  </w:r>
                </w:p>
              </w:tc>
              <w:tc>
                <w:tcPr>
                  <w:tcW w:w="624" w:type="dxa"/>
                  <w:vMerge w:val="continue"/>
                  <w:tcBorders>
                    <w:tl2br w:val="nil"/>
                    <w:tr2bl w:val="nil"/>
                  </w:tcBorders>
                  <w:vAlign w:val="center"/>
                </w:tcPr>
                <w:p w14:paraId="5A1CA9B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13F40454">
                  <w:pPr>
                    <w:adjustRightInd w:val="0"/>
                    <w:snapToGrid w:val="0"/>
                    <w:spacing w:line="240" w:lineRule="auto"/>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05AEBD17">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33.63 </w:t>
                  </w:r>
                </w:p>
              </w:tc>
              <w:tc>
                <w:tcPr>
                  <w:tcW w:w="1174" w:type="dxa"/>
                  <w:tcBorders>
                    <w:tl2br w:val="nil"/>
                    <w:tr2bl w:val="nil"/>
                  </w:tcBorders>
                  <w:vAlign w:val="center"/>
                </w:tcPr>
                <w:p w14:paraId="6C7E2D98">
                  <w:pPr>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r>
            <w:tr w14:paraId="38930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 w:hRule="atLeast"/>
                <w:jc w:val="center"/>
              </w:trPr>
              <w:tc>
                <w:tcPr>
                  <w:tcW w:w="486" w:type="dxa"/>
                  <w:vMerge w:val="continue"/>
                  <w:tcBorders>
                    <w:tl2br w:val="nil"/>
                    <w:tr2bl w:val="nil"/>
                  </w:tcBorders>
                  <w:vAlign w:val="center"/>
                </w:tcPr>
                <w:p w14:paraId="1902EAD6">
                  <w:pPr>
                    <w:widowControl w:val="0"/>
                    <w:bidi w:val="0"/>
                    <w:adjustRightInd w:val="0"/>
                    <w:snapToGrid w:val="0"/>
                    <w:spacing w:line="240" w:lineRule="auto"/>
                    <w:jc w:val="center"/>
                    <w:rPr>
                      <w:color w:val="000000" w:themeColor="text1"/>
                      <w14:textFill>
                        <w14:solidFill>
                          <w14:schemeClr w14:val="tx1"/>
                        </w14:solidFill>
                      </w14:textFill>
                    </w:rPr>
                  </w:pPr>
                </w:p>
              </w:tc>
              <w:tc>
                <w:tcPr>
                  <w:tcW w:w="870" w:type="dxa"/>
                  <w:vMerge w:val="continue"/>
                  <w:tcBorders>
                    <w:tl2br w:val="nil"/>
                    <w:tr2bl w:val="nil"/>
                  </w:tcBorders>
                  <w:vAlign w:val="center"/>
                </w:tcPr>
                <w:p w14:paraId="64A4BE3D">
                  <w:pPr>
                    <w:widowControl w:val="0"/>
                    <w:bidi w:val="0"/>
                    <w:adjustRightInd w:val="0"/>
                    <w:snapToGrid w:val="0"/>
                    <w:spacing w:line="240" w:lineRule="auto"/>
                    <w:jc w:val="center"/>
                    <w:rPr>
                      <w:color w:val="000000" w:themeColor="text1"/>
                      <w14:textFill>
                        <w14:solidFill>
                          <w14:schemeClr w14:val="tx1"/>
                        </w14:solidFill>
                      </w14:textFill>
                    </w:rPr>
                  </w:pPr>
                </w:p>
              </w:tc>
              <w:tc>
                <w:tcPr>
                  <w:tcW w:w="1443" w:type="dxa"/>
                  <w:vMerge w:val="continue"/>
                  <w:tcBorders>
                    <w:tl2br w:val="nil"/>
                    <w:tr2bl w:val="nil"/>
                  </w:tcBorders>
                  <w:vAlign w:val="center"/>
                </w:tcPr>
                <w:p w14:paraId="366B543D">
                  <w:pPr>
                    <w:widowControl w:val="0"/>
                    <w:bidi w:val="0"/>
                    <w:adjustRightInd w:val="0"/>
                    <w:snapToGrid w:val="0"/>
                    <w:spacing w:line="240" w:lineRule="auto"/>
                    <w:jc w:val="center"/>
                    <w:rPr>
                      <w:color w:val="000000" w:themeColor="text1"/>
                      <w14:textFill>
                        <w14:solidFill>
                          <w14:schemeClr w14:val="tx1"/>
                        </w14:solidFill>
                      </w14:textFill>
                    </w:rPr>
                  </w:pPr>
                </w:p>
              </w:tc>
              <w:tc>
                <w:tcPr>
                  <w:tcW w:w="1592" w:type="dxa"/>
                  <w:vMerge w:val="continue"/>
                  <w:tcBorders>
                    <w:tl2br w:val="nil"/>
                    <w:tr2bl w:val="nil"/>
                  </w:tcBorders>
                  <w:vAlign w:val="center"/>
                </w:tcPr>
                <w:p w14:paraId="16FD5549">
                  <w:pPr>
                    <w:widowControl w:val="0"/>
                    <w:bidi w:val="0"/>
                    <w:adjustRightInd w:val="0"/>
                    <w:snapToGrid w:val="0"/>
                    <w:spacing w:line="240" w:lineRule="auto"/>
                    <w:jc w:val="center"/>
                    <w:rPr>
                      <w:color w:val="000000" w:themeColor="text1"/>
                      <w14:textFill>
                        <w14:solidFill>
                          <w14:schemeClr w14:val="tx1"/>
                        </w14:solidFill>
                      </w14:textFill>
                    </w:rPr>
                  </w:pPr>
                </w:p>
              </w:tc>
              <w:tc>
                <w:tcPr>
                  <w:tcW w:w="804" w:type="dxa"/>
                  <w:vMerge w:val="continue"/>
                  <w:tcBorders>
                    <w:tl2br w:val="nil"/>
                    <w:tr2bl w:val="nil"/>
                  </w:tcBorders>
                  <w:vAlign w:val="center"/>
                </w:tcPr>
                <w:p w14:paraId="42A9BF9E">
                  <w:pPr>
                    <w:widowControl w:val="0"/>
                    <w:bidi w:val="0"/>
                    <w:adjustRightInd w:val="0"/>
                    <w:snapToGrid w:val="0"/>
                    <w:spacing w:line="240" w:lineRule="auto"/>
                    <w:jc w:val="center"/>
                    <w:rPr>
                      <w:color w:val="000000" w:themeColor="text1"/>
                      <w14:textFill>
                        <w14:solidFill>
                          <w14:schemeClr w14:val="tx1"/>
                        </w14:solidFill>
                      </w14:textFill>
                    </w:rPr>
                  </w:pPr>
                </w:p>
              </w:tc>
              <w:tc>
                <w:tcPr>
                  <w:tcW w:w="1181" w:type="dxa"/>
                  <w:vMerge w:val="continue"/>
                  <w:tcBorders>
                    <w:tl2br w:val="nil"/>
                    <w:tr2bl w:val="nil"/>
                  </w:tcBorders>
                  <w:vAlign w:val="center"/>
                </w:tcPr>
                <w:p w14:paraId="2172EDB3">
                  <w:pPr>
                    <w:widowControl w:val="0"/>
                    <w:bidi w:val="0"/>
                    <w:adjustRightInd w:val="0"/>
                    <w:snapToGrid w:val="0"/>
                    <w:spacing w:line="240" w:lineRule="auto"/>
                    <w:jc w:val="center"/>
                    <w:rPr>
                      <w:color w:val="000000" w:themeColor="text1"/>
                      <w14:textFill>
                        <w14:solidFill>
                          <w14:schemeClr w14:val="tx1"/>
                        </w14:solidFill>
                      </w14:textFill>
                    </w:rPr>
                  </w:pPr>
                </w:p>
              </w:tc>
              <w:tc>
                <w:tcPr>
                  <w:tcW w:w="837" w:type="dxa"/>
                  <w:vMerge w:val="continue"/>
                  <w:tcBorders>
                    <w:tl2br w:val="nil"/>
                    <w:tr2bl w:val="nil"/>
                  </w:tcBorders>
                  <w:vAlign w:val="center"/>
                </w:tcPr>
                <w:p w14:paraId="689F9148">
                  <w:pPr>
                    <w:widowControl w:val="0"/>
                    <w:bidi w:val="0"/>
                    <w:adjustRightInd w:val="0"/>
                    <w:snapToGrid w:val="0"/>
                    <w:spacing w:line="240" w:lineRule="auto"/>
                    <w:jc w:val="center"/>
                    <w:rPr>
                      <w:color w:val="000000" w:themeColor="text1"/>
                      <w14:textFill>
                        <w14:solidFill>
                          <w14:schemeClr w14:val="tx1"/>
                        </w14:solidFill>
                      </w14:textFill>
                    </w:rPr>
                  </w:pPr>
                </w:p>
              </w:tc>
              <w:tc>
                <w:tcPr>
                  <w:tcW w:w="754" w:type="dxa"/>
                  <w:vMerge w:val="continue"/>
                  <w:tcBorders>
                    <w:tl2br w:val="nil"/>
                    <w:tr2bl w:val="nil"/>
                  </w:tcBorders>
                  <w:vAlign w:val="center"/>
                </w:tcPr>
                <w:p w14:paraId="30DC1414">
                  <w:pPr>
                    <w:pStyle w:val="14"/>
                    <w:bidi w:val="0"/>
                    <w:rPr>
                      <w:color w:val="000000" w:themeColor="text1"/>
                      <w14:textFill>
                        <w14:solidFill>
                          <w14:schemeClr w14:val="tx1"/>
                        </w14:solidFill>
                      </w14:textFill>
                    </w:rPr>
                  </w:pPr>
                </w:p>
              </w:tc>
              <w:tc>
                <w:tcPr>
                  <w:tcW w:w="738" w:type="dxa"/>
                  <w:vMerge w:val="continue"/>
                  <w:tcBorders>
                    <w:tl2br w:val="nil"/>
                    <w:tr2bl w:val="nil"/>
                  </w:tcBorders>
                  <w:vAlign w:val="center"/>
                </w:tcPr>
                <w:p w14:paraId="719C0CE9">
                  <w:pPr>
                    <w:pStyle w:val="14"/>
                    <w:bidi w:val="0"/>
                    <w:rPr>
                      <w:color w:val="000000" w:themeColor="text1"/>
                      <w14:textFill>
                        <w14:solidFill>
                          <w14:schemeClr w14:val="tx1"/>
                        </w14:solidFill>
                      </w14:textFill>
                    </w:rPr>
                  </w:pPr>
                </w:p>
              </w:tc>
              <w:tc>
                <w:tcPr>
                  <w:tcW w:w="543" w:type="dxa"/>
                  <w:vMerge w:val="continue"/>
                  <w:tcBorders>
                    <w:tl2br w:val="nil"/>
                    <w:tr2bl w:val="nil"/>
                  </w:tcBorders>
                  <w:vAlign w:val="center"/>
                </w:tcPr>
                <w:p w14:paraId="5580B6AA">
                  <w:pPr>
                    <w:pStyle w:val="14"/>
                    <w:bidi w:val="0"/>
                    <w:rPr>
                      <w:color w:val="000000" w:themeColor="text1"/>
                      <w14:textFill>
                        <w14:solidFill>
                          <w14:schemeClr w14:val="tx1"/>
                        </w14:solidFill>
                      </w14:textFill>
                    </w:rPr>
                  </w:pPr>
                </w:p>
              </w:tc>
              <w:tc>
                <w:tcPr>
                  <w:tcW w:w="442" w:type="dxa"/>
                  <w:tcBorders>
                    <w:tl2br w:val="nil"/>
                    <w:tr2bl w:val="nil"/>
                  </w:tcBorders>
                  <w:vAlign w:val="center"/>
                </w:tcPr>
                <w:p w14:paraId="1802F7A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南</w:t>
                  </w:r>
                </w:p>
              </w:tc>
              <w:tc>
                <w:tcPr>
                  <w:tcW w:w="723" w:type="dxa"/>
                  <w:tcBorders>
                    <w:tl2br w:val="nil"/>
                    <w:tr2bl w:val="nil"/>
                  </w:tcBorders>
                  <w:vAlign w:val="center"/>
                </w:tcPr>
                <w:p w14:paraId="0340C9DB">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18 </w:t>
                  </w:r>
                </w:p>
              </w:tc>
              <w:tc>
                <w:tcPr>
                  <w:tcW w:w="934" w:type="dxa"/>
                  <w:tcBorders>
                    <w:tl2br w:val="nil"/>
                    <w:tr2bl w:val="nil"/>
                  </w:tcBorders>
                  <w:vAlign w:val="center"/>
                </w:tcPr>
                <w:p w14:paraId="7903D9FA">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49.84 </w:t>
                  </w:r>
                </w:p>
              </w:tc>
              <w:tc>
                <w:tcPr>
                  <w:tcW w:w="624" w:type="dxa"/>
                  <w:vMerge w:val="continue"/>
                  <w:tcBorders>
                    <w:tl2br w:val="nil"/>
                    <w:tr2bl w:val="nil"/>
                  </w:tcBorders>
                  <w:vAlign w:val="center"/>
                </w:tcPr>
                <w:p w14:paraId="09BB3514">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76173CA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30B8E8CF">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28.84 </w:t>
                  </w:r>
                </w:p>
              </w:tc>
              <w:tc>
                <w:tcPr>
                  <w:tcW w:w="1174" w:type="dxa"/>
                  <w:tcBorders>
                    <w:tl2br w:val="nil"/>
                    <w:tr2bl w:val="nil"/>
                  </w:tcBorders>
                  <w:vAlign w:val="center"/>
                </w:tcPr>
                <w:p w14:paraId="5372DF09">
                  <w:pPr>
                    <w:widowControl w:val="0"/>
                    <w:bidi w:val="0"/>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r>
            <w:tr w14:paraId="6E6EA4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 w:hRule="atLeast"/>
                <w:jc w:val="center"/>
              </w:trPr>
              <w:tc>
                <w:tcPr>
                  <w:tcW w:w="486" w:type="dxa"/>
                  <w:vMerge w:val="continue"/>
                  <w:tcBorders>
                    <w:tl2br w:val="nil"/>
                    <w:tr2bl w:val="nil"/>
                  </w:tcBorders>
                  <w:vAlign w:val="center"/>
                </w:tcPr>
                <w:p w14:paraId="778A3827">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51952156">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0027470C">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327968E9">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37FFBD5A">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5298DCAC">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37A4B2AD">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16C1ED79">
                  <w:pPr>
                    <w:pStyle w:val="14"/>
                    <w:bidi w:val="0"/>
                    <w:rPr>
                      <w:color w:val="000000" w:themeColor="text1"/>
                      <w14:textFill>
                        <w14:solidFill>
                          <w14:schemeClr w14:val="tx1"/>
                        </w14:solidFill>
                      </w14:textFill>
                    </w:rPr>
                  </w:pPr>
                </w:p>
              </w:tc>
              <w:tc>
                <w:tcPr>
                  <w:tcW w:w="738" w:type="dxa"/>
                  <w:vMerge w:val="continue"/>
                  <w:tcBorders>
                    <w:tl2br w:val="nil"/>
                    <w:tr2bl w:val="nil"/>
                  </w:tcBorders>
                  <w:vAlign w:val="center"/>
                </w:tcPr>
                <w:p w14:paraId="3F12D357">
                  <w:pPr>
                    <w:pStyle w:val="14"/>
                    <w:bidi w:val="0"/>
                    <w:rPr>
                      <w:color w:val="000000" w:themeColor="text1"/>
                      <w14:textFill>
                        <w14:solidFill>
                          <w14:schemeClr w14:val="tx1"/>
                        </w14:solidFill>
                      </w14:textFill>
                    </w:rPr>
                  </w:pPr>
                </w:p>
              </w:tc>
              <w:tc>
                <w:tcPr>
                  <w:tcW w:w="543" w:type="dxa"/>
                  <w:vMerge w:val="continue"/>
                  <w:tcBorders>
                    <w:tl2br w:val="nil"/>
                    <w:tr2bl w:val="nil"/>
                  </w:tcBorders>
                  <w:vAlign w:val="center"/>
                </w:tcPr>
                <w:p w14:paraId="622C6991">
                  <w:pPr>
                    <w:pStyle w:val="14"/>
                    <w:bidi w:val="0"/>
                    <w:rPr>
                      <w:color w:val="000000" w:themeColor="text1"/>
                      <w14:textFill>
                        <w14:solidFill>
                          <w14:schemeClr w14:val="tx1"/>
                        </w14:solidFill>
                      </w14:textFill>
                    </w:rPr>
                  </w:pPr>
                </w:p>
              </w:tc>
              <w:tc>
                <w:tcPr>
                  <w:tcW w:w="442" w:type="dxa"/>
                  <w:tcBorders>
                    <w:tl2br w:val="nil"/>
                    <w:tr2bl w:val="nil"/>
                  </w:tcBorders>
                  <w:vAlign w:val="center"/>
                </w:tcPr>
                <w:p w14:paraId="1FAE9BA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西</w:t>
                  </w:r>
                </w:p>
              </w:tc>
              <w:tc>
                <w:tcPr>
                  <w:tcW w:w="723" w:type="dxa"/>
                  <w:tcBorders>
                    <w:tl2br w:val="nil"/>
                    <w:tr2bl w:val="nil"/>
                  </w:tcBorders>
                  <w:vAlign w:val="center"/>
                </w:tcPr>
                <w:p w14:paraId="29AEC396">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8 </w:t>
                  </w:r>
                </w:p>
              </w:tc>
              <w:tc>
                <w:tcPr>
                  <w:tcW w:w="934" w:type="dxa"/>
                  <w:tcBorders>
                    <w:tl2br w:val="nil"/>
                    <w:tr2bl w:val="nil"/>
                  </w:tcBorders>
                  <w:vAlign w:val="center"/>
                </w:tcPr>
                <w:p w14:paraId="5801D12C">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57.37 </w:t>
                  </w:r>
                </w:p>
              </w:tc>
              <w:tc>
                <w:tcPr>
                  <w:tcW w:w="624" w:type="dxa"/>
                  <w:vMerge w:val="continue"/>
                  <w:tcBorders>
                    <w:tl2br w:val="nil"/>
                    <w:tr2bl w:val="nil"/>
                  </w:tcBorders>
                  <w:vAlign w:val="center"/>
                </w:tcPr>
                <w:p w14:paraId="73F16B5E">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722663E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1ADD5E24">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36.37 </w:t>
                  </w:r>
                </w:p>
              </w:tc>
              <w:tc>
                <w:tcPr>
                  <w:tcW w:w="1174" w:type="dxa"/>
                  <w:tcBorders>
                    <w:tl2br w:val="nil"/>
                    <w:tr2bl w:val="nil"/>
                  </w:tcBorders>
                  <w:vAlign w:val="center"/>
                </w:tcPr>
                <w:p w14:paraId="552E9EFD">
                  <w:pPr>
                    <w:widowControl w:val="0"/>
                    <w:bidi w:val="0"/>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r>
            <w:tr w14:paraId="349928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 w:hRule="atLeast"/>
                <w:jc w:val="center"/>
              </w:trPr>
              <w:tc>
                <w:tcPr>
                  <w:tcW w:w="486" w:type="dxa"/>
                  <w:vMerge w:val="continue"/>
                  <w:tcBorders>
                    <w:tl2br w:val="nil"/>
                    <w:tr2bl w:val="nil"/>
                  </w:tcBorders>
                  <w:vAlign w:val="center"/>
                </w:tcPr>
                <w:p w14:paraId="03C6BB59">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2E610EC9">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2A573723">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4CF34240">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2C45BD73">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60E85030">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6FC07999">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7DB3CCFA">
                  <w:pPr>
                    <w:pStyle w:val="14"/>
                    <w:bidi w:val="0"/>
                    <w:rPr>
                      <w:color w:val="000000" w:themeColor="text1"/>
                      <w14:textFill>
                        <w14:solidFill>
                          <w14:schemeClr w14:val="tx1"/>
                        </w14:solidFill>
                      </w14:textFill>
                    </w:rPr>
                  </w:pPr>
                </w:p>
              </w:tc>
              <w:tc>
                <w:tcPr>
                  <w:tcW w:w="738" w:type="dxa"/>
                  <w:vMerge w:val="continue"/>
                  <w:tcBorders>
                    <w:tl2br w:val="nil"/>
                    <w:tr2bl w:val="nil"/>
                  </w:tcBorders>
                  <w:vAlign w:val="center"/>
                </w:tcPr>
                <w:p w14:paraId="660C82A9">
                  <w:pPr>
                    <w:pStyle w:val="14"/>
                    <w:bidi w:val="0"/>
                    <w:rPr>
                      <w:color w:val="000000" w:themeColor="text1"/>
                      <w14:textFill>
                        <w14:solidFill>
                          <w14:schemeClr w14:val="tx1"/>
                        </w14:solidFill>
                      </w14:textFill>
                    </w:rPr>
                  </w:pPr>
                </w:p>
              </w:tc>
              <w:tc>
                <w:tcPr>
                  <w:tcW w:w="543" w:type="dxa"/>
                  <w:vMerge w:val="continue"/>
                  <w:tcBorders>
                    <w:tl2br w:val="nil"/>
                    <w:tr2bl w:val="nil"/>
                  </w:tcBorders>
                  <w:vAlign w:val="center"/>
                </w:tcPr>
                <w:p w14:paraId="35C67D19">
                  <w:pPr>
                    <w:pStyle w:val="14"/>
                    <w:bidi w:val="0"/>
                    <w:rPr>
                      <w:color w:val="000000" w:themeColor="text1"/>
                      <w14:textFill>
                        <w14:solidFill>
                          <w14:schemeClr w14:val="tx1"/>
                        </w14:solidFill>
                      </w14:textFill>
                    </w:rPr>
                  </w:pPr>
                </w:p>
              </w:tc>
              <w:tc>
                <w:tcPr>
                  <w:tcW w:w="442" w:type="dxa"/>
                  <w:tcBorders>
                    <w:tl2br w:val="nil"/>
                    <w:tr2bl w:val="nil"/>
                  </w:tcBorders>
                  <w:vAlign w:val="center"/>
                </w:tcPr>
                <w:p w14:paraId="083D279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北</w:t>
                  </w:r>
                </w:p>
              </w:tc>
              <w:tc>
                <w:tcPr>
                  <w:tcW w:w="723" w:type="dxa"/>
                  <w:tcBorders>
                    <w:tl2br w:val="nil"/>
                    <w:tr2bl w:val="nil"/>
                  </w:tcBorders>
                  <w:vAlign w:val="center"/>
                </w:tcPr>
                <w:p w14:paraId="0DB67D66">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9 </w:t>
                  </w:r>
                </w:p>
              </w:tc>
              <w:tc>
                <w:tcPr>
                  <w:tcW w:w="934" w:type="dxa"/>
                  <w:tcBorders>
                    <w:tl2br w:val="nil"/>
                    <w:tr2bl w:val="nil"/>
                  </w:tcBorders>
                  <w:vAlign w:val="center"/>
                </w:tcPr>
                <w:p w14:paraId="0EF8AC76">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55.71 </w:t>
                  </w:r>
                </w:p>
              </w:tc>
              <w:tc>
                <w:tcPr>
                  <w:tcW w:w="624" w:type="dxa"/>
                  <w:vMerge w:val="continue"/>
                  <w:tcBorders>
                    <w:tl2br w:val="nil"/>
                    <w:tr2bl w:val="nil"/>
                  </w:tcBorders>
                  <w:vAlign w:val="center"/>
                </w:tcPr>
                <w:p w14:paraId="49528DE1">
                  <w:pPr>
                    <w:widowControl w:val="0"/>
                    <w:bidi w:val="0"/>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210B7B8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4EE044E8">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34.71 </w:t>
                  </w:r>
                </w:p>
              </w:tc>
              <w:tc>
                <w:tcPr>
                  <w:tcW w:w="1174" w:type="dxa"/>
                  <w:tcBorders>
                    <w:tl2br w:val="nil"/>
                    <w:tr2bl w:val="nil"/>
                  </w:tcBorders>
                  <w:vAlign w:val="center"/>
                </w:tcPr>
                <w:p w14:paraId="14A65375">
                  <w:pPr>
                    <w:widowControl w:val="0"/>
                    <w:bidi w:val="0"/>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r>
            <w:tr w14:paraId="6A6663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restart"/>
                  <w:tcBorders>
                    <w:tl2br w:val="nil"/>
                    <w:tr2bl w:val="nil"/>
                  </w:tcBorders>
                  <w:vAlign w:val="center"/>
                </w:tcPr>
                <w:p w14:paraId="694ACF05">
                  <w:pPr>
                    <w:adjustRightInd w:val="0"/>
                    <w:snapToGrid w:val="0"/>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5</w:t>
                  </w:r>
                </w:p>
              </w:tc>
              <w:tc>
                <w:tcPr>
                  <w:tcW w:w="870" w:type="dxa"/>
                  <w:vMerge w:val="continue"/>
                  <w:tcBorders>
                    <w:tl2br w:val="nil"/>
                    <w:tr2bl w:val="nil"/>
                  </w:tcBorders>
                  <w:vAlign w:val="center"/>
                </w:tcPr>
                <w:p w14:paraId="2CB15A4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restart"/>
                  <w:tcBorders>
                    <w:tl2br w:val="nil"/>
                    <w:tr2bl w:val="nil"/>
                  </w:tcBorders>
                  <w:vAlign w:val="center"/>
                </w:tcPr>
                <w:p w14:paraId="20CF947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吸收循环</w:t>
                  </w:r>
                  <w:r>
                    <w:rPr>
                      <w:rFonts w:hint="eastAsia" w:ascii="Times New Roman" w:hAnsi="Times New Roman" w:eastAsia="宋体" w:cs="Times New Roman"/>
                      <w:bCs/>
                      <w:color w:val="000000" w:themeColor="text1"/>
                      <w:sz w:val="21"/>
                      <w:szCs w:val="21"/>
                      <w:highlight w:val="none"/>
                      <w:vertAlign w:val="baseline"/>
                      <w:lang w:eastAsia="zh-CN"/>
                      <w14:textFill>
                        <w14:solidFill>
                          <w14:schemeClr w14:val="tx1"/>
                        </w14:solidFill>
                      </w14:textFill>
                    </w:rPr>
                    <w:t>泵</w:t>
                  </w:r>
                </w:p>
              </w:tc>
              <w:tc>
                <w:tcPr>
                  <w:tcW w:w="1592" w:type="dxa"/>
                  <w:vMerge w:val="restart"/>
                  <w:tcBorders>
                    <w:tl2br w:val="nil"/>
                    <w:tr2bl w:val="nil"/>
                  </w:tcBorders>
                  <w:vAlign w:val="center"/>
                </w:tcPr>
                <w:p w14:paraId="4B5DB05E">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流量15m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/h，扬程20m，卧式</w:t>
                  </w:r>
                </w:p>
              </w:tc>
              <w:tc>
                <w:tcPr>
                  <w:tcW w:w="804" w:type="dxa"/>
                  <w:vMerge w:val="restart"/>
                  <w:tcBorders>
                    <w:tl2br w:val="nil"/>
                    <w:tr2bl w:val="nil"/>
                  </w:tcBorders>
                  <w:vAlign w:val="center"/>
                </w:tcPr>
                <w:p w14:paraId="71EE8550">
                  <w:pPr>
                    <w:adjustRightInd w:val="0"/>
                    <w:snapToGrid w:val="0"/>
                    <w:spacing w:line="240" w:lineRule="auto"/>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1181" w:type="dxa"/>
                  <w:vMerge w:val="restart"/>
                  <w:tcBorders>
                    <w:tl2br w:val="nil"/>
                    <w:tr2bl w:val="nil"/>
                  </w:tcBorders>
                  <w:vAlign w:val="center"/>
                </w:tcPr>
                <w:p w14:paraId="6D16E5BD">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75</w:t>
                  </w:r>
                </w:p>
              </w:tc>
              <w:tc>
                <w:tcPr>
                  <w:tcW w:w="837" w:type="dxa"/>
                  <w:vMerge w:val="continue"/>
                  <w:tcBorders>
                    <w:tl2br w:val="nil"/>
                    <w:tr2bl w:val="nil"/>
                  </w:tcBorders>
                  <w:vAlign w:val="center"/>
                </w:tcPr>
                <w:p w14:paraId="344449E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restart"/>
                  <w:tcBorders>
                    <w:tl2br w:val="nil"/>
                    <w:tr2bl w:val="nil"/>
                  </w:tcBorders>
                  <w:vAlign w:val="center"/>
                </w:tcPr>
                <w:p w14:paraId="11AD2674">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c>
                <w:tcPr>
                  <w:tcW w:w="738" w:type="dxa"/>
                  <w:vMerge w:val="restart"/>
                  <w:tcBorders>
                    <w:tl2br w:val="nil"/>
                    <w:tr2bl w:val="nil"/>
                  </w:tcBorders>
                  <w:vAlign w:val="center"/>
                </w:tcPr>
                <w:p w14:paraId="27F43236">
                  <w:pPr>
                    <w:pStyle w:val="1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93</w:t>
                  </w:r>
                </w:p>
              </w:tc>
              <w:tc>
                <w:tcPr>
                  <w:tcW w:w="543" w:type="dxa"/>
                  <w:vMerge w:val="restart"/>
                  <w:tcBorders>
                    <w:tl2br w:val="nil"/>
                    <w:tr2bl w:val="nil"/>
                  </w:tcBorders>
                  <w:vAlign w:val="center"/>
                </w:tcPr>
                <w:p w14:paraId="749C0CBA">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442" w:type="dxa"/>
                  <w:tcBorders>
                    <w:tl2br w:val="nil"/>
                    <w:tr2bl w:val="nil"/>
                  </w:tcBorders>
                  <w:vAlign w:val="center"/>
                </w:tcPr>
                <w:p w14:paraId="070AFDE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东</w:t>
                  </w:r>
                </w:p>
              </w:tc>
              <w:tc>
                <w:tcPr>
                  <w:tcW w:w="723" w:type="dxa"/>
                  <w:tcBorders>
                    <w:tl2br w:val="nil"/>
                    <w:tr2bl w:val="nil"/>
                  </w:tcBorders>
                  <w:vAlign w:val="center"/>
                </w:tcPr>
                <w:p w14:paraId="3C7ADA54">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 </w:t>
                  </w:r>
                </w:p>
              </w:tc>
              <w:tc>
                <w:tcPr>
                  <w:tcW w:w="934" w:type="dxa"/>
                  <w:tcBorders>
                    <w:tl2br w:val="nil"/>
                    <w:tr2bl w:val="nil"/>
                  </w:tcBorders>
                  <w:vAlign w:val="center"/>
                </w:tcPr>
                <w:p w14:paraId="2782ADC2">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59.69 </w:t>
                  </w:r>
                </w:p>
              </w:tc>
              <w:tc>
                <w:tcPr>
                  <w:tcW w:w="624" w:type="dxa"/>
                  <w:vMerge w:val="continue"/>
                  <w:tcBorders>
                    <w:tl2br w:val="nil"/>
                    <w:tr2bl w:val="nil"/>
                  </w:tcBorders>
                  <w:vAlign w:val="center"/>
                </w:tcPr>
                <w:p w14:paraId="593C1A4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2191807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4032B5CC">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38.69 </w:t>
                  </w:r>
                </w:p>
              </w:tc>
              <w:tc>
                <w:tcPr>
                  <w:tcW w:w="1174" w:type="dxa"/>
                  <w:tcBorders>
                    <w:tl2br w:val="nil"/>
                    <w:tr2bl w:val="nil"/>
                  </w:tcBorders>
                  <w:vAlign w:val="center"/>
                </w:tcPr>
                <w:p w14:paraId="374626B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5D802C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7FECD8F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439ED75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328501F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091A1E7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7971B1B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2144632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3B706AA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5C499E02">
                  <w:pPr>
                    <w:pStyle w:val="14"/>
                    <w:bidi w:val="0"/>
                    <w:rPr>
                      <w:color w:val="000000" w:themeColor="text1"/>
                      <w14:textFill>
                        <w14:solidFill>
                          <w14:schemeClr w14:val="tx1"/>
                        </w14:solidFill>
                      </w14:textFill>
                    </w:rPr>
                  </w:pPr>
                </w:p>
              </w:tc>
              <w:tc>
                <w:tcPr>
                  <w:tcW w:w="738" w:type="dxa"/>
                  <w:vMerge w:val="continue"/>
                  <w:tcBorders>
                    <w:tl2br w:val="nil"/>
                    <w:tr2bl w:val="nil"/>
                  </w:tcBorders>
                  <w:vAlign w:val="center"/>
                </w:tcPr>
                <w:p w14:paraId="02250809">
                  <w:pPr>
                    <w:pStyle w:val="14"/>
                    <w:bidi w:val="0"/>
                    <w:rPr>
                      <w:color w:val="000000" w:themeColor="text1"/>
                      <w14:textFill>
                        <w14:solidFill>
                          <w14:schemeClr w14:val="tx1"/>
                        </w14:solidFill>
                      </w14:textFill>
                    </w:rPr>
                  </w:pPr>
                </w:p>
              </w:tc>
              <w:tc>
                <w:tcPr>
                  <w:tcW w:w="543" w:type="dxa"/>
                  <w:vMerge w:val="continue"/>
                  <w:tcBorders>
                    <w:tl2br w:val="nil"/>
                    <w:tr2bl w:val="nil"/>
                  </w:tcBorders>
                  <w:vAlign w:val="center"/>
                </w:tcPr>
                <w:p w14:paraId="2AF0FF6A">
                  <w:pPr>
                    <w:pStyle w:val="14"/>
                    <w:bidi w:val="0"/>
                    <w:rPr>
                      <w:color w:val="000000" w:themeColor="text1"/>
                      <w14:textFill>
                        <w14:solidFill>
                          <w14:schemeClr w14:val="tx1"/>
                        </w14:solidFill>
                      </w14:textFill>
                    </w:rPr>
                  </w:pPr>
                </w:p>
              </w:tc>
              <w:tc>
                <w:tcPr>
                  <w:tcW w:w="442" w:type="dxa"/>
                  <w:tcBorders>
                    <w:tl2br w:val="nil"/>
                    <w:tr2bl w:val="nil"/>
                  </w:tcBorders>
                  <w:vAlign w:val="center"/>
                </w:tcPr>
                <w:p w14:paraId="1D03E65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南</w:t>
                  </w:r>
                </w:p>
              </w:tc>
              <w:tc>
                <w:tcPr>
                  <w:tcW w:w="723" w:type="dxa"/>
                  <w:tcBorders>
                    <w:tl2br w:val="nil"/>
                    <w:tr2bl w:val="nil"/>
                  </w:tcBorders>
                  <w:vAlign w:val="center"/>
                </w:tcPr>
                <w:p w14:paraId="3895D318">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21 </w:t>
                  </w:r>
                </w:p>
              </w:tc>
              <w:tc>
                <w:tcPr>
                  <w:tcW w:w="934" w:type="dxa"/>
                  <w:tcBorders>
                    <w:tl2br w:val="nil"/>
                    <w:tr2bl w:val="nil"/>
                  </w:tcBorders>
                  <w:vAlign w:val="center"/>
                </w:tcPr>
                <w:p w14:paraId="4704C459">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48.72 </w:t>
                  </w:r>
                </w:p>
              </w:tc>
              <w:tc>
                <w:tcPr>
                  <w:tcW w:w="624" w:type="dxa"/>
                  <w:vMerge w:val="continue"/>
                  <w:tcBorders>
                    <w:tl2br w:val="nil"/>
                    <w:tr2bl w:val="nil"/>
                  </w:tcBorders>
                  <w:vAlign w:val="center"/>
                </w:tcPr>
                <w:p w14:paraId="654FD3C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03E8770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788D22F4">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27.72 </w:t>
                  </w:r>
                </w:p>
              </w:tc>
              <w:tc>
                <w:tcPr>
                  <w:tcW w:w="1174" w:type="dxa"/>
                  <w:tcBorders>
                    <w:tl2br w:val="nil"/>
                    <w:tr2bl w:val="nil"/>
                  </w:tcBorders>
                  <w:vAlign w:val="center"/>
                </w:tcPr>
                <w:p w14:paraId="3F0BE58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7B162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643AD15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6311FC7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0A2A6FA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29E2A24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5B3A873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451C53D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6572DB3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4BEBD048">
                  <w:pPr>
                    <w:pStyle w:val="14"/>
                    <w:bidi w:val="0"/>
                    <w:rPr>
                      <w:color w:val="000000" w:themeColor="text1"/>
                      <w14:textFill>
                        <w14:solidFill>
                          <w14:schemeClr w14:val="tx1"/>
                        </w14:solidFill>
                      </w14:textFill>
                    </w:rPr>
                  </w:pPr>
                </w:p>
              </w:tc>
              <w:tc>
                <w:tcPr>
                  <w:tcW w:w="738" w:type="dxa"/>
                  <w:vMerge w:val="continue"/>
                  <w:tcBorders>
                    <w:tl2br w:val="nil"/>
                    <w:tr2bl w:val="nil"/>
                  </w:tcBorders>
                  <w:vAlign w:val="center"/>
                </w:tcPr>
                <w:p w14:paraId="08FA18AE">
                  <w:pPr>
                    <w:pStyle w:val="14"/>
                    <w:bidi w:val="0"/>
                    <w:rPr>
                      <w:color w:val="000000" w:themeColor="text1"/>
                      <w14:textFill>
                        <w14:solidFill>
                          <w14:schemeClr w14:val="tx1"/>
                        </w14:solidFill>
                      </w14:textFill>
                    </w:rPr>
                  </w:pPr>
                </w:p>
              </w:tc>
              <w:tc>
                <w:tcPr>
                  <w:tcW w:w="543" w:type="dxa"/>
                  <w:vMerge w:val="continue"/>
                  <w:tcBorders>
                    <w:tl2br w:val="nil"/>
                    <w:tr2bl w:val="nil"/>
                  </w:tcBorders>
                  <w:vAlign w:val="center"/>
                </w:tcPr>
                <w:p w14:paraId="4D0161F2">
                  <w:pPr>
                    <w:pStyle w:val="14"/>
                    <w:bidi w:val="0"/>
                    <w:rPr>
                      <w:color w:val="000000" w:themeColor="text1"/>
                      <w14:textFill>
                        <w14:solidFill>
                          <w14:schemeClr w14:val="tx1"/>
                        </w14:solidFill>
                      </w14:textFill>
                    </w:rPr>
                  </w:pPr>
                </w:p>
              </w:tc>
              <w:tc>
                <w:tcPr>
                  <w:tcW w:w="442" w:type="dxa"/>
                  <w:tcBorders>
                    <w:tl2br w:val="nil"/>
                    <w:tr2bl w:val="nil"/>
                  </w:tcBorders>
                  <w:vAlign w:val="center"/>
                </w:tcPr>
                <w:p w14:paraId="7E5C519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西</w:t>
                  </w:r>
                </w:p>
              </w:tc>
              <w:tc>
                <w:tcPr>
                  <w:tcW w:w="723" w:type="dxa"/>
                  <w:tcBorders>
                    <w:tl2br w:val="nil"/>
                    <w:tr2bl w:val="nil"/>
                  </w:tcBorders>
                  <w:vAlign w:val="center"/>
                </w:tcPr>
                <w:p w14:paraId="6E1EF32A">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15 </w:t>
                  </w:r>
                </w:p>
              </w:tc>
              <w:tc>
                <w:tcPr>
                  <w:tcW w:w="934" w:type="dxa"/>
                  <w:tcBorders>
                    <w:tl2br w:val="nil"/>
                    <w:tr2bl w:val="nil"/>
                  </w:tcBorders>
                  <w:vAlign w:val="center"/>
                </w:tcPr>
                <w:p w14:paraId="5A9BBF7D">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51.56 </w:t>
                  </w:r>
                </w:p>
              </w:tc>
              <w:tc>
                <w:tcPr>
                  <w:tcW w:w="624" w:type="dxa"/>
                  <w:vMerge w:val="continue"/>
                  <w:tcBorders>
                    <w:tl2br w:val="nil"/>
                    <w:tr2bl w:val="nil"/>
                  </w:tcBorders>
                  <w:vAlign w:val="center"/>
                </w:tcPr>
                <w:p w14:paraId="5792153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3A478BA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58AE1DBE">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30.56 </w:t>
                  </w:r>
                </w:p>
              </w:tc>
              <w:tc>
                <w:tcPr>
                  <w:tcW w:w="1174" w:type="dxa"/>
                  <w:tcBorders>
                    <w:tl2br w:val="nil"/>
                    <w:tr2bl w:val="nil"/>
                  </w:tcBorders>
                  <w:vAlign w:val="center"/>
                </w:tcPr>
                <w:p w14:paraId="2053093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22CD29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6E86B48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6A72B37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32E3593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4ADFC18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18DF887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63192D8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1F56D70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2DB5DB19">
                  <w:pPr>
                    <w:pStyle w:val="14"/>
                    <w:bidi w:val="0"/>
                    <w:rPr>
                      <w:color w:val="000000" w:themeColor="text1"/>
                      <w14:textFill>
                        <w14:solidFill>
                          <w14:schemeClr w14:val="tx1"/>
                        </w14:solidFill>
                      </w14:textFill>
                    </w:rPr>
                  </w:pPr>
                </w:p>
              </w:tc>
              <w:tc>
                <w:tcPr>
                  <w:tcW w:w="738" w:type="dxa"/>
                  <w:vMerge w:val="continue"/>
                  <w:tcBorders>
                    <w:tl2br w:val="nil"/>
                    <w:tr2bl w:val="nil"/>
                  </w:tcBorders>
                  <w:vAlign w:val="center"/>
                </w:tcPr>
                <w:p w14:paraId="4B33EED8">
                  <w:pPr>
                    <w:pStyle w:val="14"/>
                    <w:bidi w:val="0"/>
                    <w:rPr>
                      <w:color w:val="000000" w:themeColor="text1"/>
                      <w14:textFill>
                        <w14:solidFill>
                          <w14:schemeClr w14:val="tx1"/>
                        </w14:solidFill>
                      </w14:textFill>
                    </w:rPr>
                  </w:pPr>
                </w:p>
              </w:tc>
              <w:tc>
                <w:tcPr>
                  <w:tcW w:w="543" w:type="dxa"/>
                  <w:vMerge w:val="continue"/>
                  <w:tcBorders>
                    <w:tl2br w:val="nil"/>
                    <w:tr2bl w:val="nil"/>
                  </w:tcBorders>
                  <w:vAlign w:val="center"/>
                </w:tcPr>
                <w:p w14:paraId="296C91F3">
                  <w:pPr>
                    <w:pStyle w:val="14"/>
                    <w:bidi w:val="0"/>
                    <w:rPr>
                      <w:color w:val="000000" w:themeColor="text1"/>
                      <w14:textFill>
                        <w14:solidFill>
                          <w14:schemeClr w14:val="tx1"/>
                        </w14:solidFill>
                      </w14:textFill>
                    </w:rPr>
                  </w:pPr>
                </w:p>
              </w:tc>
              <w:tc>
                <w:tcPr>
                  <w:tcW w:w="442" w:type="dxa"/>
                  <w:tcBorders>
                    <w:tl2br w:val="nil"/>
                    <w:tr2bl w:val="nil"/>
                  </w:tcBorders>
                  <w:vAlign w:val="center"/>
                </w:tcPr>
                <w:p w14:paraId="00FF5BA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北</w:t>
                  </w:r>
                </w:p>
              </w:tc>
              <w:tc>
                <w:tcPr>
                  <w:tcW w:w="723" w:type="dxa"/>
                  <w:tcBorders>
                    <w:tl2br w:val="nil"/>
                    <w:tr2bl w:val="nil"/>
                  </w:tcBorders>
                  <w:vAlign w:val="center"/>
                </w:tcPr>
                <w:p w14:paraId="49EDA1F8">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9 </w:t>
                  </w:r>
                </w:p>
              </w:tc>
              <w:tc>
                <w:tcPr>
                  <w:tcW w:w="934" w:type="dxa"/>
                  <w:tcBorders>
                    <w:tl2br w:val="nil"/>
                    <w:tr2bl w:val="nil"/>
                  </w:tcBorders>
                  <w:vAlign w:val="center"/>
                </w:tcPr>
                <w:p w14:paraId="2211EA8F">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56.31 </w:t>
                  </w:r>
                </w:p>
              </w:tc>
              <w:tc>
                <w:tcPr>
                  <w:tcW w:w="624" w:type="dxa"/>
                  <w:vMerge w:val="continue"/>
                  <w:tcBorders>
                    <w:tl2br w:val="nil"/>
                    <w:tr2bl w:val="nil"/>
                  </w:tcBorders>
                  <w:vAlign w:val="center"/>
                </w:tcPr>
                <w:p w14:paraId="266855E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0070E28F">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0B11CB37">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35.31 </w:t>
                  </w:r>
                </w:p>
              </w:tc>
              <w:tc>
                <w:tcPr>
                  <w:tcW w:w="1174" w:type="dxa"/>
                  <w:tcBorders>
                    <w:tl2br w:val="nil"/>
                    <w:tr2bl w:val="nil"/>
                  </w:tcBorders>
                  <w:vAlign w:val="center"/>
                </w:tcPr>
                <w:p w14:paraId="55BA28F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5BB93B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2" w:hRule="atLeast"/>
                <w:jc w:val="center"/>
              </w:trPr>
              <w:tc>
                <w:tcPr>
                  <w:tcW w:w="486" w:type="dxa"/>
                  <w:vMerge w:val="restart"/>
                  <w:tcBorders>
                    <w:tl2br w:val="nil"/>
                    <w:tr2bl w:val="nil"/>
                  </w:tcBorders>
                  <w:vAlign w:val="center"/>
                </w:tcPr>
                <w:p w14:paraId="66568280">
                  <w:pPr>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6</w:t>
                  </w:r>
                </w:p>
              </w:tc>
              <w:tc>
                <w:tcPr>
                  <w:tcW w:w="870" w:type="dxa"/>
                  <w:vMerge w:val="restart"/>
                  <w:tcBorders>
                    <w:tl2br w:val="nil"/>
                    <w:tr2bl w:val="nil"/>
                  </w:tcBorders>
                  <w:vAlign w:val="center"/>
                </w:tcPr>
                <w:p w14:paraId="2EFC0DC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restart"/>
                  <w:tcBorders>
                    <w:tl2br w:val="nil"/>
                    <w:tr2bl w:val="nil"/>
                  </w:tcBorders>
                  <w:vAlign w:val="center"/>
                </w:tcPr>
                <w:p w14:paraId="7D414074">
                  <w:pPr>
                    <w:adjustRightInd w:val="0"/>
                    <w:snapToGrid w:val="0"/>
                    <w:spacing w:line="240" w:lineRule="auto"/>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氨水输送泵</w:t>
                  </w:r>
                </w:p>
              </w:tc>
              <w:tc>
                <w:tcPr>
                  <w:tcW w:w="1592" w:type="dxa"/>
                  <w:vMerge w:val="restart"/>
                  <w:tcBorders>
                    <w:tl2br w:val="nil"/>
                    <w:tr2bl w:val="nil"/>
                  </w:tcBorders>
                  <w:vAlign w:val="center"/>
                </w:tcPr>
                <w:p w14:paraId="741FBCB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流量50m</w:t>
                  </w:r>
                  <w:r>
                    <w:rPr>
                      <w:rFonts w:hint="eastAsia" w:ascii="Times New Roman" w:hAnsi="Times New Roman" w:eastAsia="宋体" w:cs="Times New Roman"/>
                      <w:color w:val="000000" w:themeColor="text1"/>
                      <w:sz w:val="21"/>
                      <w:vertAlign w:val="superscript"/>
                      <w14:textFill>
                        <w14:solidFill>
                          <w14:schemeClr w14:val="tx1"/>
                        </w14:solidFill>
                      </w14:textFill>
                    </w:rPr>
                    <w:t>3</w:t>
                  </w:r>
                  <w:r>
                    <w:rPr>
                      <w:rFonts w:hint="eastAsia" w:ascii="Times New Roman" w:hAnsi="Times New Roman" w:eastAsia="宋体" w:cs="Times New Roman"/>
                      <w:color w:val="000000" w:themeColor="text1"/>
                      <w:sz w:val="21"/>
                      <w14:textFill>
                        <w14:solidFill>
                          <w14:schemeClr w14:val="tx1"/>
                        </w14:solidFill>
                      </w14:textFill>
                    </w:rPr>
                    <w:t>/h，扬程25m</w:t>
                  </w:r>
                </w:p>
              </w:tc>
              <w:tc>
                <w:tcPr>
                  <w:tcW w:w="804" w:type="dxa"/>
                  <w:vMerge w:val="restart"/>
                  <w:tcBorders>
                    <w:tl2br w:val="nil"/>
                    <w:tr2bl w:val="nil"/>
                  </w:tcBorders>
                  <w:vAlign w:val="center"/>
                </w:tcPr>
                <w:p w14:paraId="3742EC77">
                  <w:pPr>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1181" w:type="dxa"/>
                  <w:vMerge w:val="restart"/>
                  <w:tcBorders>
                    <w:tl2br w:val="nil"/>
                    <w:tr2bl w:val="nil"/>
                  </w:tcBorders>
                  <w:vAlign w:val="center"/>
                </w:tcPr>
                <w:p w14:paraId="2BE95BA1">
                  <w:pPr>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75</w:t>
                  </w:r>
                </w:p>
              </w:tc>
              <w:tc>
                <w:tcPr>
                  <w:tcW w:w="837" w:type="dxa"/>
                  <w:vMerge w:val="continue"/>
                  <w:tcBorders>
                    <w:tl2br w:val="nil"/>
                    <w:tr2bl w:val="nil"/>
                  </w:tcBorders>
                  <w:vAlign w:val="center"/>
                </w:tcPr>
                <w:p w14:paraId="6A2FFF0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restart"/>
                  <w:tcBorders>
                    <w:tl2br w:val="nil"/>
                    <w:tr2bl w:val="nil"/>
                  </w:tcBorders>
                  <w:vAlign w:val="center"/>
                </w:tcPr>
                <w:p w14:paraId="2C6635CF">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738" w:type="dxa"/>
                  <w:vMerge w:val="restart"/>
                  <w:tcBorders>
                    <w:tl2br w:val="nil"/>
                    <w:tr2bl w:val="nil"/>
                  </w:tcBorders>
                  <w:vAlign w:val="center"/>
                </w:tcPr>
                <w:p w14:paraId="6244B154">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98</w:t>
                  </w:r>
                </w:p>
              </w:tc>
              <w:tc>
                <w:tcPr>
                  <w:tcW w:w="543" w:type="dxa"/>
                  <w:vMerge w:val="restart"/>
                  <w:tcBorders>
                    <w:tl2br w:val="nil"/>
                    <w:tr2bl w:val="nil"/>
                  </w:tcBorders>
                  <w:vAlign w:val="center"/>
                </w:tcPr>
                <w:p w14:paraId="7693AD73">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442" w:type="dxa"/>
                  <w:tcBorders>
                    <w:tl2br w:val="nil"/>
                    <w:tr2bl w:val="nil"/>
                  </w:tcBorders>
                  <w:vAlign w:val="center"/>
                </w:tcPr>
                <w:p w14:paraId="52DAAF5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东</w:t>
                  </w:r>
                </w:p>
              </w:tc>
              <w:tc>
                <w:tcPr>
                  <w:tcW w:w="723" w:type="dxa"/>
                  <w:tcBorders>
                    <w:tl2br w:val="nil"/>
                    <w:tr2bl w:val="nil"/>
                  </w:tcBorders>
                  <w:vAlign w:val="center"/>
                </w:tcPr>
                <w:p w14:paraId="290DC891">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12 </w:t>
                  </w:r>
                </w:p>
              </w:tc>
              <w:tc>
                <w:tcPr>
                  <w:tcW w:w="934" w:type="dxa"/>
                  <w:tcBorders>
                    <w:tl2br w:val="nil"/>
                    <w:tr2bl w:val="nil"/>
                  </w:tcBorders>
                  <w:vAlign w:val="center"/>
                </w:tcPr>
                <w:p w14:paraId="5FF1AB51">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53.27 </w:t>
                  </w:r>
                </w:p>
              </w:tc>
              <w:tc>
                <w:tcPr>
                  <w:tcW w:w="624" w:type="dxa"/>
                  <w:vMerge w:val="restart"/>
                  <w:tcBorders>
                    <w:tl2br w:val="nil"/>
                    <w:tr2bl w:val="nil"/>
                  </w:tcBorders>
                  <w:vAlign w:val="center"/>
                </w:tcPr>
                <w:p w14:paraId="28D094E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43C413D6">
                  <w:pPr>
                    <w:adjustRightInd w:val="0"/>
                    <w:snapToGrid w:val="0"/>
                    <w:spacing w:line="240" w:lineRule="auto"/>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5B6E16A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32.27 </w:t>
                  </w:r>
                </w:p>
              </w:tc>
              <w:tc>
                <w:tcPr>
                  <w:tcW w:w="1174" w:type="dxa"/>
                  <w:tcBorders>
                    <w:tl2br w:val="nil"/>
                    <w:tr2bl w:val="nil"/>
                  </w:tcBorders>
                  <w:vAlign w:val="center"/>
                </w:tcPr>
                <w:p w14:paraId="12E12BA5">
                  <w:pPr>
                    <w:adjustRightInd w:val="0"/>
                    <w:snapToGrid w:val="0"/>
                    <w:spacing w:line="240" w:lineRule="auto"/>
                    <w:jc w:val="center"/>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7DEAF6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6494EE2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7B3A0A6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58CAEC5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0216018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7037391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0FE4829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0CBF2F7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5C83728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38" w:type="dxa"/>
                  <w:vMerge w:val="continue"/>
                  <w:tcBorders>
                    <w:tl2br w:val="nil"/>
                    <w:tr2bl w:val="nil"/>
                  </w:tcBorders>
                  <w:vAlign w:val="center"/>
                </w:tcPr>
                <w:p w14:paraId="538D45F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543" w:type="dxa"/>
                  <w:vMerge w:val="continue"/>
                  <w:tcBorders>
                    <w:tl2br w:val="nil"/>
                    <w:tr2bl w:val="nil"/>
                  </w:tcBorders>
                  <w:vAlign w:val="center"/>
                </w:tcPr>
                <w:p w14:paraId="108F49B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442" w:type="dxa"/>
                  <w:tcBorders>
                    <w:tl2br w:val="nil"/>
                    <w:tr2bl w:val="nil"/>
                  </w:tcBorders>
                  <w:vAlign w:val="center"/>
                </w:tcPr>
                <w:p w14:paraId="25F41CB2">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南</w:t>
                  </w:r>
                </w:p>
              </w:tc>
              <w:tc>
                <w:tcPr>
                  <w:tcW w:w="723" w:type="dxa"/>
                  <w:tcBorders>
                    <w:tl2br w:val="nil"/>
                    <w:tr2bl w:val="nil"/>
                  </w:tcBorders>
                  <w:vAlign w:val="center"/>
                </w:tcPr>
                <w:p w14:paraId="3A59989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25 </w:t>
                  </w:r>
                </w:p>
              </w:tc>
              <w:tc>
                <w:tcPr>
                  <w:tcW w:w="934" w:type="dxa"/>
                  <w:tcBorders>
                    <w:tl2br w:val="nil"/>
                    <w:tr2bl w:val="nil"/>
                  </w:tcBorders>
                  <w:vAlign w:val="center"/>
                </w:tcPr>
                <w:p w14:paraId="15FD86E4">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47.03 </w:t>
                  </w:r>
                </w:p>
              </w:tc>
              <w:tc>
                <w:tcPr>
                  <w:tcW w:w="624" w:type="dxa"/>
                  <w:vMerge w:val="continue"/>
                  <w:tcBorders>
                    <w:tl2br w:val="nil"/>
                    <w:tr2bl w:val="nil"/>
                  </w:tcBorders>
                  <w:vAlign w:val="center"/>
                </w:tcPr>
                <w:p w14:paraId="1DB005AA">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2E0C4E3F">
                  <w:pPr>
                    <w:adjustRightInd w:val="0"/>
                    <w:snapToGrid w:val="0"/>
                    <w:spacing w:line="240" w:lineRule="auto"/>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396A4720">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26.03 </w:t>
                  </w:r>
                </w:p>
              </w:tc>
              <w:tc>
                <w:tcPr>
                  <w:tcW w:w="1174" w:type="dxa"/>
                  <w:tcBorders>
                    <w:tl2br w:val="nil"/>
                    <w:tr2bl w:val="nil"/>
                  </w:tcBorders>
                  <w:vAlign w:val="center"/>
                </w:tcPr>
                <w:p w14:paraId="40970119">
                  <w:pPr>
                    <w:adjustRightInd w:val="0"/>
                    <w:snapToGrid w:val="0"/>
                    <w:spacing w:line="240" w:lineRule="auto"/>
                    <w:jc w:val="center"/>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6932E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19BB487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7BC3ABB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79427CF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4220B7F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392D0A3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6B75EDF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63FF13B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78B26D93">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38" w:type="dxa"/>
                  <w:vMerge w:val="continue"/>
                  <w:tcBorders>
                    <w:tl2br w:val="nil"/>
                    <w:tr2bl w:val="nil"/>
                  </w:tcBorders>
                  <w:vAlign w:val="center"/>
                </w:tcPr>
                <w:p w14:paraId="24778B6B">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543" w:type="dxa"/>
                  <w:vMerge w:val="continue"/>
                  <w:tcBorders>
                    <w:tl2br w:val="nil"/>
                    <w:tr2bl w:val="nil"/>
                  </w:tcBorders>
                  <w:vAlign w:val="center"/>
                </w:tcPr>
                <w:p w14:paraId="4C97EC9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442" w:type="dxa"/>
                  <w:tcBorders>
                    <w:tl2br w:val="nil"/>
                    <w:tr2bl w:val="nil"/>
                  </w:tcBorders>
                  <w:vAlign w:val="center"/>
                </w:tcPr>
                <w:p w14:paraId="3DC3D4F7">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西</w:t>
                  </w:r>
                </w:p>
              </w:tc>
              <w:tc>
                <w:tcPr>
                  <w:tcW w:w="723" w:type="dxa"/>
                  <w:tcBorders>
                    <w:tl2br w:val="nil"/>
                    <w:tr2bl w:val="nil"/>
                  </w:tcBorders>
                  <w:vAlign w:val="center"/>
                </w:tcPr>
                <w:p w14:paraId="44921757">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14 </w:t>
                  </w:r>
                </w:p>
              </w:tc>
              <w:tc>
                <w:tcPr>
                  <w:tcW w:w="934" w:type="dxa"/>
                  <w:tcBorders>
                    <w:tl2br w:val="nil"/>
                    <w:tr2bl w:val="nil"/>
                  </w:tcBorders>
                  <w:vAlign w:val="center"/>
                </w:tcPr>
                <w:p w14:paraId="2E2B6EAF">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51.99 </w:t>
                  </w:r>
                </w:p>
              </w:tc>
              <w:tc>
                <w:tcPr>
                  <w:tcW w:w="624" w:type="dxa"/>
                  <w:vMerge w:val="continue"/>
                  <w:tcBorders>
                    <w:tl2br w:val="nil"/>
                    <w:tr2bl w:val="nil"/>
                  </w:tcBorders>
                  <w:vAlign w:val="center"/>
                </w:tcPr>
                <w:p w14:paraId="0A7DE0A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5AFB29DE">
                  <w:pPr>
                    <w:adjustRightInd w:val="0"/>
                    <w:snapToGrid w:val="0"/>
                    <w:spacing w:line="240" w:lineRule="auto"/>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6EEDD978">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30.99 </w:t>
                  </w:r>
                </w:p>
              </w:tc>
              <w:tc>
                <w:tcPr>
                  <w:tcW w:w="1174" w:type="dxa"/>
                  <w:tcBorders>
                    <w:tl2br w:val="nil"/>
                    <w:tr2bl w:val="nil"/>
                  </w:tcBorders>
                  <w:vAlign w:val="center"/>
                </w:tcPr>
                <w:p w14:paraId="4936B79E">
                  <w:pPr>
                    <w:adjustRightInd w:val="0"/>
                    <w:snapToGrid w:val="0"/>
                    <w:spacing w:line="240" w:lineRule="auto"/>
                    <w:jc w:val="center"/>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07E7FD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2" w:hRule="atLeast"/>
                <w:jc w:val="center"/>
              </w:trPr>
              <w:tc>
                <w:tcPr>
                  <w:tcW w:w="486" w:type="dxa"/>
                  <w:vMerge w:val="continue"/>
                  <w:tcBorders>
                    <w:tl2br w:val="nil"/>
                    <w:tr2bl w:val="nil"/>
                  </w:tcBorders>
                  <w:vAlign w:val="center"/>
                </w:tcPr>
                <w:p w14:paraId="19E68B3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70" w:type="dxa"/>
                  <w:vMerge w:val="continue"/>
                  <w:tcBorders>
                    <w:tl2br w:val="nil"/>
                    <w:tr2bl w:val="nil"/>
                  </w:tcBorders>
                  <w:vAlign w:val="center"/>
                </w:tcPr>
                <w:p w14:paraId="19CEC129">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443" w:type="dxa"/>
                  <w:vMerge w:val="continue"/>
                  <w:tcBorders>
                    <w:tl2br w:val="nil"/>
                    <w:tr2bl w:val="nil"/>
                  </w:tcBorders>
                  <w:vAlign w:val="center"/>
                </w:tcPr>
                <w:p w14:paraId="7452C56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592" w:type="dxa"/>
                  <w:vMerge w:val="continue"/>
                  <w:tcBorders>
                    <w:tl2br w:val="nil"/>
                    <w:tr2bl w:val="nil"/>
                  </w:tcBorders>
                  <w:vAlign w:val="center"/>
                </w:tcPr>
                <w:p w14:paraId="6C6B9B4E">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04" w:type="dxa"/>
                  <w:vMerge w:val="continue"/>
                  <w:tcBorders>
                    <w:tl2br w:val="nil"/>
                    <w:tr2bl w:val="nil"/>
                  </w:tcBorders>
                  <w:vAlign w:val="center"/>
                </w:tcPr>
                <w:p w14:paraId="57E93F18">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181" w:type="dxa"/>
                  <w:vMerge w:val="continue"/>
                  <w:tcBorders>
                    <w:tl2br w:val="nil"/>
                    <w:tr2bl w:val="nil"/>
                  </w:tcBorders>
                  <w:vAlign w:val="center"/>
                </w:tcPr>
                <w:p w14:paraId="05935C5C">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837" w:type="dxa"/>
                  <w:vMerge w:val="continue"/>
                  <w:tcBorders>
                    <w:tl2br w:val="nil"/>
                    <w:tr2bl w:val="nil"/>
                  </w:tcBorders>
                  <w:vAlign w:val="center"/>
                </w:tcPr>
                <w:p w14:paraId="4750BE05">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54" w:type="dxa"/>
                  <w:vMerge w:val="continue"/>
                  <w:tcBorders>
                    <w:tl2br w:val="nil"/>
                    <w:tr2bl w:val="nil"/>
                  </w:tcBorders>
                  <w:vAlign w:val="center"/>
                </w:tcPr>
                <w:p w14:paraId="5FB21F86">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738" w:type="dxa"/>
                  <w:vMerge w:val="continue"/>
                  <w:tcBorders>
                    <w:tl2br w:val="nil"/>
                    <w:tr2bl w:val="nil"/>
                  </w:tcBorders>
                  <w:vAlign w:val="center"/>
                </w:tcPr>
                <w:p w14:paraId="4C11FD24">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543" w:type="dxa"/>
                  <w:vMerge w:val="continue"/>
                  <w:tcBorders>
                    <w:tl2br w:val="nil"/>
                    <w:tr2bl w:val="nil"/>
                  </w:tcBorders>
                  <w:vAlign w:val="center"/>
                </w:tcPr>
                <w:p w14:paraId="1CDFA0D0">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442" w:type="dxa"/>
                  <w:tcBorders>
                    <w:tl2br w:val="nil"/>
                    <w:tr2bl w:val="nil"/>
                  </w:tcBorders>
                  <w:vAlign w:val="center"/>
                </w:tcPr>
                <w:p w14:paraId="354C227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北</w:t>
                  </w:r>
                </w:p>
              </w:tc>
              <w:tc>
                <w:tcPr>
                  <w:tcW w:w="723" w:type="dxa"/>
                  <w:tcBorders>
                    <w:tl2br w:val="nil"/>
                    <w:tr2bl w:val="nil"/>
                  </w:tcBorders>
                  <w:vAlign w:val="center"/>
                </w:tcPr>
                <w:p w14:paraId="3852A896">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 </w:t>
                  </w:r>
                </w:p>
              </w:tc>
              <w:tc>
                <w:tcPr>
                  <w:tcW w:w="934" w:type="dxa"/>
                  <w:tcBorders>
                    <w:tl2br w:val="nil"/>
                    <w:tr2bl w:val="nil"/>
                  </w:tcBorders>
                  <w:vAlign w:val="center"/>
                </w:tcPr>
                <w:p w14:paraId="3FCFD666">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68.01 </w:t>
                  </w:r>
                </w:p>
              </w:tc>
              <w:tc>
                <w:tcPr>
                  <w:tcW w:w="624" w:type="dxa"/>
                  <w:vMerge w:val="continue"/>
                  <w:tcBorders>
                    <w:tl2br w:val="nil"/>
                    <w:tr2bl w:val="nil"/>
                  </w:tcBorders>
                  <w:vAlign w:val="center"/>
                </w:tcPr>
                <w:p w14:paraId="70BB0601">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p>
              </w:tc>
              <w:tc>
                <w:tcPr>
                  <w:tcW w:w="1017" w:type="dxa"/>
                  <w:tcBorders>
                    <w:tl2br w:val="nil"/>
                    <w:tr2bl w:val="nil"/>
                  </w:tcBorders>
                  <w:vAlign w:val="center"/>
                </w:tcPr>
                <w:p w14:paraId="1B0BEB23">
                  <w:pPr>
                    <w:adjustRightInd w:val="0"/>
                    <w:snapToGrid w:val="0"/>
                    <w:spacing w:line="240" w:lineRule="auto"/>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15</w:t>
                  </w:r>
                </w:p>
              </w:tc>
              <w:tc>
                <w:tcPr>
                  <w:tcW w:w="853" w:type="dxa"/>
                  <w:tcBorders>
                    <w:tl2br w:val="nil"/>
                    <w:tr2bl w:val="nil"/>
                  </w:tcBorders>
                  <w:vAlign w:val="center"/>
                </w:tcPr>
                <w:p w14:paraId="4CB554B5">
                  <w:pPr>
                    <w:pStyle w:val="14"/>
                    <w:bidi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47.01 </w:t>
                  </w:r>
                </w:p>
              </w:tc>
              <w:tc>
                <w:tcPr>
                  <w:tcW w:w="1174" w:type="dxa"/>
                  <w:tcBorders>
                    <w:tl2br w:val="nil"/>
                    <w:tr2bl w:val="nil"/>
                  </w:tcBorders>
                  <w:vAlign w:val="center"/>
                </w:tcPr>
                <w:p w14:paraId="16887AA4">
                  <w:pPr>
                    <w:adjustRightInd w:val="0"/>
                    <w:snapToGrid w:val="0"/>
                    <w:spacing w:line="240" w:lineRule="auto"/>
                    <w:jc w:val="center"/>
                    <w:rPr>
                      <w:rFonts w:hint="eastAsia"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1</w:t>
                  </w:r>
                </w:p>
              </w:tc>
            </w:tr>
            <w:tr w14:paraId="29B34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8" w:hRule="atLeast"/>
                <w:jc w:val="center"/>
              </w:trPr>
              <w:tc>
                <w:tcPr>
                  <w:tcW w:w="15015" w:type="dxa"/>
                  <w:gridSpan w:val="17"/>
                  <w:tcBorders>
                    <w:tl2br w:val="nil"/>
                    <w:tr2bl w:val="nil"/>
                  </w:tcBorders>
                  <w:vAlign w:val="center"/>
                </w:tcPr>
                <w:p w14:paraId="5477610D">
                  <w:pPr>
                    <w:adjustRightInd w:val="0"/>
                    <w:snapToGrid w:val="0"/>
                    <w:spacing w:line="240" w:lineRule="auto"/>
                    <w:jc w:val="center"/>
                    <w:rPr>
                      <w:rFonts w:ascii="Times New Roman" w:hAnsi="Times New Roman" w:eastAsia="宋体"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注：选取</w:t>
                  </w:r>
                  <w:r>
                    <w:rPr>
                      <w:rFonts w:hint="eastAsia" w:cs="Times New Roman"/>
                      <w:color w:val="000000" w:themeColor="text1"/>
                      <w:sz w:val="21"/>
                      <w:lang w:eastAsia="zh-CN"/>
                      <w14:textFill>
                        <w14:solidFill>
                          <w14:schemeClr w14:val="tx1"/>
                        </w14:solidFill>
                      </w14:textFill>
                    </w:rPr>
                    <w:t>项目西南角</w:t>
                  </w:r>
                  <w:r>
                    <w:rPr>
                      <w:rFonts w:hint="eastAsia" w:ascii="Times New Roman" w:hAnsi="Times New Roman" w:eastAsia="宋体" w:cs="Times New Roman"/>
                      <w:color w:val="000000" w:themeColor="text1"/>
                      <w:sz w:val="21"/>
                      <w14:textFill>
                        <w14:solidFill>
                          <w14:schemeClr w14:val="tx1"/>
                        </w14:solidFill>
                      </w14:textFill>
                    </w:rPr>
                    <w:t>为坐标原点（0，0，0），XYZ为设备相对原点位置。</w:t>
                  </w:r>
                </w:p>
              </w:tc>
            </w:tr>
          </w:tbl>
          <w:p w14:paraId="4096B1BB">
            <w:pPr>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Cs w:val="20"/>
              </w:rPr>
            </w:pPr>
            <w:r>
              <w:rPr>
                <w:rFonts w:hint="eastAsia" w:ascii="Times New Roman" w:hAnsi="Times New Roman" w:eastAsia="宋体" w:cs="Times New Roman"/>
                <w:b/>
                <w:color w:val="000000"/>
                <w:kern w:val="24"/>
                <w:szCs w:val="20"/>
              </w:rPr>
              <w:t xml:space="preserve"> </w:t>
            </w:r>
          </w:p>
          <w:p w14:paraId="51073A4C">
            <w:pPr>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Cs w:val="20"/>
              </w:rPr>
            </w:pPr>
            <w:r>
              <w:rPr>
                <w:rFonts w:hint="eastAsia" w:ascii="Times New Roman" w:hAnsi="Times New Roman" w:eastAsia="宋体" w:cs="Times New Roman"/>
                <w:b/>
                <w:color w:val="000000"/>
                <w:kern w:val="24"/>
                <w:szCs w:val="20"/>
              </w:rPr>
              <w:t>表4-</w:t>
            </w:r>
            <w:r>
              <w:rPr>
                <w:rFonts w:hint="eastAsia" w:cs="Times New Roman"/>
                <w:b/>
                <w:color w:val="000000"/>
                <w:kern w:val="24"/>
                <w:szCs w:val="20"/>
                <w:lang w:val="en-US" w:eastAsia="zh-CN"/>
              </w:rPr>
              <w:t>19</w:t>
            </w:r>
            <w:r>
              <w:rPr>
                <w:rFonts w:hint="eastAsia" w:ascii="Times New Roman" w:hAnsi="Times New Roman" w:eastAsia="宋体" w:cs="Times New Roman"/>
                <w:b/>
                <w:color w:val="000000"/>
                <w:kern w:val="24"/>
                <w:szCs w:val="20"/>
              </w:rPr>
              <w:t>（B） 噪声污染源源强核算结果及相关参数一览表（室外声源）</w:t>
            </w:r>
          </w:p>
          <w:tbl>
            <w:tblPr>
              <w:tblStyle w:val="11"/>
              <w:tblW w:w="150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579"/>
              <w:gridCol w:w="1573"/>
              <w:gridCol w:w="2325"/>
              <w:gridCol w:w="1129"/>
              <w:gridCol w:w="1481"/>
              <w:gridCol w:w="1065"/>
              <w:gridCol w:w="891"/>
              <w:gridCol w:w="938"/>
              <w:gridCol w:w="879"/>
              <w:gridCol w:w="963"/>
              <w:gridCol w:w="877"/>
              <w:gridCol w:w="953"/>
              <w:gridCol w:w="1381"/>
            </w:tblGrid>
            <w:tr w14:paraId="28DE57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2" w:hRule="atLeast"/>
                <w:jc w:val="center"/>
              </w:trPr>
              <w:tc>
                <w:tcPr>
                  <w:tcW w:w="579" w:type="dxa"/>
                  <w:vMerge w:val="restart"/>
                  <w:tcBorders>
                    <w:tl2br w:val="nil"/>
                    <w:tr2bl w:val="nil"/>
                  </w:tcBorders>
                  <w:vAlign w:val="center"/>
                </w:tcPr>
                <w:p w14:paraId="1CFB1D12">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序号</w:t>
                  </w:r>
                </w:p>
              </w:tc>
              <w:tc>
                <w:tcPr>
                  <w:tcW w:w="1573" w:type="dxa"/>
                  <w:vMerge w:val="restart"/>
                  <w:tcBorders>
                    <w:tl2br w:val="nil"/>
                    <w:tr2bl w:val="nil"/>
                  </w:tcBorders>
                  <w:vAlign w:val="center"/>
                </w:tcPr>
                <w:p w14:paraId="7916E97C">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声源名称</w:t>
                  </w:r>
                </w:p>
              </w:tc>
              <w:tc>
                <w:tcPr>
                  <w:tcW w:w="2325" w:type="dxa"/>
                  <w:vMerge w:val="restart"/>
                  <w:tcBorders>
                    <w:tl2br w:val="nil"/>
                    <w:tr2bl w:val="nil"/>
                  </w:tcBorders>
                  <w:vAlign w:val="center"/>
                </w:tcPr>
                <w:p w14:paraId="5C0A8B2E">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型号</w:t>
                  </w:r>
                </w:p>
              </w:tc>
              <w:tc>
                <w:tcPr>
                  <w:tcW w:w="1129" w:type="dxa"/>
                  <w:vMerge w:val="restart"/>
                  <w:tcBorders>
                    <w:tl2br w:val="nil"/>
                    <w:tr2bl w:val="nil"/>
                  </w:tcBorders>
                  <w:vAlign w:val="center"/>
                </w:tcPr>
                <w:p w14:paraId="7B078202">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设备数量/台</w:t>
                  </w:r>
                </w:p>
              </w:tc>
              <w:tc>
                <w:tcPr>
                  <w:tcW w:w="1481" w:type="dxa"/>
                  <w:vMerge w:val="restart"/>
                  <w:tcBorders>
                    <w:tl2br w:val="nil"/>
                    <w:tr2bl w:val="nil"/>
                  </w:tcBorders>
                  <w:vAlign w:val="center"/>
                </w:tcPr>
                <w:p w14:paraId="6FEDC124">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单台声功率级dB(A)</w:t>
                  </w:r>
                </w:p>
              </w:tc>
              <w:tc>
                <w:tcPr>
                  <w:tcW w:w="1065" w:type="dxa"/>
                  <w:vMerge w:val="restart"/>
                  <w:tcBorders>
                    <w:tl2br w:val="nil"/>
                    <w:tr2bl w:val="nil"/>
                  </w:tcBorders>
                  <w:vAlign w:val="center"/>
                </w:tcPr>
                <w:p w14:paraId="3024E4E2">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声源控制措施</w:t>
                  </w:r>
                </w:p>
              </w:tc>
              <w:tc>
                <w:tcPr>
                  <w:tcW w:w="2708" w:type="dxa"/>
                  <w:gridSpan w:val="3"/>
                  <w:tcBorders>
                    <w:tl2br w:val="nil"/>
                    <w:tr2bl w:val="nil"/>
                  </w:tcBorders>
                  <w:vAlign w:val="center"/>
                </w:tcPr>
                <w:p w14:paraId="0121D3C9">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空间相对位置/m</w:t>
                  </w:r>
                </w:p>
              </w:tc>
              <w:tc>
                <w:tcPr>
                  <w:tcW w:w="1840" w:type="dxa"/>
                  <w:gridSpan w:val="2"/>
                  <w:vMerge w:val="restart"/>
                  <w:tcBorders>
                    <w:tl2br w:val="nil"/>
                    <w:tr2bl w:val="nil"/>
                  </w:tcBorders>
                  <w:vAlign w:val="center"/>
                </w:tcPr>
                <w:p w14:paraId="0EE34DA2">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厂区</w:t>
                  </w:r>
                  <w:r>
                    <w:rPr>
                      <w:rFonts w:ascii="Times New Roman" w:hAnsi="Times New Roman" w:eastAsia="宋体" w:cs="Times New Roman"/>
                      <w:b/>
                      <w:bCs/>
                      <w:color w:val="000000"/>
                      <w:sz w:val="21"/>
                    </w:rPr>
                    <w:t>边界距离/m</w:t>
                  </w:r>
                </w:p>
              </w:tc>
              <w:tc>
                <w:tcPr>
                  <w:tcW w:w="953" w:type="dxa"/>
                  <w:vMerge w:val="restart"/>
                  <w:tcBorders>
                    <w:tl2br w:val="nil"/>
                    <w:tr2bl w:val="nil"/>
                  </w:tcBorders>
                  <w:vAlign w:val="center"/>
                </w:tcPr>
                <w:p w14:paraId="4D8431BA">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运行时段</w:t>
                  </w:r>
                </w:p>
              </w:tc>
              <w:tc>
                <w:tcPr>
                  <w:tcW w:w="1381" w:type="dxa"/>
                  <w:vMerge w:val="restart"/>
                  <w:tcBorders>
                    <w:tl2br w:val="nil"/>
                    <w:tr2bl w:val="nil"/>
                  </w:tcBorders>
                  <w:vAlign w:val="center"/>
                </w:tcPr>
                <w:p w14:paraId="343057BB">
                  <w:pPr>
                    <w:adjustRightInd w:val="0"/>
                    <w:snapToGrid w:val="0"/>
                    <w:spacing w:line="240" w:lineRule="auto"/>
                    <w:jc w:val="center"/>
                    <w:rPr>
                      <w:rFonts w:ascii="Times New Roman" w:hAnsi="Times New Roman" w:eastAsia="宋体" w:cs="Times New Roman"/>
                      <w:b/>
                      <w:bCs/>
                      <w:color w:val="000000"/>
                      <w:sz w:val="21"/>
                    </w:rPr>
                  </w:pPr>
                  <w:r>
                    <w:rPr>
                      <w:rFonts w:hint="eastAsia" w:ascii="Times New Roman" w:hAnsi="Times New Roman" w:eastAsia="宋体" w:cs="Times New Roman"/>
                      <w:b/>
                      <w:bCs/>
                      <w:color w:val="000000"/>
                      <w:sz w:val="21"/>
                    </w:rPr>
                    <w:t>厂界</w:t>
                  </w:r>
                  <w:r>
                    <w:rPr>
                      <w:rFonts w:ascii="Times New Roman" w:hAnsi="Times New Roman" w:eastAsia="宋体" w:cs="Times New Roman"/>
                      <w:b/>
                      <w:bCs/>
                      <w:color w:val="000000"/>
                      <w:sz w:val="21"/>
                    </w:rPr>
                    <w:t>声压级/dB(A)</w:t>
                  </w:r>
                </w:p>
              </w:tc>
            </w:tr>
            <w:tr w14:paraId="2AE03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4" w:hRule="atLeast"/>
                <w:jc w:val="center"/>
              </w:trPr>
              <w:tc>
                <w:tcPr>
                  <w:tcW w:w="579" w:type="dxa"/>
                  <w:vMerge w:val="continue"/>
                  <w:tcBorders>
                    <w:tl2br w:val="nil"/>
                    <w:tr2bl w:val="nil"/>
                  </w:tcBorders>
                  <w:vAlign w:val="center"/>
                </w:tcPr>
                <w:p w14:paraId="34200377">
                  <w:pPr>
                    <w:adjustRightInd w:val="0"/>
                    <w:snapToGrid w:val="0"/>
                    <w:spacing w:line="240" w:lineRule="auto"/>
                    <w:jc w:val="center"/>
                    <w:rPr>
                      <w:rFonts w:ascii="Times New Roman" w:hAnsi="Times New Roman" w:eastAsia="宋体" w:cs="Times New Roman"/>
                      <w:b/>
                      <w:bCs/>
                      <w:color w:val="000000"/>
                      <w:sz w:val="21"/>
                    </w:rPr>
                  </w:pPr>
                </w:p>
              </w:tc>
              <w:tc>
                <w:tcPr>
                  <w:tcW w:w="1573" w:type="dxa"/>
                  <w:vMerge w:val="continue"/>
                  <w:tcBorders>
                    <w:tl2br w:val="nil"/>
                    <w:tr2bl w:val="nil"/>
                  </w:tcBorders>
                  <w:vAlign w:val="center"/>
                </w:tcPr>
                <w:p w14:paraId="3DF3B2E3">
                  <w:pPr>
                    <w:adjustRightInd w:val="0"/>
                    <w:snapToGrid w:val="0"/>
                    <w:spacing w:line="240" w:lineRule="auto"/>
                    <w:jc w:val="center"/>
                    <w:rPr>
                      <w:rFonts w:ascii="Times New Roman" w:hAnsi="Times New Roman" w:eastAsia="宋体" w:cs="Times New Roman"/>
                      <w:b/>
                      <w:bCs/>
                      <w:color w:val="000000"/>
                      <w:sz w:val="21"/>
                    </w:rPr>
                  </w:pPr>
                </w:p>
              </w:tc>
              <w:tc>
                <w:tcPr>
                  <w:tcW w:w="2325" w:type="dxa"/>
                  <w:vMerge w:val="continue"/>
                  <w:tcBorders>
                    <w:tl2br w:val="nil"/>
                    <w:tr2bl w:val="nil"/>
                  </w:tcBorders>
                  <w:vAlign w:val="center"/>
                </w:tcPr>
                <w:p w14:paraId="62E4043C">
                  <w:pPr>
                    <w:adjustRightInd w:val="0"/>
                    <w:snapToGrid w:val="0"/>
                    <w:spacing w:line="240" w:lineRule="auto"/>
                    <w:jc w:val="center"/>
                    <w:rPr>
                      <w:rFonts w:ascii="Times New Roman" w:hAnsi="Times New Roman" w:eastAsia="宋体" w:cs="Times New Roman"/>
                      <w:b/>
                      <w:bCs/>
                      <w:color w:val="000000"/>
                      <w:sz w:val="21"/>
                    </w:rPr>
                  </w:pPr>
                </w:p>
              </w:tc>
              <w:tc>
                <w:tcPr>
                  <w:tcW w:w="1129" w:type="dxa"/>
                  <w:vMerge w:val="continue"/>
                  <w:tcBorders>
                    <w:tl2br w:val="nil"/>
                    <w:tr2bl w:val="nil"/>
                  </w:tcBorders>
                  <w:vAlign w:val="center"/>
                </w:tcPr>
                <w:p w14:paraId="59F2F930">
                  <w:pPr>
                    <w:adjustRightInd w:val="0"/>
                    <w:snapToGrid w:val="0"/>
                    <w:spacing w:line="240" w:lineRule="auto"/>
                    <w:jc w:val="center"/>
                    <w:rPr>
                      <w:rFonts w:ascii="Times New Roman" w:hAnsi="Times New Roman" w:eastAsia="宋体" w:cs="Times New Roman"/>
                      <w:b/>
                      <w:bCs/>
                      <w:color w:val="000000"/>
                      <w:sz w:val="21"/>
                    </w:rPr>
                  </w:pPr>
                </w:p>
              </w:tc>
              <w:tc>
                <w:tcPr>
                  <w:tcW w:w="1481" w:type="dxa"/>
                  <w:vMerge w:val="continue"/>
                  <w:tcBorders>
                    <w:tl2br w:val="nil"/>
                    <w:tr2bl w:val="nil"/>
                  </w:tcBorders>
                  <w:vAlign w:val="center"/>
                </w:tcPr>
                <w:p w14:paraId="4F9E5E9C">
                  <w:pPr>
                    <w:adjustRightInd w:val="0"/>
                    <w:snapToGrid w:val="0"/>
                    <w:spacing w:line="240" w:lineRule="auto"/>
                    <w:jc w:val="center"/>
                    <w:rPr>
                      <w:rFonts w:ascii="Times New Roman" w:hAnsi="Times New Roman" w:eastAsia="宋体" w:cs="Times New Roman"/>
                      <w:b/>
                      <w:bCs/>
                      <w:color w:val="000000"/>
                      <w:sz w:val="21"/>
                    </w:rPr>
                  </w:pPr>
                </w:p>
              </w:tc>
              <w:tc>
                <w:tcPr>
                  <w:tcW w:w="1065" w:type="dxa"/>
                  <w:vMerge w:val="continue"/>
                  <w:tcBorders>
                    <w:tl2br w:val="nil"/>
                    <w:tr2bl w:val="nil"/>
                  </w:tcBorders>
                  <w:vAlign w:val="center"/>
                </w:tcPr>
                <w:p w14:paraId="23903A7B">
                  <w:pPr>
                    <w:adjustRightInd w:val="0"/>
                    <w:snapToGrid w:val="0"/>
                    <w:spacing w:line="240" w:lineRule="auto"/>
                    <w:jc w:val="center"/>
                    <w:rPr>
                      <w:rFonts w:ascii="Times New Roman" w:hAnsi="Times New Roman" w:eastAsia="宋体" w:cs="Times New Roman"/>
                      <w:b/>
                      <w:bCs/>
                      <w:color w:val="000000"/>
                      <w:sz w:val="21"/>
                    </w:rPr>
                  </w:pPr>
                </w:p>
              </w:tc>
              <w:tc>
                <w:tcPr>
                  <w:tcW w:w="891" w:type="dxa"/>
                  <w:tcBorders>
                    <w:tl2br w:val="nil"/>
                    <w:tr2bl w:val="nil"/>
                  </w:tcBorders>
                  <w:vAlign w:val="center"/>
                </w:tcPr>
                <w:p w14:paraId="3421A3E3">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X</w:t>
                  </w:r>
                </w:p>
              </w:tc>
              <w:tc>
                <w:tcPr>
                  <w:tcW w:w="938" w:type="dxa"/>
                  <w:tcBorders>
                    <w:tl2br w:val="nil"/>
                    <w:tr2bl w:val="nil"/>
                  </w:tcBorders>
                  <w:vAlign w:val="center"/>
                </w:tcPr>
                <w:p w14:paraId="69D786D1">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Y</w:t>
                  </w:r>
                </w:p>
              </w:tc>
              <w:tc>
                <w:tcPr>
                  <w:tcW w:w="879" w:type="dxa"/>
                  <w:tcBorders>
                    <w:tl2br w:val="nil"/>
                    <w:tr2bl w:val="nil"/>
                  </w:tcBorders>
                  <w:vAlign w:val="center"/>
                </w:tcPr>
                <w:p w14:paraId="60BA1C66">
                  <w:pPr>
                    <w:adjustRightInd w:val="0"/>
                    <w:snapToGrid w:val="0"/>
                    <w:spacing w:line="240" w:lineRule="auto"/>
                    <w:jc w:val="center"/>
                    <w:rPr>
                      <w:rFonts w:ascii="Times New Roman" w:hAnsi="Times New Roman" w:eastAsia="宋体" w:cs="Times New Roman"/>
                      <w:b/>
                      <w:bCs/>
                      <w:color w:val="000000"/>
                      <w:sz w:val="21"/>
                    </w:rPr>
                  </w:pPr>
                  <w:r>
                    <w:rPr>
                      <w:rFonts w:ascii="Times New Roman" w:hAnsi="Times New Roman" w:eastAsia="宋体" w:cs="Times New Roman"/>
                      <w:b/>
                      <w:bCs/>
                      <w:color w:val="000000"/>
                      <w:sz w:val="21"/>
                    </w:rPr>
                    <w:t>Z</w:t>
                  </w:r>
                </w:p>
              </w:tc>
              <w:tc>
                <w:tcPr>
                  <w:tcW w:w="1840" w:type="dxa"/>
                  <w:gridSpan w:val="2"/>
                  <w:vMerge w:val="continue"/>
                  <w:tcBorders>
                    <w:tl2br w:val="nil"/>
                    <w:tr2bl w:val="nil"/>
                  </w:tcBorders>
                  <w:vAlign w:val="center"/>
                </w:tcPr>
                <w:p w14:paraId="50600E6B">
                  <w:pPr>
                    <w:adjustRightInd w:val="0"/>
                    <w:snapToGrid w:val="0"/>
                    <w:spacing w:line="240" w:lineRule="auto"/>
                    <w:jc w:val="center"/>
                    <w:rPr>
                      <w:rFonts w:ascii="Times New Roman" w:hAnsi="Times New Roman" w:eastAsia="宋体" w:cs="Times New Roman"/>
                      <w:b/>
                      <w:bCs/>
                      <w:color w:val="000000"/>
                      <w:sz w:val="21"/>
                    </w:rPr>
                  </w:pPr>
                </w:p>
              </w:tc>
              <w:tc>
                <w:tcPr>
                  <w:tcW w:w="953" w:type="dxa"/>
                  <w:vMerge w:val="continue"/>
                  <w:tcBorders>
                    <w:tl2br w:val="nil"/>
                    <w:tr2bl w:val="nil"/>
                  </w:tcBorders>
                  <w:vAlign w:val="center"/>
                </w:tcPr>
                <w:p w14:paraId="7E28CC6F">
                  <w:pPr>
                    <w:adjustRightInd w:val="0"/>
                    <w:snapToGrid w:val="0"/>
                    <w:spacing w:line="240" w:lineRule="auto"/>
                    <w:jc w:val="center"/>
                    <w:rPr>
                      <w:rFonts w:ascii="Times New Roman" w:hAnsi="Times New Roman" w:eastAsia="宋体" w:cs="Times New Roman"/>
                      <w:b/>
                      <w:bCs/>
                      <w:color w:val="000000"/>
                      <w:sz w:val="21"/>
                    </w:rPr>
                  </w:pPr>
                </w:p>
              </w:tc>
              <w:tc>
                <w:tcPr>
                  <w:tcW w:w="1381" w:type="dxa"/>
                  <w:vMerge w:val="continue"/>
                  <w:tcBorders>
                    <w:tl2br w:val="nil"/>
                    <w:tr2bl w:val="nil"/>
                  </w:tcBorders>
                  <w:vAlign w:val="center"/>
                </w:tcPr>
                <w:p w14:paraId="27C2F588">
                  <w:pPr>
                    <w:adjustRightInd w:val="0"/>
                    <w:snapToGrid w:val="0"/>
                    <w:spacing w:line="240" w:lineRule="auto"/>
                    <w:jc w:val="center"/>
                    <w:rPr>
                      <w:rFonts w:ascii="Times New Roman" w:hAnsi="Times New Roman" w:eastAsia="宋体" w:cs="Times New Roman"/>
                      <w:b/>
                      <w:bCs/>
                      <w:color w:val="000000"/>
                      <w:sz w:val="21"/>
                    </w:rPr>
                  </w:pPr>
                </w:p>
              </w:tc>
            </w:tr>
            <w:tr w14:paraId="379B16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restart"/>
                  <w:tcBorders>
                    <w:tl2br w:val="nil"/>
                    <w:tr2bl w:val="nil"/>
                  </w:tcBorders>
                  <w:vAlign w:val="center"/>
                </w:tcPr>
                <w:p w14:paraId="7F790C58">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1</w:t>
                  </w:r>
                </w:p>
              </w:tc>
              <w:tc>
                <w:tcPr>
                  <w:tcW w:w="1573" w:type="dxa"/>
                  <w:vMerge w:val="restart"/>
                  <w:tcBorders>
                    <w:tl2br w:val="nil"/>
                    <w:tr2bl w:val="nil"/>
                  </w:tcBorders>
                  <w:vAlign w:val="center"/>
                </w:tcPr>
                <w:p w14:paraId="66F783CB">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bCs/>
                      <w:sz w:val="21"/>
                      <w:szCs w:val="21"/>
                      <w:highlight w:val="none"/>
                      <w:vertAlign w:val="baseline"/>
                      <w:lang w:eastAsia="zh-CN"/>
                    </w:rPr>
                    <w:t>凉水塔</w:t>
                  </w:r>
                </w:p>
              </w:tc>
              <w:tc>
                <w:tcPr>
                  <w:tcW w:w="2325" w:type="dxa"/>
                  <w:vMerge w:val="restart"/>
                  <w:tcBorders>
                    <w:tl2br w:val="nil"/>
                    <w:tr2bl w:val="nil"/>
                  </w:tcBorders>
                  <w:vAlign w:val="center"/>
                </w:tcPr>
                <w:p w14:paraId="0AE4508F">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bCs/>
                      <w:sz w:val="21"/>
                      <w:szCs w:val="21"/>
                      <w:vertAlign w:val="baseline"/>
                      <w:lang w:eastAsia="zh-CN"/>
                    </w:rPr>
                    <w:t>循环水量250m</w:t>
                  </w:r>
                  <w:r>
                    <w:rPr>
                      <w:rFonts w:hint="eastAsia" w:ascii="Times New Roman" w:hAnsi="Times New Roman" w:eastAsia="宋体" w:cs="Times New Roman"/>
                      <w:bCs/>
                      <w:sz w:val="21"/>
                      <w:szCs w:val="21"/>
                      <w:vertAlign w:val="superscript"/>
                      <w:lang w:eastAsia="zh-CN"/>
                    </w:rPr>
                    <w:t>3</w:t>
                  </w:r>
                  <w:r>
                    <w:rPr>
                      <w:rFonts w:hint="eastAsia" w:ascii="Times New Roman" w:hAnsi="Times New Roman" w:eastAsia="宋体" w:cs="Times New Roman"/>
                      <w:bCs/>
                      <w:sz w:val="21"/>
                      <w:szCs w:val="21"/>
                      <w:vertAlign w:val="baseline"/>
                      <w:lang w:eastAsia="zh-CN"/>
                    </w:rPr>
                    <w:t>/h</w:t>
                  </w:r>
                </w:p>
              </w:tc>
              <w:tc>
                <w:tcPr>
                  <w:tcW w:w="1129" w:type="dxa"/>
                  <w:vMerge w:val="restart"/>
                  <w:tcBorders>
                    <w:tl2br w:val="nil"/>
                    <w:tr2bl w:val="nil"/>
                  </w:tcBorders>
                  <w:vAlign w:val="center"/>
                </w:tcPr>
                <w:p w14:paraId="6B743F63">
                  <w:pPr>
                    <w:adjustRightInd w:val="0"/>
                    <w:snapToGrid w:val="0"/>
                    <w:spacing w:line="240" w:lineRule="auto"/>
                    <w:jc w:val="center"/>
                    <w:rPr>
                      <w:rFonts w:hint="eastAsia"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rPr>
                    <w:t>1</w:t>
                  </w:r>
                </w:p>
              </w:tc>
              <w:tc>
                <w:tcPr>
                  <w:tcW w:w="1481" w:type="dxa"/>
                  <w:vMerge w:val="restart"/>
                  <w:tcBorders>
                    <w:tl2br w:val="nil"/>
                    <w:tr2bl w:val="nil"/>
                  </w:tcBorders>
                  <w:vAlign w:val="center"/>
                </w:tcPr>
                <w:p w14:paraId="68EFC785">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color w:val="000000"/>
                      <w:sz w:val="21"/>
                    </w:rPr>
                    <w:t>7</w:t>
                  </w:r>
                  <w:r>
                    <w:rPr>
                      <w:rFonts w:hint="eastAsia" w:cs="Times New Roman"/>
                      <w:color w:val="000000"/>
                      <w:sz w:val="21"/>
                      <w:lang w:val="en-US" w:eastAsia="zh-CN"/>
                    </w:rPr>
                    <w:t>5</w:t>
                  </w:r>
                </w:p>
              </w:tc>
              <w:tc>
                <w:tcPr>
                  <w:tcW w:w="1065" w:type="dxa"/>
                  <w:vMerge w:val="restart"/>
                  <w:tcBorders>
                    <w:tl2br w:val="nil"/>
                    <w:tr2bl w:val="nil"/>
                  </w:tcBorders>
                  <w:vAlign w:val="center"/>
                </w:tcPr>
                <w:p w14:paraId="1457E5AD">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选用低噪声设备、建筑隔声、消声、减振</w:t>
                  </w:r>
                </w:p>
              </w:tc>
              <w:tc>
                <w:tcPr>
                  <w:tcW w:w="891" w:type="dxa"/>
                  <w:vMerge w:val="restart"/>
                  <w:tcBorders>
                    <w:tl2br w:val="nil"/>
                    <w:tr2bl w:val="nil"/>
                  </w:tcBorders>
                  <w:vAlign w:val="center"/>
                </w:tcPr>
                <w:p w14:paraId="056C9B24">
                  <w:pPr>
                    <w:pStyle w:val="14"/>
                    <w:bidi w:val="0"/>
                    <w:rPr>
                      <w:rFonts w:hint="default"/>
                      <w:lang w:val="en-US" w:eastAsia="zh-CN"/>
                    </w:rPr>
                  </w:pPr>
                  <w:r>
                    <w:rPr>
                      <w:rFonts w:hint="eastAsia"/>
                      <w:lang w:val="en-US" w:eastAsia="zh-CN"/>
                    </w:rPr>
                    <w:t>41</w:t>
                  </w:r>
                </w:p>
              </w:tc>
              <w:tc>
                <w:tcPr>
                  <w:tcW w:w="938" w:type="dxa"/>
                  <w:vMerge w:val="restart"/>
                  <w:tcBorders>
                    <w:tl2br w:val="nil"/>
                    <w:tr2bl w:val="nil"/>
                  </w:tcBorders>
                  <w:vAlign w:val="center"/>
                </w:tcPr>
                <w:p w14:paraId="6B70F65F">
                  <w:pPr>
                    <w:pStyle w:val="14"/>
                    <w:bidi w:val="0"/>
                    <w:rPr>
                      <w:rFonts w:hint="default"/>
                      <w:lang w:val="en-US" w:eastAsia="zh-CN"/>
                    </w:rPr>
                  </w:pPr>
                  <w:r>
                    <w:rPr>
                      <w:rFonts w:hint="eastAsia"/>
                      <w:lang w:val="en-US" w:eastAsia="zh-CN"/>
                    </w:rPr>
                    <w:t>98</w:t>
                  </w:r>
                </w:p>
              </w:tc>
              <w:tc>
                <w:tcPr>
                  <w:tcW w:w="879" w:type="dxa"/>
                  <w:vMerge w:val="restart"/>
                  <w:tcBorders>
                    <w:tl2br w:val="nil"/>
                    <w:tr2bl w:val="nil"/>
                  </w:tcBorders>
                  <w:vAlign w:val="center"/>
                </w:tcPr>
                <w:p w14:paraId="7723B793">
                  <w:pPr>
                    <w:pStyle w:val="14"/>
                    <w:bidi w:val="0"/>
                    <w:rPr>
                      <w:rFonts w:hint="default"/>
                      <w:lang w:val="en-US" w:eastAsia="zh-CN"/>
                    </w:rPr>
                  </w:pPr>
                  <w:r>
                    <w:rPr>
                      <w:rFonts w:hint="eastAsia"/>
                      <w:lang w:val="en-US" w:eastAsia="zh-CN"/>
                    </w:rPr>
                    <w:t>9</w:t>
                  </w:r>
                </w:p>
              </w:tc>
              <w:tc>
                <w:tcPr>
                  <w:tcW w:w="963" w:type="dxa"/>
                  <w:tcBorders>
                    <w:tl2br w:val="nil"/>
                    <w:tr2bl w:val="nil"/>
                  </w:tcBorders>
                  <w:vAlign w:val="center"/>
                </w:tcPr>
                <w:p w14:paraId="0F549CEE">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7BCB5808">
                  <w:pPr>
                    <w:pStyle w:val="14"/>
                    <w:bidi w:val="0"/>
                    <w:rPr>
                      <w:lang w:val="en-US" w:eastAsia="zh-CN"/>
                    </w:rPr>
                  </w:pPr>
                  <w:r>
                    <w:rPr>
                      <w:rFonts w:hint="eastAsia"/>
                      <w:lang w:val="en-US" w:eastAsia="zh-CN"/>
                    </w:rPr>
                    <w:t xml:space="preserve">132 </w:t>
                  </w:r>
                </w:p>
              </w:tc>
              <w:tc>
                <w:tcPr>
                  <w:tcW w:w="953" w:type="dxa"/>
                  <w:vMerge w:val="restart"/>
                  <w:tcBorders>
                    <w:tl2br w:val="nil"/>
                    <w:tr2bl w:val="nil"/>
                  </w:tcBorders>
                  <w:vAlign w:val="center"/>
                </w:tcPr>
                <w:p w14:paraId="457CD9B1">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全天</w:t>
                  </w:r>
                </w:p>
              </w:tc>
              <w:tc>
                <w:tcPr>
                  <w:tcW w:w="1381" w:type="dxa"/>
                  <w:tcBorders>
                    <w:tl2br w:val="nil"/>
                    <w:tr2bl w:val="nil"/>
                  </w:tcBorders>
                  <w:vAlign w:val="center"/>
                </w:tcPr>
                <w:p w14:paraId="2F7BE285">
                  <w:pPr>
                    <w:pStyle w:val="14"/>
                    <w:bidi w:val="0"/>
                    <w:rPr>
                      <w:lang w:val="en-US" w:eastAsia="zh-CN"/>
                    </w:rPr>
                  </w:pPr>
                  <w:r>
                    <w:rPr>
                      <w:rFonts w:hint="eastAsia"/>
                      <w:lang w:val="en-US" w:eastAsia="zh-CN"/>
                    </w:rPr>
                    <w:t xml:space="preserve">24.59 </w:t>
                  </w:r>
                </w:p>
              </w:tc>
            </w:tr>
            <w:tr w14:paraId="0726A0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443CF531">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08E778E3">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36681675">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65EE4B09">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04D6FCB7">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49FFACC4">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600B2D99">
                  <w:pPr>
                    <w:pStyle w:val="14"/>
                    <w:bidi w:val="0"/>
                  </w:pPr>
                </w:p>
              </w:tc>
              <w:tc>
                <w:tcPr>
                  <w:tcW w:w="938" w:type="dxa"/>
                  <w:vMerge w:val="continue"/>
                  <w:tcBorders>
                    <w:tl2br w:val="nil"/>
                    <w:tr2bl w:val="nil"/>
                  </w:tcBorders>
                  <w:vAlign w:val="center"/>
                </w:tcPr>
                <w:p w14:paraId="16F9A2CF">
                  <w:pPr>
                    <w:pStyle w:val="14"/>
                    <w:bidi w:val="0"/>
                  </w:pPr>
                </w:p>
              </w:tc>
              <w:tc>
                <w:tcPr>
                  <w:tcW w:w="879" w:type="dxa"/>
                  <w:vMerge w:val="continue"/>
                  <w:tcBorders>
                    <w:tl2br w:val="nil"/>
                    <w:tr2bl w:val="nil"/>
                  </w:tcBorders>
                  <w:vAlign w:val="center"/>
                </w:tcPr>
                <w:p w14:paraId="02F6ED2E">
                  <w:pPr>
                    <w:pStyle w:val="14"/>
                    <w:bidi w:val="0"/>
                  </w:pPr>
                </w:p>
              </w:tc>
              <w:tc>
                <w:tcPr>
                  <w:tcW w:w="963" w:type="dxa"/>
                  <w:tcBorders>
                    <w:tl2br w:val="nil"/>
                    <w:tr2bl w:val="nil"/>
                  </w:tcBorders>
                  <w:vAlign w:val="center"/>
                </w:tcPr>
                <w:p w14:paraId="58BDB3C7">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18C4ACA6">
                  <w:pPr>
                    <w:pStyle w:val="14"/>
                    <w:bidi w:val="0"/>
                    <w:rPr>
                      <w:lang w:val="en-US" w:eastAsia="zh-CN"/>
                    </w:rPr>
                  </w:pPr>
                  <w:r>
                    <w:rPr>
                      <w:rFonts w:hint="eastAsia"/>
                      <w:lang w:val="en-US" w:eastAsia="zh-CN"/>
                    </w:rPr>
                    <w:t xml:space="preserve">110 </w:t>
                  </w:r>
                </w:p>
              </w:tc>
              <w:tc>
                <w:tcPr>
                  <w:tcW w:w="953" w:type="dxa"/>
                  <w:vMerge w:val="continue"/>
                  <w:tcBorders>
                    <w:tl2br w:val="nil"/>
                    <w:tr2bl w:val="nil"/>
                  </w:tcBorders>
                  <w:vAlign w:val="center"/>
                </w:tcPr>
                <w:p w14:paraId="4781C266">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007B8CD2">
                  <w:pPr>
                    <w:pStyle w:val="14"/>
                    <w:bidi w:val="0"/>
                    <w:rPr>
                      <w:lang w:val="en-US" w:eastAsia="zh-CN"/>
                    </w:rPr>
                  </w:pPr>
                  <w:r>
                    <w:rPr>
                      <w:rFonts w:hint="eastAsia"/>
                      <w:lang w:val="en-US" w:eastAsia="zh-CN"/>
                    </w:rPr>
                    <w:t xml:space="preserve">26.20 </w:t>
                  </w:r>
                </w:p>
              </w:tc>
            </w:tr>
            <w:tr w14:paraId="4776D4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5DA02DDD">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70BBEE80">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5854FF7A">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1F4830D9">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058897F0">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650882FD">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42FB8ADF">
                  <w:pPr>
                    <w:pStyle w:val="14"/>
                    <w:bidi w:val="0"/>
                  </w:pPr>
                </w:p>
              </w:tc>
              <w:tc>
                <w:tcPr>
                  <w:tcW w:w="938" w:type="dxa"/>
                  <w:vMerge w:val="continue"/>
                  <w:tcBorders>
                    <w:tl2br w:val="nil"/>
                    <w:tr2bl w:val="nil"/>
                  </w:tcBorders>
                  <w:vAlign w:val="center"/>
                </w:tcPr>
                <w:p w14:paraId="0F02063C">
                  <w:pPr>
                    <w:pStyle w:val="14"/>
                    <w:bidi w:val="0"/>
                  </w:pPr>
                </w:p>
              </w:tc>
              <w:tc>
                <w:tcPr>
                  <w:tcW w:w="879" w:type="dxa"/>
                  <w:vMerge w:val="continue"/>
                  <w:tcBorders>
                    <w:tl2br w:val="nil"/>
                    <w:tr2bl w:val="nil"/>
                  </w:tcBorders>
                  <w:vAlign w:val="center"/>
                </w:tcPr>
                <w:p w14:paraId="070FA2F1">
                  <w:pPr>
                    <w:pStyle w:val="14"/>
                    <w:bidi w:val="0"/>
                  </w:pPr>
                </w:p>
              </w:tc>
              <w:tc>
                <w:tcPr>
                  <w:tcW w:w="963" w:type="dxa"/>
                  <w:tcBorders>
                    <w:tl2br w:val="nil"/>
                    <w:tr2bl w:val="nil"/>
                  </w:tcBorders>
                  <w:vAlign w:val="center"/>
                </w:tcPr>
                <w:p w14:paraId="5667557D">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267A583F">
                  <w:pPr>
                    <w:pStyle w:val="14"/>
                    <w:bidi w:val="0"/>
                    <w:rPr>
                      <w:lang w:val="en-US" w:eastAsia="zh-CN"/>
                    </w:rPr>
                  </w:pPr>
                  <w:r>
                    <w:rPr>
                      <w:rFonts w:hint="eastAsia"/>
                      <w:lang w:val="en-US" w:eastAsia="zh-CN"/>
                    </w:rPr>
                    <w:t xml:space="preserve">55 </w:t>
                  </w:r>
                </w:p>
              </w:tc>
              <w:tc>
                <w:tcPr>
                  <w:tcW w:w="953" w:type="dxa"/>
                  <w:vMerge w:val="continue"/>
                  <w:tcBorders>
                    <w:tl2br w:val="nil"/>
                    <w:tr2bl w:val="nil"/>
                  </w:tcBorders>
                  <w:vAlign w:val="center"/>
                </w:tcPr>
                <w:p w14:paraId="30414D5D">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23BAB355">
                  <w:pPr>
                    <w:pStyle w:val="14"/>
                    <w:bidi w:val="0"/>
                    <w:rPr>
                      <w:lang w:val="en-US" w:eastAsia="zh-CN"/>
                    </w:rPr>
                  </w:pPr>
                  <w:r>
                    <w:rPr>
                      <w:rFonts w:hint="eastAsia"/>
                      <w:lang w:val="en-US" w:eastAsia="zh-CN"/>
                    </w:rPr>
                    <w:t xml:space="preserve">32.15 </w:t>
                  </w:r>
                </w:p>
              </w:tc>
            </w:tr>
            <w:tr w14:paraId="2AB5B4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487D82AE">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2354A1CB">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508CD659">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6E581D9E">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3BB4E9D2">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40D3EBD3">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2EBA2509">
                  <w:pPr>
                    <w:pStyle w:val="14"/>
                    <w:bidi w:val="0"/>
                  </w:pPr>
                </w:p>
              </w:tc>
              <w:tc>
                <w:tcPr>
                  <w:tcW w:w="938" w:type="dxa"/>
                  <w:vMerge w:val="continue"/>
                  <w:tcBorders>
                    <w:tl2br w:val="nil"/>
                    <w:tr2bl w:val="nil"/>
                  </w:tcBorders>
                  <w:vAlign w:val="center"/>
                </w:tcPr>
                <w:p w14:paraId="427949C8">
                  <w:pPr>
                    <w:pStyle w:val="14"/>
                    <w:bidi w:val="0"/>
                  </w:pPr>
                </w:p>
              </w:tc>
              <w:tc>
                <w:tcPr>
                  <w:tcW w:w="879" w:type="dxa"/>
                  <w:vMerge w:val="continue"/>
                  <w:tcBorders>
                    <w:tl2br w:val="nil"/>
                    <w:tr2bl w:val="nil"/>
                  </w:tcBorders>
                  <w:vAlign w:val="center"/>
                </w:tcPr>
                <w:p w14:paraId="512745C9">
                  <w:pPr>
                    <w:pStyle w:val="14"/>
                    <w:bidi w:val="0"/>
                  </w:pPr>
                </w:p>
              </w:tc>
              <w:tc>
                <w:tcPr>
                  <w:tcW w:w="963" w:type="dxa"/>
                  <w:tcBorders>
                    <w:tl2br w:val="nil"/>
                    <w:tr2bl w:val="nil"/>
                  </w:tcBorders>
                  <w:vAlign w:val="center"/>
                </w:tcPr>
                <w:p w14:paraId="4FC5CA7C">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4A3FCC49">
                  <w:pPr>
                    <w:pStyle w:val="14"/>
                    <w:bidi w:val="0"/>
                    <w:rPr>
                      <w:lang w:val="en-US" w:eastAsia="zh-CN"/>
                    </w:rPr>
                  </w:pPr>
                  <w:r>
                    <w:rPr>
                      <w:rFonts w:hint="eastAsia"/>
                      <w:lang w:val="en-US" w:eastAsia="zh-CN"/>
                    </w:rPr>
                    <w:t xml:space="preserve">51 </w:t>
                  </w:r>
                </w:p>
              </w:tc>
              <w:tc>
                <w:tcPr>
                  <w:tcW w:w="953" w:type="dxa"/>
                  <w:vMerge w:val="continue"/>
                  <w:tcBorders>
                    <w:tl2br w:val="nil"/>
                    <w:tr2bl w:val="nil"/>
                  </w:tcBorders>
                  <w:vAlign w:val="center"/>
                </w:tcPr>
                <w:p w14:paraId="7734603E">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488A8A54">
                  <w:pPr>
                    <w:pStyle w:val="14"/>
                    <w:bidi w:val="0"/>
                    <w:rPr>
                      <w:lang w:val="en-US" w:eastAsia="zh-CN"/>
                    </w:rPr>
                  </w:pPr>
                  <w:r>
                    <w:rPr>
                      <w:rFonts w:hint="eastAsia"/>
                      <w:lang w:val="en-US" w:eastAsia="zh-CN"/>
                    </w:rPr>
                    <w:t xml:space="preserve">32.83 </w:t>
                  </w:r>
                </w:p>
              </w:tc>
            </w:tr>
            <w:tr w14:paraId="3684C5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restart"/>
                  <w:tcBorders>
                    <w:tl2br w:val="nil"/>
                    <w:tr2bl w:val="nil"/>
                  </w:tcBorders>
                  <w:vAlign w:val="center"/>
                </w:tcPr>
                <w:p w14:paraId="700535A2">
                  <w:pPr>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rPr>
                    <w:t>2</w:t>
                  </w:r>
                </w:p>
                <w:p w14:paraId="4005F973">
                  <w:pPr>
                    <w:adjustRightInd w:val="0"/>
                    <w:snapToGrid w:val="0"/>
                    <w:spacing w:line="240" w:lineRule="auto"/>
                    <w:jc w:val="center"/>
                    <w:rPr>
                      <w:rFonts w:hint="eastAsia" w:ascii="Times New Roman" w:hAnsi="Times New Roman" w:eastAsia="宋体" w:cs="Times New Roman"/>
                      <w:color w:val="000000"/>
                      <w:sz w:val="21"/>
                    </w:rPr>
                  </w:pPr>
                </w:p>
              </w:tc>
              <w:tc>
                <w:tcPr>
                  <w:tcW w:w="1573" w:type="dxa"/>
                  <w:vMerge w:val="restart"/>
                  <w:tcBorders>
                    <w:tl2br w:val="nil"/>
                    <w:tr2bl w:val="nil"/>
                  </w:tcBorders>
                  <w:vAlign w:val="center"/>
                </w:tcPr>
                <w:p w14:paraId="0F95CF38">
                  <w:pPr>
                    <w:adjustRightInd w:val="0"/>
                    <w:snapToGrid w:val="0"/>
                    <w:spacing w:line="240" w:lineRule="auto"/>
                    <w:jc w:val="center"/>
                    <w:rPr>
                      <w:rFonts w:hint="eastAsia" w:cs="Times New Roman"/>
                      <w:color w:val="000000"/>
                      <w:sz w:val="21"/>
                      <w:lang w:eastAsia="zh-CN"/>
                    </w:rPr>
                  </w:pPr>
                  <w:r>
                    <w:rPr>
                      <w:rFonts w:hint="eastAsia" w:ascii="Times New Roman" w:hAnsi="Times New Roman" w:eastAsia="宋体" w:cs="Times New Roman"/>
                      <w:bCs/>
                      <w:sz w:val="21"/>
                      <w:szCs w:val="21"/>
                      <w:highlight w:val="none"/>
                      <w:vertAlign w:val="baseline"/>
                      <w:lang w:eastAsia="zh-CN"/>
                    </w:rPr>
                    <w:t>卸氨压缩机</w:t>
                  </w:r>
                </w:p>
              </w:tc>
              <w:tc>
                <w:tcPr>
                  <w:tcW w:w="2325" w:type="dxa"/>
                  <w:vMerge w:val="restart"/>
                  <w:tcBorders>
                    <w:tl2br w:val="nil"/>
                    <w:tr2bl w:val="nil"/>
                  </w:tcBorders>
                  <w:vAlign w:val="center"/>
                </w:tcPr>
                <w:p w14:paraId="6E412E30">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bCs/>
                      <w:sz w:val="21"/>
                      <w:szCs w:val="21"/>
                      <w:vertAlign w:val="baseline"/>
                      <w:lang w:val="en-US" w:eastAsia="zh-CN"/>
                    </w:rPr>
                    <w:t>排气量1500Nm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/h</w:t>
                  </w:r>
                </w:p>
              </w:tc>
              <w:tc>
                <w:tcPr>
                  <w:tcW w:w="1129" w:type="dxa"/>
                  <w:vMerge w:val="restart"/>
                  <w:tcBorders>
                    <w:tl2br w:val="nil"/>
                    <w:tr2bl w:val="nil"/>
                  </w:tcBorders>
                  <w:vAlign w:val="center"/>
                </w:tcPr>
                <w:p w14:paraId="128E26D4">
                  <w:pPr>
                    <w:adjustRightInd w:val="0"/>
                    <w:snapToGrid w:val="0"/>
                    <w:spacing w:line="240" w:lineRule="auto"/>
                    <w:jc w:val="center"/>
                    <w:rPr>
                      <w:rFonts w:hint="eastAsia" w:ascii="Times New Roman" w:hAnsi="Times New Roman" w:eastAsia="宋体" w:cs="Times New Roman"/>
                      <w:color w:val="000000"/>
                      <w:sz w:val="21"/>
                      <w:lang w:val="en-US" w:eastAsia="zh-CN"/>
                    </w:rPr>
                  </w:pPr>
                  <w:r>
                    <w:rPr>
                      <w:rFonts w:hint="eastAsia" w:cs="Times New Roman"/>
                      <w:color w:val="000000"/>
                      <w:sz w:val="21"/>
                      <w:lang w:val="en-US" w:eastAsia="zh-CN"/>
                    </w:rPr>
                    <w:t>2</w:t>
                  </w:r>
                </w:p>
              </w:tc>
              <w:tc>
                <w:tcPr>
                  <w:tcW w:w="1481" w:type="dxa"/>
                  <w:vMerge w:val="restart"/>
                  <w:tcBorders>
                    <w:tl2br w:val="nil"/>
                    <w:tr2bl w:val="nil"/>
                  </w:tcBorders>
                  <w:vAlign w:val="center"/>
                </w:tcPr>
                <w:p w14:paraId="55F3B0F2">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75</w:t>
                  </w:r>
                </w:p>
              </w:tc>
              <w:tc>
                <w:tcPr>
                  <w:tcW w:w="1065" w:type="dxa"/>
                  <w:vMerge w:val="continue"/>
                  <w:tcBorders>
                    <w:tl2br w:val="nil"/>
                    <w:tr2bl w:val="nil"/>
                  </w:tcBorders>
                  <w:vAlign w:val="center"/>
                </w:tcPr>
                <w:p w14:paraId="45AC8BEA">
                  <w:pPr>
                    <w:adjustRightInd w:val="0"/>
                    <w:snapToGrid w:val="0"/>
                    <w:spacing w:line="240" w:lineRule="auto"/>
                    <w:jc w:val="center"/>
                    <w:rPr>
                      <w:rFonts w:ascii="Times New Roman" w:hAnsi="Times New Roman" w:eastAsia="宋体" w:cs="Times New Roman"/>
                      <w:color w:val="000000"/>
                      <w:sz w:val="21"/>
                    </w:rPr>
                  </w:pPr>
                </w:p>
              </w:tc>
              <w:tc>
                <w:tcPr>
                  <w:tcW w:w="891" w:type="dxa"/>
                  <w:vMerge w:val="restart"/>
                  <w:tcBorders>
                    <w:tl2br w:val="nil"/>
                    <w:tr2bl w:val="nil"/>
                  </w:tcBorders>
                  <w:vAlign w:val="center"/>
                </w:tcPr>
                <w:p w14:paraId="42C4525C">
                  <w:pPr>
                    <w:pStyle w:val="14"/>
                    <w:bidi w:val="0"/>
                    <w:rPr>
                      <w:rFonts w:hint="eastAsia"/>
                      <w:lang w:val="en-US" w:eastAsia="zh-CN"/>
                    </w:rPr>
                  </w:pPr>
                  <w:r>
                    <w:rPr>
                      <w:rFonts w:hint="eastAsia"/>
                      <w:lang w:val="en-US" w:eastAsia="zh-CN"/>
                    </w:rPr>
                    <w:t>75</w:t>
                  </w:r>
                </w:p>
              </w:tc>
              <w:tc>
                <w:tcPr>
                  <w:tcW w:w="938" w:type="dxa"/>
                  <w:vMerge w:val="restart"/>
                  <w:tcBorders>
                    <w:tl2br w:val="nil"/>
                    <w:tr2bl w:val="nil"/>
                  </w:tcBorders>
                  <w:vAlign w:val="center"/>
                </w:tcPr>
                <w:p w14:paraId="2979ABDC">
                  <w:pPr>
                    <w:pStyle w:val="14"/>
                    <w:bidi w:val="0"/>
                    <w:rPr>
                      <w:rFonts w:hint="default"/>
                      <w:lang w:val="en-US" w:eastAsia="zh-CN"/>
                    </w:rPr>
                  </w:pPr>
                  <w:r>
                    <w:rPr>
                      <w:rFonts w:hint="eastAsia"/>
                      <w:lang w:val="en-US" w:eastAsia="zh-CN"/>
                    </w:rPr>
                    <w:t>74</w:t>
                  </w:r>
                </w:p>
              </w:tc>
              <w:tc>
                <w:tcPr>
                  <w:tcW w:w="879" w:type="dxa"/>
                  <w:vMerge w:val="restart"/>
                  <w:tcBorders>
                    <w:tl2br w:val="nil"/>
                    <w:tr2bl w:val="nil"/>
                  </w:tcBorders>
                  <w:vAlign w:val="center"/>
                </w:tcPr>
                <w:p w14:paraId="38156B5F">
                  <w:pPr>
                    <w:pStyle w:val="14"/>
                    <w:bidi w:val="0"/>
                    <w:rPr>
                      <w:rFonts w:hint="default"/>
                      <w:lang w:val="en-US" w:eastAsia="zh-CN"/>
                    </w:rPr>
                  </w:pPr>
                  <w:r>
                    <w:rPr>
                      <w:rFonts w:hint="eastAsia"/>
                      <w:lang w:val="en-US" w:eastAsia="zh-CN"/>
                    </w:rPr>
                    <w:t>1</w:t>
                  </w:r>
                </w:p>
              </w:tc>
              <w:tc>
                <w:tcPr>
                  <w:tcW w:w="963" w:type="dxa"/>
                  <w:tcBorders>
                    <w:tl2br w:val="nil"/>
                    <w:tr2bl w:val="nil"/>
                  </w:tcBorders>
                  <w:vAlign w:val="center"/>
                </w:tcPr>
                <w:p w14:paraId="0ADCC1A1">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3408EDC2">
                  <w:pPr>
                    <w:pStyle w:val="14"/>
                    <w:bidi w:val="0"/>
                    <w:rPr>
                      <w:lang w:val="en-US" w:eastAsia="zh-CN"/>
                    </w:rPr>
                  </w:pPr>
                  <w:r>
                    <w:rPr>
                      <w:rFonts w:hint="eastAsia"/>
                      <w:lang w:val="en-US" w:eastAsia="zh-CN"/>
                    </w:rPr>
                    <w:t xml:space="preserve">94 </w:t>
                  </w:r>
                </w:p>
              </w:tc>
              <w:tc>
                <w:tcPr>
                  <w:tcW w:w="953" w:type="dxa"/>
                  <w:vMerge w:val="continue"/>
                  <w:tcBorders>
                    <w:tl2br w:val="nil"/>
                    <w:tr2bl w:val="nil"/>
                  </w:tcBorders>
                  <w:vAlign w:val="center"/>
                </w:tcPr>
                <w:p w14:paraId="03249B93">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096FDDCF">
                  <w:pPr>
                    <w:pStyle w:val="14"/>
                    <w:bidi w:val="0"/>
                    <w:rPr>
                      <w:lang w:val="en-US" w:eastAsia="zh-CN"/>
                    </w:rPr>
                  </w:pPr>
                  <w:r>
                    <w:rPr>
                      <w:rFonts w:hint="eastAsia"/>
                      <w:lang w:val="en-US" w:eastAsia="zh-CN"/>
                    </w:rPr>
                    <w:t xml:space="preserve">27.57 </w:t>
                  </w:r>
                </w:p>
              </w:tc>
            </w:tr>
            <w:tr w14:paraId="5CC63A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continue"/>
                  <w:tcBorders>
                    <w:tl2br w:val="nil"/>
                    <w:tr2bl w:val="nil"/>
                  </w:tcBorders>
                  <w:vAlign w:val="center"/>
                </w:tcPr>
                <w:p w14:paraId="4C6BD027">
                  <w:pPr>
                    <w:adjustRightInd w:val="0"/>
                    <w:snapToGrid w:val="0"/>
                    <w:spacing w:line="240" w:lineRule="auto"/>
                    <w:jc w:val="center"/>
                    <w:rPr>
                      <w:rFonts w:cs="Times New Roman"/>
                      <w:color w:val="000000"/>
                    </w:rPr>
                  </w:pPr>
                </w:p>
              </w:tc>
              <w:tc>
                <w:tcPr>
                  <w:tcW w:w="1573" w:type="dxa"/>
                  <w:vMerge w:val="continue"/>
                  <w:tcBorders>
                    <w:tl2br w:val="nil"/>
                    <w:tr2bl w:val="nil"/>
                  </w:tcBorders>
                  <w:vAlign w:val="center"/>
                </w:tcPr>
                <w:p w14:paraId="5F0DA7C7">
                  <w:pPr>
                    <w:adjustRightInd w:val="0"/>
                    <w:snapToGrid w:val="0"/>
                    <w:spacing w:line="240" w:lineRule="auto"/>
                    <w:jc w:val="center"/>
                    <w:rPr>
                      <w:rFonts w:cs="Times New Roman"/>
                      <w:color w:val="000000"/>
                    </w:rPr>
                  </w:pPr>
                </w:p>
              </w:tc>
              <w:tc>
                <w:tcPr>
                  <w:tcW w:w="2325" w:type="dxa"/>
                  <w:vMerge w:val="continue"/>
                  <w:tcBorders>
                    <w:tl2br w:val="nil"/>
                    <w:tr2bl w:val="nil"/>
                  </w:tcBorders>
                  <w:vAlign w:val="center"/>
                </w:tcPr>
                <w:p w14:paraId="6DC24CAC">
                  <w:pPr>
                    <w:adjustRightInd w:val="0"/>
                    <w:snapToGrid w:val="0"/>
                    <w:spacing w:line="240" w:lineRule="auto"/>
                    <w:jc w:val="center"/>
                    <w:rPr>
                      <w:rFonts w:cs="Times New Roman"/>
                      <w:color w:val="000000"/>
                    </w:rPr>
                  </w:pPr>
                </w:p>
              </w:tc>
              <w:tc>
                <w:tcPr>
                  <w:tcW w:w="1129" w:type="dxa"/>
                  <w:vMerge w:val="continue"/>
                  <w:tcBorders>
                    <w:tl2br w:val="nil"/>
                    <w:tr2bl w:val="nil"/>
                  </w:tcBorders>
                  <w:vAlign w:val="center"/>
                </w:tcPr>
                <w:p w14:paraId="11787B94">
                  <w:pPr>
                    <w:adjustRightInd w:val="0"/>
                    <w:snapToGrid w:val="0"/>
                    <w:spacing w:line="240" w:lineRule="auto"/>
                    <w:jc w:val="center"/>
                    <w:rPr>
                      <w:rFonts w:cs="Times New Roman"/>
                      <w:color w:val="000000"/>
                    </w:rPr>
                  </w:pPr>
                </w:p>
              </w:tc>
              <w:tc>
                <w:tcPr>
                  <w:tcW w:w="1481" w:type="dxa"/>
                  <w:vMerge w:val="continue"/>
                  <w:tcBorders>
                    <w:tl2br w:val="nil"/>
                    <w:tr2bl w:val="nil"/>
                  </w:tcBorders>
                  <w:vAlign w:val="center"/>
                </w:tcPr>
                <w:p w14:paraId="5EE19114">
                  <w:pPr>
                    <w:adjustRightInd w:val="0"/>
                    <w:snapToGrid w:val="0"/>
                    <w:spacing w:line="240" w:lineRule="auto"/>
                    <w:jc w:val="center"/>
                    <w:rPr>
                      <w:rFonts w:cs="Times New Roman"/>
                      <w:color w:val="000000"/>
                    </w:rPr>
                  </w:pPr>
                </w:p>
              </w:tc>
              <w:tc>
                <w:tcPr>
                  <w:tcW w:w="1065" w:type="dxa"/>
                  <w:vMerge w:val="continue"/>
                  <w:tcBorders>
                    <w:tl2br w:val="nil"/>
                    <w:tr2bl w:val="nil"/>
                  </w:tcBorders>
                  <w:vAlign w:val="center"/>
                </w:tcPr>
                <w:p w14:paraId="20620E54">
                  <w:pPr>
                    <w:adjustRightInd w:val="0"/>
                    <w:snapToGrid w:val="0"/>
                    <w:spacing w:line="240" w:lineRule="auto"/>
                    <w:jc w:val="center"/>
                    <w:rPr>
                      <w:rFonts w:cs="Times New Roman"/>
                      <w:color w:val="000000"/>
                    </w:rPr>
                  </w:pPr>
                </w:p>
              </w:tc>
              <w:tc>
                <w:tcPr>
                  <w:tcW w:w="891" w:type="dxa"/>
                  <w:vMerge w:val="continue"/>
                  <w:tcBorders>
                    <w:tl2br w:val="nil"/>
                    <w:tr2bl w:val="nil"/>
                  </w:tcBorders>
                  <w:vAlign w:val="center"/>
                </w:tcPr>
                <w:p w14:paraId="38FA03EE">
                  <w:pPr>
                    <w:pStyle w:val="14"/>
                    <w:bidi w:val="0"/>
                  </w:pPr>
                </w:p>
              </w:tc>
              <w:tc>
                <w:tcPr>
                  <w:tcW w:w="938" w:type="dxa"/>
                  <w:vMerge w:val="continue"/>
                  <w:tcBorders>
                    <w:tl2br w:val="nil"/>
                    <w:tr2bl w:val="nil"/>
                  </w:tcBorders>
                  <w:vAlign w:val="center"/>
                </w:tcPr>
                <w:p w14:paraId="0C2B44B2">
                  <w:pPr>
                    <w:pStyle w:val="14"/>
                    <w:bidi w:val="0"/>
                  </w:pPr>
                </w:p>
              </w:tc>
              <w:tc>
                <w:tcPr>
                  <w:tcW w:w="879" w:type="dxa"/>
                  <w:vMerge w:val="continue"/>
                  <w:tcBorders>
                    <w:tl2br w:val="nil"/>
                    <w:tr2bl w:val="nil"/>
                  </w:tcBorders>
                  <w:vAlign w:val="center"/>
                </w:tcPr>
                <w:p w14:paraId="08618594">
                  <w:pPr>
                    <w:pStyle w:val="14"/>
                    <w:bidi w:val="0"/>
                  </w:pPr>
                </w:p>
              </w:tc>
              <w:tc>
                <w:tcPr>
                  <w:tcW w:w="963" w:type="dxa"/>
                  <w:tcBorders>
                    <w:tl2br w:val="nil"/>
                    <w:tr2bl w:val="nil"/>
                  </w:tcBorders>
                  <w:vAlign w:val="center"/>
                </w:tcPr>
                <w:p w14:paraId="3381B024">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6C4C64AF">
                  <w:pPr>
                    <w:pStyle w:val="14"/>
                    <w:bidi w:val="0"/>
                    <w:rPr>
                      <w:lang w:val="en-US" w:eastAsia="zh-CN"/>
                    </w:rPr>
                  </w:pPr>
                  <w:r>
                    <w:rPr>
                      <w:rFonts w:hint="eastAsia"/>
                      <w:lang w:val="en-US" w:eastAsia="zh-CN"/>
                    </w:rPr>
                    <w:t xml:space="preserve">77 </w:t>
                  </w:r>
                </w:p>
              </w:tc>
              <w:tc>
                <w:tcPr>
                  <w:tcW w:w="953" w:type="dxa"/>
                  <w:vMerge w:val="continue"/>
                  <w:tcBorders>
                    <w:tl2br w:val="nil"/>
                    <w:tr2bl w:val="nil"/>
                  </w:tcBorders>
                  <w:vAlign w:val="center"/>
                </w:tcPr>
                <w:p w14:paraId="0D53A330">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5AD9B109">
                  <w:pPr>
                    <w:pStyle w:val="14"/>
                    <w:bidi w:val="0"/>
                    <w:rPr>
                      <w:lang w:val="en-US" w:eastAsia="zh-CN"/>
                    </w:rPr>
                  </w:pPr>
                  <w:r>
                    <w:rPr>
                      <w:rFonts w:hint="eastAsia"/>
                      <w:lang w:val="en-US" w:eastAsia="zh-CN"/>
                    </w:rPr>
                    <w:t xml:space="preserve">29.22 </w:t>
                  </w:r>
                </w:p>
              </w:tc>
            </w:tr>
            <w:tr w14:paraId="198899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continue"/>
                  <w:tcBorders>
                    <w:tl2br w:val="nil"/>
                    <w:tr2bl w:val="nil"/>
                  </w:tcBorders>
                  <w:vAlign w:val="center"/>
                </w:tcPr>
                <w:p w14:paraId="1166DED8">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764BCC47">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28C4C728">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2684C3DF">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45B1A1D7">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7E01B6DC">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79D54ACB">
                  <w:pPr>
                    <w:pStyle w:val="14"/>
                    <w:bidi w:val="0"/>
                  </w:pPr>
                </w:p>
              </w:tc>
              <w:tc>
                <w:tcPr>
                  <w:tcW w:w="938" w:type="dxa"/>
                  <w:vMerge w:val="continue"/>
                  <w:tcBorders>
                    <w:tl2br w:val="nil"/>
                    <w:tr2bl w:val="nil"/>
                  </w:tcBorders>
                  <w:vAlign w:val="center"/>
                </w:tcPr>
                <w:p w14:paraId="46D1AE5B">
                  <w:pPr>
                    <w:pStyle w:val="14"/>
                    <w:bidi w:val="0"/>
                  </w:pPr>
                </w:p>
              </w:tc>
              <w:tc>
                <w:tcPr>
                  <w:tcW w:w="879" w:type="dxa"/>
                  <w:vMerge w:val="continue"/>
                  <w:tcBorders>
                    <w:tl2br w:val="nil"/>
                    <w:tr2bl w:val="nil"/>
                  </w:tcBorders>
                  <w:vAlign w:val="center"/>
                </w:tcPr>
                <w:p w14:paraId="3CCC8A43">
                  <w:pPr>
                    <w:pStyle w:val="14"/>
                    <w:bidi w:val="0"/>
                  </w:pPr>
                </w:p>
              </w:tc>
              <w:tc>
                <w:tcPr>
                  <w:tcW w:w="963" w:type="dxa"/>
                  <w:tcBorders>
                    <w:tl2br w:val="nil"/>
                    <w:tr2bl w:val="nil"/>
                  </w:tcBorders>
                  <w:vAlign w:val="center"/>
                </w:tcPr>
                <w:p w14:paraId="3C00B294">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54E00181">
                  <w:pPr>
                    <w:pStyle w:val="14"/>
                    <w:bidi w:val="0"/>
                    <w:rPr>
                      <w:lang w:val="en-US" w:eastAsia="zh-CN"/>
                    </w:rPr>
                  </w:pPr>
                  <w:r>
                    <w:rPr>
                      <w:rFonts w:hint="eastAsia"/>
                      <w:lang w:val="en-US" w:eastAsia="zh-CN"/>
                    </w:rPr>
                    <w:t xml:space="preserve">77 </w:t>
                  </w:r>
                </w:p>
              </w:tc>
              <w:tc>
                <w:tcPr>
                  <w:tcW w:w="953" w:type="dxa"/>
                  <w:vMerge w:val="continue"/>
                  <w:tcBorders>
                    <w:tl2br w:val="nil"/>
                    <w:tr2bl w:val="nil"/>
                  </w:tcBorders>
                  <w:vAlign w:val="center"/>
                </w:tcPr>
                <w:p w14:paraId="07A23C7B">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0FB82904">
                  <w:pPr>
                    <w:pStyle w:val="14"/>
                    <w:bidi w:val="0"/>
                    <w:rPr>
                      <w:lang w:val="en-US" w:eastAsia="zh-CN"/>
                    </w:rPr>
                  </w:pPr>
                  <w:r>
                    <w:rPr>
                      <w:rFonts w:hint="eastAsia"/>
                      <w:lang w:val="en-US" w:eastAsia="zh-CN"/>
                    </w:rPr>
                    <w:t xml:space="preserve">29.29 </w:t>
                  </w:r>
                </w:p>
              </w:tc>
            </w:tr>
            <w:tr w14:paraId="5ABE5F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continue"/>
                  <w:tcBorders>
                    <w:tl2br w:val="nil"/>
                    <w:tr2bl w:val="nil"/>
                  </w:tcBorders>
                  <w:vAlign w:val="center"/>
                </w:tcPr>
                <w:p w14:paraId="2600E697">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28E95DFB">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379EA251">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5C64A2E8">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383CF19A">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37982C6A">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06F3EDFA">
                  <w:pPr>
                    <w:pStyle w:val="14"/>
                    <w:bidi w:val="0"/>
                  </w:pPr>
                </w:p>
              </w:tc>
              <w:tc>
                <w:tcPr>
                  <w:tcW w:w="938" w:type="dxa"/>
                  <w:vMerge w:val="continue"/>
                  <w:tcBorders>
                    <w:tl2br w:val="nil"/>
                    <w:tr2bl w:val="nil"/>
                  </w:tcBorders>
                  <w:vAlign w:val="center"/>
                </w:tcPr>
                <w:p w14:paraId="37B5F960">
                  <w:pPr>
                    <w:pStyle w:val="14"/>
                    <w:bidi w:val="0"/>
                  </w:pPr>
                </w:p>
              </w:tc>
              <w:tc>
                <w:tcPr>
                  <w:tcW w:w="879" w:type="dxa"/>
                  <w:vMerge w:val="continue"/>
                  <w:tcBorders>
                    <w:tl2br w:val="nil"/>
                    <w:tr2bl w:val="nil"/>
                  </w:tcBorders>
                  <w:vAlign w:val="center"/>
                </w:tcPr>
                <w:p w14:paraId="29146B31">
                  <w:pPr>
                    <w:pStyle w:val="14"/>
                    <w:bidi w:val="0"/>
                  </w:pPr>
                </w:p>
              </w:tc>
              <w:tc>
                <w:tcPr>
                  <w:tcW w:w="963" w:type="dxa"/>
                  <w:tcBorders>
                    <w:tl2br w:val="nil"/>
                    <w:tr2bl w:val="nil"/>
                  </w:tcBorders>
                  <w:vAlign w:val="center"/>
                </w:tcPr>
                <w:p w14:paraId="64498DE8">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1F06F1D2">
                  <w:pPr>
                    <w:pStyle w:val="14"/>
                    <w:bidi w:val="0"/>
                    <w:rPr>
                      <w:lang w:val="en-US" w:eastAsia="zh-CN"/>
                    </w:rPr>
                  </w:pPr>
                  <w:r>
                    <w:rPr>
                      <w:rFonts w:hint="eastAsia"/>
                      <w:lang w:val="en-US" w:eastAsia="zh-CN"/>
                    </w:rPr>
                    <w:t xml:space="preserve">53 </w:t>
                  </w:r>
                </w:p>
              </w:tc>
              <w:tc>
                <w:tcPr>
                  <w:tcW w:w="953" w:type="dxa"/>
                  <w:vMerge w:val="continue"/>
                  <w:tcBorders>
                    <w:tl2br w:val="nil"/>
                    <w:tr2bl w:val="nil"/>
                  </w:tcBorders>
                  <w:vAlign w:val="center"/>
                </w:tcPr>
                <w:p w14:paraId="341DD9F8">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4277A732">
                  <w:pPr>
                    <w:pStyle w:val="14"/>
                    <w:bidi w:val="0"/>
                    <w:rPr>
                      <w:lang w:val="en-US" w:eastAsia="zh-CN"/>
                    </w:rPr>
                  </w:pPr>
                  <w:r>
                    <w:rPr>
                      <w:rFonts w:hint="eastAsia"/>
                      <w:lang w:val="en-US" w:eastAsia="zh-CN"/>
                    </w:rPr>
                    <w:t xml:space="preserve">32.58 </w:t>
                  </w:r>
                </w:p>
              </w:tc>
            </w:tr>
            <w:tr w14:paraId="126C9A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restart"/>
                  <w:tcBorders>
                    <w:tl2br w:val="nil"/>
                    <w:tr2bl w:val="nil"/>
                  </w:tcBorders>
                  <w:vAlign w:val="center"/>
                </w:tcPr>
                <w:p w14:paraId="4891A23B">
                  <w:pPr>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rPr>
                    <w:t>3</w:t>
                  </w:r>
                </w:p>
                <w:p w14:paraId="6A6F3FB5">
                  <w:pPr>
                    <w:adjustRightInd w:val="0"/>
                    <w:snapToGrid w:val="0"/>
                    <w:spacing w:line="240" w:lineRule="auto"/>
                    <w:jc w:val="center"/>
                    <w:rPr>
                      <w:rFonts w:hint="eastAsia" w:ascii="Times New Roman" w:hAnsi="Times New Roman" w:eastAsia="宋体" w:cs="Times New Roman"/>
                      <w:color w:val="000000"/>
                      <w:sz w:val="21"/>
                    </w:rPr>
                  </w:pPr>
                </w:p>
              </w:tc>
              <w:tc>
                <w:tcPr>
                  <w:tcW w:w="1573" w:type="dxa"/>
                  <w:vMerge w:val="restart"/>
                  <w:tcBorders>
                    <w:tl2br w:val="nil"/>
                    <w:tr2bl w:val="nil"/>
                  </w:tcBorders>
                  <w:vAlign w:val="center"/>
                </w:tcPr>
                <w:p w14:paraId="7F350F4B">
                  <w:pPr>
                    <w:adjustRightInd w:val="0"/>
                    <w:snapToGrid w:val="0"/>
                    <w:spacing w:line="240" w:lineRule="auto"/>
                    <w:jc w:val="center"/>
                    <w:rPr>
                      <w:rFonts w:hint="eastAsia" w:cs="Times New Roman"/>
                      <w:color w:val="000000"/>
                      <w:sz w:val="21"/>
                      <w:lang w:eastAsia="zh-CN"/>
                    </w:rPr>
                  </w:pPr>
                  <w:r>
                    <w:rPr>
                      <w:rFonts w:hint="eastAsia" w:ascii="Times New Roman" w:hAnsi="Times New Roman" w:eastAsia="宋体" w:cs="Times New Roman"/>
                      <w:bCs/>
                      <w:sz w:val="21"/>
                      <w:szCs w:val="21"/>
                      <w:highlight w:val="none"/>
                      <w:vertAlign w:val="baseline"/>
                      <w:lang w:eastAsia="zh-CN"/>
                    </w:rPr>
                    <w:t>液氨泵</w:t>
                  </w:r>
                </w:p>
              </w:tc>
              <w:tc>
                <w:tcPr>
                  <w:tcW w:w="2325" w:type="dxa"/>
                  <w:vMerge w:val="restart"/>
                  <w:tcBorders>
                    <w:tl2br w:val="nil"/>
                    <w:tr2bl w:val="nil"/>
                  </w:tcBorders>
                  <w:vAlign w:val="center"/>
                </w:tcPr>
                <w:p w14:paraId="2999E349">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bCs/>
                      <w:sz w:val="21"/>
                      <w:szCs w:val="21"/>
                      <w:vertAlign w:val="baseline"/>
                      <w:lang w:eastAsia="zh-CN"/>
                    </w:rPr>
                    <w:t>流量10m</w:t>
                  </w:r>
                  <w:r>
                    <w:rPr>
                      <w:rFonts w:hint="eastAsia" w:ascii="Times New Roman" w:hAnsi="Times New Roman" w:eastAsia="宋体" w:cs="Times New Roman"/>
                      <w:bCs/>
                      <w:sz w:val="21"/>
                      <w:szCs w:val="21"/>
                      <w:vertAlign w:val="superscript"/>
                      <w:lang w:eastAsia="zh-CN"/>
                    </w:rPr>
                    <w:t>3</w:t>
                  </w:r>
                  <w:r>
                    <w:rPr>
                      <w:rFonts w:hint="eastAsia" w:ascii="Times New Roman" w:hAnsi="Times New Roman" w:eastAsia="宋体" w:cs="Times New Roman"/>
                      <w:bCs/>
                      <w:sz w:val="21"/>
                      <w:szCs w:val="21"/>
                      <w:vertAlign w:val="baseline"/>
                      <w:lang w:eastAsia="zh-CN"/>
                    </w:rPr>
                    <w:t>/h</w:t>
                  </w:r>
                </w:p>
              </w:tc>
              <w:tc>
                <w:tcPr>
                  <w:tcW w:w="1129" w:type="dxa"/>
                  <w:vMerge w:val="restart"/>
                  <w:tcBorders>
                    <w:tl2br w:val="nil"/>
                    <w:tr2bl w:val="nil"/>
                  </w:tcBorders>
                  <w:vAlign w:val="center"/>
                </w:tcPr>
                <w:p w14:paraId="1D8748BB">
                  <w:pPr>
                    <w:adjustRightInd w:val="0"/>
                    <w:snapToGrid w:val="0"/>
                    <w:spacing w:line="240" w:lineRule="auto"/>
                    <w:jc w:val="center"/>
                    <w:rPr>
                      <w:rFonts w:hint="eastAsia" w:ascii="Times New Roman" w:hAnsi="Times New Roman" w:eastAsia="宋体" w:cs="Times New Roman"/>
                      <w:color w:val="000000"/>
                      <w:sz w:val="21"/>
                      <w:lang w:val="en-US" w:eastAsia="zh-CN"/>
                    </w:rPr>
                  </w:pPr>
                  <w:r>
                    <w:rPr>
                      <w:rFonts w:hint="eastAsia" w:cs="Times New Roman"/>
                      <w:color w:val="000000"/>
                      <w:sz w:val="21"/>
                      <w:lang w:val="en-US" w:eastAsia="zh-CN"/>
                    </w:rPr>
                    <w:t>2</w:t>
                  </w:r>
                </w:p>
              </w:tc>
              <w:tc>
                <w:tcPr>
                  <w:tcW w:w="1481" w:type="dxa"/>
                  <w:vMerge w:val="restart"/>
                  <w:tcBorders>
                    <w:tl2br w:val="nil"/>
                    <w:tr2bl w:val="nil"/>
                  </w:tcBorders>
                  <w:vAlign w:val="center"/>
                </w:tcPr>
                <w:p w14:paraId="068FCC32">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75</w:t>
                  </w:r>
                </w:p>
              </w:tc>
              <w:tc>
                <w:tcPr>
                  <w:tcW w:w="1065" w:type="dxa"/>
                  <w:vMerge w:val="continue"/>
                  <w:tcBorders>
                    <w:tl2br w:val="nil"/>
                    <w:tr2bl w:val="nil"/>
                  </w:tcBorders>
                  <w:vAlign w:val="center"/>
                </w:tcPr>
                <w:p w14:paraId="61B740CA">
                  <w:pPr>
                    <w:adjustRightInd w:val="0"/>
                    <w:snapToGrid w:val="0"/>
                    <w:spacing w:line="240" w:lineRule="auto"/>
                    <w:jc w:val="center"/>
                    <w:rPr>
                      <w:rFonts w:ascii="Times New Roman" w:hAnsi="Times New Roman" w:eastAsia="宋体" w:cs="Times New Roman"/>
                      <w:color w:val="000000"/>
                      <w:sz w:val="21"/>
                    </w:rPr>
                  </w:pPr>
                </w:p>
              </w:tc>
              <w:tc>
                <w:tcPr>
                  <w:tcW w:w="891" w:type="dxa"/>
                  <w:vMerge w:val="restart"/>
                  <w:tcBorders>
                    <w:tl2br w:val="nil"/>
                    <w:tr2bl w:val="nil"/>
                  </w:tcBorders>
                  <w:vAlign w:val="center"/>
                </w:tcPr>
                <w:p w14:paraId="1A09A727">
                  <w:pPr>
                    <w:pStyle w:val="14"/>
                    <w:bidi w:val="0"/>
                    <w:rPr>
                      <w:rFonts w:hint="default"/>
                      <w:lang w:val="en-US" w:eastAsia="zh-CN"/>
                    </w:rPr>
                  </w:pPr>
                  <w:r>
                    <w:rPr>
                      <w:rFonts w:hint="eastAsia"/>
                      <w:lang w:val="en-US" w:eastAsia="zh-CN"/>
                    </w:rPr>
                    <w:t>70</w:t>
                  </w:r>
                </w:p>
              </w:tc>
              <w:tc>
                <w:tcPr>
                  <w:tcW w:w="938" w:type="dxa"/>
                  <w:vMerge w:val="restart"/>
                  <w:tcBorders>
                    <w:tl2br w:val="nil"/>
                    <w:tr2bl w:val="nil"/>
                  </w:tcBorders>
                  <w:vAlign w:val="center"/>
                </w:tcPr>
                <w:p w14:paraId="3D35394D">
                  <w:pPr>
                    <w:pStyle w:val="14"/>
                    <w:bidi w:val="0"/>
                    <w:rPr>
                      <w:rFonts w:hint="eastAsia"/>
                    </w:rPr>
                  </w:pPr>
                  <w:r>
                    <w:rPr>
                      <w:rFonts w:hint="eastAsia"/>
                      <w:lang w:val="en-US" w:eastAsia="zh-CN"/>
                    </w:rPr>
                    <w:t>73</w:t>
                  </w:r>
                </w:p>
              </w:tc>
              <w:tc>
                <w:tcPr>
                  <w:tcW w:w="879" w:type="dxa"/>
                  <w:vMerge w:val="restart"/>
                  <w:tcBorders>
                    <w:tl2br w:val="nil"/>
                    <w:tr2bl w:val="nil"/>
                  </w:tcBorders>
                  <w:vAlign w:val="center"/>
                </w:tcPr>
                <w:p w14:paraId="566058DB">
                  <w:pPr>
                    <w:pStyle w:val="14"/>
                    <w:bidi w:val="0"/>
                    <w:rPr>
                      <w:rFonts w:hint="default"/>
                      <w:lang w:val="en-US" w:eastAsia="zh-CN"/>
                    </w:rPr>
                  </w:pPr>
                  <w:r>
                    <w:rPr>
                      <w:rFonts w:hint="eastAsia"/>
                      <w:lang w:val="en-US" w:eastAsia="zh-CN"/>
                    </w:rPr>
                    <w:t>1</w:t>
                  </w:r>
                </w:p>
              </w:tc>
              <w:tc>
                <w:tcPr>
                  <w:tcW w:w="963" w:type="dxa"/>
                  <w:tcBorders>
                    <w:tl2br w:val="nil"/>
                    <w:tr2bl w:val="nil"/>
                  </w:tcBorders>
                  <w:vAlign w:val="center"/>
                </w:tcPr>
                <w:p w14:paraId="0FDF2244">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14507323">
                  <w:pPr>
                    <w:pStyle w:val="14"/>
                    <w:bidi w:val="0"/>
                    <w:rPr>
                      <w:lang w:val="en-US" w:eastAsia="zh-CN"/>
                    </w:rPr>
                  </w:pPr>
                  <w:r>
                    <w:rPr>
                      <w:rFonts w:hint="eastAsia"/>
                      <w:lang w:val="en-US" w:eastAsia="zh-CN"/>
                    </w:rPr>
                    <w:t xml:space="preserve">99 </w:t>
                  </w:r>
                </w:p>
              </w:tc>
              <w:tc>
                <w:tcPr>
                  <w:tcW w:w="953" w:type="dxa"/>
                  <w:vMerge w:val="continue"/>
                  <w:tcBorders>
                    <w:tl2br w:val="nil"/>
                    <w:tr2bl w:val="nil"/>
                  </w:tcBorders>
                  <w:vAlign w:val="center"/>
                </w:tcPr>
                <w:p w14:paraId="3DF1A9C3">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39744395">
                  <w:pPr>
                    <w:pStyle w:val="14"/>
                    <w:bidi w:val="0"/>
                    <w:rPr>
                      <w:lang w:val="en-US" w:eastAsia="zh-CN"/>
                    </w:rPr>
                  </w:pPr>
                  <w:r>
                    <w:rPr>
                      <w:rFonts w:hint="eastAsia"/>
                      <w:lang w:val="en-US" w:eastAsia="zh-CN"/>
                    </w:rPr>
                    <w:t xml:space="preserve">27.13 </w:t>
                  </w:r>
                </w:p>
              </w:tc>
            </w:tr>
            <w:tr w14:paraId="20EE5F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continue"/>
                  <w:tcBorders>
                    <w:tl2br w:val="nil"/>
                    <w:tr2bl w:val="nil"/>
                  </w:tcBorders>
                  <w:vAlign w:val="center"/>
                </w:tcPr>
                <w:p w14:paraId="272583EE">
                  <w:pPr>
                    <w:adjustRightInd w:val="0"/>
                    <w:snapToGrid w:val="0"/>
                    <w:spacing w:line="240" w:lineRule="auto"/>
                    <w:jc w:val="center"/>
                    <w:rPr>
                      <w:rFonts w:cs="Times New Roman"/>
                      <w:color w:val="000000"/>
                    </w:rPr>
                  </w:pPr>
                </w:p>
              </w:tc>
              <w:tc>
                <w:tcPr>
                  <w:tcW w:w="1573" w:type="dxa"/>
                  <w:vMerge w:val="continue"/>
                  <w:tcBorders>
                    <w:tl2br w:val="nil"/>
                    <w:tr2bl w:val="nil"/>
                  </w:tcBorders>
                  <w:vAlign w:val="center"/>
                </w:tcPr>
                <w:p w14:paraId="11067227">
                  <w:pPr>
                    <w:adjustRightInd w:val="0"/>
                    <w:snapToGrid w:val="0"/>
                    <w:spacing w:line="240" w:lineRule="auto"/>
                    <w:jc w:val="center"/>
                    <w:rPr>
                      <w:rFonts w:cs="Times New Roman"/>
                      <w:color w:val="000000"/>
                    </w:rPr>
                  </w:pPr>
                </w:p>
              </w:tc>
              <w:tc>
                <w:tcPr>
                  <w:tcW w:w="2325" w:type="dxa"/>
                  <w:vMerge w:val="continue"/>
                  <w:tcBorders>
                    <w:tl2br w:val="nil"/>
                    <w:tr2bl w:val="nil"/>
                  </w:tcBorders>
                  <w:vAlign w:val="center"/>
                </w:tcPr>
                <w:p w14:paraId="4C521E2A">
                  <w:pPr>
                    <w:adjustRightInd w:val="0"/>
                    <w:snapToGrid w:val="0"/>
                    <w:spacing w:line="240" w:lineRule="auto"/>
                    <w:jc w:val="center"/>
                    <w:rPr>
                      <w:rFonts w:cs="Times New Roman"/>
                      <w:color w:val="000000"/>
                    </w:rPr>
                  </w:pPr>
                </w:p>
              </w:tc>
              <w:tc>
                <w:tcPr>
                  <w:tcW w:w="1129" w:type="dxa"/>
                  <w:vMerge w:val="continue"/>
                  <w:tcBorders>
                    <w:tl2br w:val="nil"/>
                    <w:tr2bl w:val="nil"/>
                  </w:tcBorders>
                  <w:vAlign w:val="center"/>
                </w:tcPr>
                <w:p w14:paraId="10B7A058">
                  <w:pPr>
                    <w:adjustRightInd w:val="0"/>
                    <w:snapToGrid w:val="0"/>
                    <w:spacing w:line="240" w:lineRule="auto"/>
                    <w:jc w:val="center"/>
                    <w:rPr>
                      <w:rFonts w:cs="Times New Roman"/>
                      <w:color w:val="000000"/>
                    </w:rPr>
                  </w:pPr>
                </w:p>
              </w:tc>
              <w:tc>
                <w:tcPr>
                  <w:tcW w:w="1481" w:type="dxa"/>
                  <w:vMerge w:val="continue"/>
                  <w:tcBorders>
                    <w:tl2br w:val="nil"/>
                    <w:tr2bl w:val="nil"/>
                  </w:tcBorders>
                  <w:vAlign w:val="center"/>
                </w:tcPr>
                <w:p w14:paraId="25A5934C">
                  <w:pPr>
                    <w:adjustRightInd w:val="0"/>
                    <w:snapToGrid w:val="0"/>
                    <w:spacing w:line="240" w:lineRule="auto"/>
                    <w:jc w:val="center"/>
                    <w:rPr>
                      <w:rFonts w:cs="Times New Roman"/>
                      <w:color w:val="000000"/>
                    </w:rPr>
                  </w:pPr>
                </w:p>
              </w:tc>
              <w:tc>
                <w:tcPr>
                  <w:tcW w:w="1065" w:type="dxa"/>
                  <w:vMerge w:val="continue"/>
                  <w:tcBorders>
                    <w:tl2br w:val="nil"/>
                    <w:tr2bl w:val="nil"/>
                  </w:tcBorders>
                  <w:vAlign w:val="center"/>
                </w:tcPr>
                <w:p w14:paraId="53E1B83E">
                  <w:pPr>
                    <w:adjustRightInd w:val="0"/>
                    <w:snapToGrid w:val="0"/>
                    <w:spacing w:line="240" w:lineRule="auto"/>
                    <w:jc w:val="center"/>
                    <w:rPr>
                      <w:rFonts w:cs="Times New Roman"/>
                      <w:color w:val="000000"/>
                    </w:rPr>
                  </w:pPr>
                </w:p>
              </w:tc>
              <w:tc>
                <w:tcPr>
                  <w:tcW w:w="891" w:type="dxa"/>
                  <w:vMerge w:val="continue"/>
                  <w:tcBorders>
                    <w:tl2br w:val="nil"/>
                    <w:tr2bl w:val="nil"/>
                  </w:tcBorders>
                  <w:vAlign w:val="center"/>
                </w:tcPr>
                <w:p w14:paraId="7946B271">
                  <w:pPr>
                    <w:pStyle w:val="14"/>
                    <w:bidi w:val="0"/>
                  </w:pPr>
                </w:p>
              </w:tc>
              <w:tc>
                <w:tcPr>
                  <w:tcW w:w="938" w:type="dxa"/>
                  <w:vMerge w:val="continue"/>
                  <w:tcBorders>
                    <w:tl2br w:val="nil"/>
                    <w:tr2bl w:val="nil"/>
                  </w:tcBorders>
                  <w:vAlign w:val="center"/>
                </w:tcPr>
                <w:p w14:paraId="47E53DEB">
                  <w:pPr>
                    <w:pStyle w:val="14"/>
                    <w:bidi w:val="0"/>
                  </w:pPr>
                </w:p>
              </w:tc>
              <w:tc>
                <w:tcPr>
                  <w:tcW w:w="879" w:type="dxa"/>
                  <w:vMerge w:val="continue"/>
                  <w:tcBorders>
                    <w:tl2br w:val="nil"/>
                    <w:tr2bl w:val="nil"/>
                  </w:tcBorders>
                  <w:vAlign w:val="center"/>
                </w:tcPr>
                <w:p w14:paraId="2BFE258B">
                  <w:pPr>
                    <w:pStyle w:val="14"/>
                    <w:bidi w:val="0"/>
                  </w:pPr>
                </w:p>
              </w:tc>
              <w:tc>
                <w:tcPr>
                  <w:tcW w:w="963" w:type="dxa"/>
                  <w:tcBorders>
                    <w:tl2br w:val="nil"/>
                    <w:tr2bl w:val="nil"/>
                  </w:tcBorders>
                  <w:vAlign w:val="center"/>
                </w:tcPr>
                <w:p w14:paraId="037BE061">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223A8662">
                  <w:pPr>
                    <w:pStyle w:val="14"/>
                    <w:bidi w:val="0"/>
                    <w:rPr>
                      <w:lang w:val="en-US" w:eastAsia="zh-CN"/>
                    </w:rPr>
                  </w:pPr>
                  <w:r>
                    <w:rPr>
                      <w:rFonts w:hint="eastAsia"/>
                      <w:lang w:val="en-US" w:eastAsia="zh-CN"/>
                    </w:rPr>
                    <w:t xml:space="preserve">77 </w:t>
                  </w:r>
                </w:p>
              </w:tc>
              <w:tc>
                <w:tcPr>
                  <w:tcW w:w="953" w:type="dxa"/>
                  <w:vMerge w:val="continue"/>
                  <w:tcBorders>
                    <w:tl2br w:val="nil"/>
                    <w:tr2bl w:val="nil"/>
                  </w:tcBorders>
                  <w:vAlign w:val="center"/>
                </w:tcPr>
                <w:p w14:paraId="7C4A6690">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7A969405">
                  <w:pPr>
                    <w:pStyle w:val="14"/>
                    <w:bidi w:val="0"/>
                    <w:rPr>
                      <w:lang w:val="en-US" w:eastAsia="zh-CN"/>
                    </w:rPr>
                  </w:pPr>
                  <w:r>
                    <w:rPr>
                      <w:rFonts w:hint="eastAsia"/>
                      <w:lang w:val="en-US" w:eastAsia="zh-CN"/>
                    </w:rPr>
                    <w:t xml:space="preserve">29.26 </w:t>
                  </w:r>
                </w:p>
              </w:tc>
            </w:tr>
            <w:tr w14:paraId="395832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continue"/>
                  <w:tcBorders>
                    <w:tl2br w:val="nil"/>
                    <w:tr2bl w:val="nil"/>
                  </w:tcBorders>
                  <w:vAlign w:val="center"/>
                </w:tcPr>
                <w:p w14:paraId="70E112D9">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38C50267">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0ECCFD56">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46C167FC">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102F594A">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5C0959B5">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6D050DBA">
                  <w:pPr>
                    <w:pStyle w:val="14"/>
                    <w:bidi w:val="0"/>
                  </w:pPr>
                </w:p>
              </w:tc>
              <w:tc>
                <w:tcPr>
                  <w:tcW w:w="938" w:type="dxa"/>
                  <w:vMerge w:val="continue"/>
                  <w:tcBorders>
                    <w:tl2br w:val="nil"/>
                    <w:tr2bl w:val="nil"/>
                  </w:tcBorders>
                  <w:vAlign w:val="center"/>
                </w:tcPr>
                <w:p w14:paraId="75A53714">
                  <w:pPr>
                    <w:pStyle w:val="14"/>
                    <w:bidi w:val="0"/>
                  </w:pPr>
                </w:p>
              </w:tc>
              <w:tc>
                <w:tcPr>
                  <w:tcW w:w="879" w:type="dxa"/>
                  <w:vMerge w:val="continue"/>
                  <w:tcBorders>
                    <w:tl2br w:val="nil"/>
                    <w:tr2bl w:val="nil"/>
                  </w:tcBorders>
                  <w:vAlign w:val="center"/>
                </w:tcPr>
                <w:p w14:paraId="2E4EE4EB">
                  <w:pPr>
                    <w:pStyle w:val="14"/>
                    <w:bidi w:val="0"/>
                  </w:pPr>
                </w:p>
              </w:tc>
              <w:tc>
                <w:tcPr>
                  <w:tcW w:w="963" w:type="dxa"/>
                  <w:tcBorders>
                    <w:tl2br w:val="nil"/>
                    <w:tr2bl w:val="nil"/>
                  </w:tcBorders>
                  <w:vAlign w:val="center"/>
                </w:tcPr>
                <w:p w14:paraId="711B8F71">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2CA06B98">
                  <w:pPr>
                    <w:pStyle w:val="14"/>
                    <w:bidi w:val="0"/>
                    <w:rPr>
                      <w:lang w:val="en-US" w:eastAsia="zh-CN"/>
                    </w:rPr>
                  </w:pPr>
                  <w:r>
                    <w:rPr>
                      <w:rFonts w:hint="eastAsia"/>
                      <w:lang w:val="en-US" w:eastAsia="zh-CN"/>
                    </w:rPr>
                    <w:t xml:space="preserve">72 </w:t>
                  </w:r>
                </w:p>
              </w:tc>
              <w:tc>
                <w:tcPr>
                  <w:tcW w:w="953" w:type="dxa"/>
                  <w:vMerge w:val="continue"/>
                  <w:tcBorders>
                    <w:tl2br w:val="nil"/>
                    <w:tr2bl w:val="nil"/>
                  </w:tcBorders>
                  <w:vAlign w:val="center"/>
                </w:tcPr>
                <w:p w14:paraId="265858F5">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295C9BB3">
                  <w:pPr>
                    <w:pStyle w:val="14"/>
                    <w:bidi w:val="0"/>
                    <w:rPr>
                      <w:lang w:val="en-US" w:eastAsia="zh-CN"/>
                    </w:rPr>
                  </w:pPr>
                  <w:r>
                    <w:rPr>
                      <w:rFonts w:hint="eastAsia"/>
                      <w:lang w:val="en-US" w:eastAsia="zh-CN"/>
                    </w:rPr>
                    <w:t xml:space="preserve">29.89 </w:t>
                  </w:r>
                </w:p>
              </w:tc>
            </w:tr>
            <w:tr w14:paraId="59D8D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 w:hRule="atLeast"/>
                <w:jc w:val="center"/>
              </w:trPr>
              <w:tc>
                <w:tcPr>
                  <w:tcW w:w="579" w:type="dxa"/>
                  <w:vMerge w:val="continue"/>
                  <w:tcBorders>
                    <w:tl2br w:val="nil"/>
                    <w:tr2bl w:val="nil"/>
                  </w:tcBorders>
                  <w:vAlign w:val="center"/>
                </w:tcPr>
                <w:p w14:paraId="305C56F8">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62254868">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6764D668">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0E76F4A9">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74A25D1C">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6465E1D9">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38EC8CD5">
                  <w:pPr>
                    <w:pStyle w:val="14"/>
                    <w:bidi w:val="0"/>
                  </w:pPr>
                </w:p>
              </w:tc>
              <w:tc>
                <w:tcPr>
                  <w:tcW w:w="938" w:type="dxa"/>
                  <w:vMerge w:val="continue"/>
                  <w:tcBorders>
                    <w:tl2br w:val="nil"/>
                    <w:tr2bl w:val="nil"/>
                  </w:tcBorders>
                  <w:vAlign w:val="center"/>
                </w:tcPr>
                <w:p w14:paraId="11E584D8">
                  <w:pPr>
                    <w:pStyle w:val="14"/>
                    <w:bidi w:val="0"/>
                  </w:pPr>
                </w:p>
              </w:tc>
              <w:tc>
                <w:tcPr>
                  <w:tcW w:w="879" w:type="dxa"/>
                  <w:vMerge w:val="continue"/>
                  <w:tcBorders>
                    <w:tl2br w:val="nil"/>
                    <w:tr2bl w:val="nil"/>
                  </w:tcBorders>
                  <w:vAlign w:val="center"/>
                </w:tcPr>
                <w:p w14:paraId="770F248F">
                  <w:pPr>
                    <w:pStyle w:val="14"/>
                    <w:bidi w:val="0"/>
                  </w:pPr>
                </w:p>
              </w:tc>
              <w:tc>
                <w:tcPr>
                  <w:tcW w:w="963" w:type="dxa"/>
                  <w:tcBorders>
                    <w:tl2br w:val="nil"/>
                    <w:tr2bl w:val="nil"/>
                  </w:tcBorders>
                  <w:vAlign w:val="center"/>
                </w:tcPr>
                <w:p w14:paraId="22FC72FC">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146FD879">
                  <w:pPr>
                    <w:pStyle w:val="14"/>
                    <w:bidi w:val="0"/>
                    <w:rPr>
                      <w:lang w:val="en-US" w:eastAsia="zh-CN"/>
                    </w:rPr>
                  </w:pPr>
                  <w:r>
                    <w:rPr>
                      <w:rFonts w:hint="eastAsia"/>
                      <w:lang w:val="en-US" w:eastAsia="zh-CN"/>
                    </w:rPr>
                    <w:t xml:space="preserve">55 </w:t>
                  </w:r>
                </w:p>
              </w:tc>
              <w:tc>
                <w:tcPr>
                  <w:tcW w:w="953" w:type="dxa"/>
                  <w:vMerge w:val="continue"/>
                  <w:tcBorders>
                    <w:tl2br w:val="nil"/>
                    <w:tr2bl w:val="nil"/>
                  </w:tcBorders>
                  <w:vAlign w:val="center"/>
                </w:tcPr>
                <w:p w14:paraId="6598FC7E">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67F30373">
                  <w:pPr>
                    <w:pStyle w:val="14"/>
                    <w:bidi w:val="0"/>
                    <w:rPr>
                      <w:lang w:val="en-US" w:eastAsia="zh-CN"/>
                    </w:rPr>
                  </w:pPr>
                  <w:r>
                    <w:rPr>
                      <w:rFonts w:hint="eastAsia"/>
                      <w:lang w:val="en-US" w:eastAsia="zh-CN"/>
                    </w:rPr>
                    <w:t xml:space="preserve">32.26 </w:t>
                  </w:r>
                </w:p>
              </w:tc>
            </w:tr>
            <w:tr w14:paraId="10E344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restart"/>
                  <w:tcBorders>
                    <w:tl2br w:val="nil"/>
                    <w:tr2bl w:val="nil"/>
                  </w:tcBorders>
                  <w:vAlign w:val="center"/>
                </w:tcPr>
                <w:p w14:paraId="6E44AD93">
                  <w:pPr>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rPr>
                    <w:t>4</w:t>
                  </w:r>
                </w:p>
                <w:p w14:paraId="6915EF09">
                  <w:pPr>
                    <w:adjustRightInd w:val="0"/>
                    <w:snapToGrid w:val="0"/>
                    <w:spacing w:line="240" w:lineRule="auto"/>
                    <w:jc w:val="center"/>
                    <w:rPr>
                      <w:rFonts w:ascii="Times New Roman" w:hAnsi="Times New Roman" w:eastAsia="宋体" w:cs="Times New Roman"/>
                      <w:color w:val="000000"/>
                      <w:sz w:val="21"/>
                    </w:rPr>
                  </w:pPr>
                </w:p>
              </w:tc>
              <w:tc>
                <w:tcPr>
                  <w:tcW w:w="1573" w:type="dxa"/>
                  <w:vMerge w:val="restart"/>
                  <w:tcBorders>
                    <w:tl2br w:val="nil"/>
                    <w:tr2bl w:val="nil"/>
                  </w:tcBorders>
                  <w:vAlign w:val="center"/>
                </w:tcPr>
                <w:p w14:paraId="481978EE">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bCs/>
                      <w:sz w:val="21"/>
                      <w:szCs w:val="21"/>
                      <w:highlight w:val="none"/>
                      <w:vertAlign w:val="baseline"/>
                      <w:lang w:eastAsia="zh-CN"/>
                    </w:rPr>
                    <w:t>制氮-仪表空气一体机</w:t>
                  </w:r>
                </w:p>
              </w:tc>
              <w:tc>
                <w:tcPr>
                  <w:tcW w:w="2325" w:type="dxa"/>
                  <w:vMerge w:val="restart"/>
                  <w:tcBorders>
                    <w:tl2br w:val="nil"/>
                    <w:tr2bl w:val="nil"/>
                  </w:tcBorders>
                  <w:vAlign w:val="center"/>
                </w:tcPr>
                <w:p w14:paraId="39CD0577">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bCs/>
                      <w:sz w:val="21"/>
                      <w:szCs w:val="21"/>
                      <w:vertAlign w:val="baseline"/>
                      <w:lang w:eastAsia="zh-CN"/>
                    </w:rPr>
                    <w:t>制氮能力100Nm</w:t>
                  </w:r>
                  <w:r>
                    <w:rPr>
                      <w:rFonts w:hint="eastAsia" w:ascii="Times New Roman" w:hAnsi="Times New Roman" w:eastAsia="宋体" w:cs="Times New Roman"/>
                      <w:bCs/>
                      <w:sz w:val="21"/>
                      <w:szCs w:val="21"/>
                      <w:vertAlign w:val="superscript"/>
                      <w:lang w:eastAsia="zh-CN"/>
                    </w:rPr>
                    <w:t>3</w:t>
                  </w:r>
                  <w:r>
                    <w:rPr>
                      <w:rFonts w:hint="eastAsia" w:ascii="Times New Roman" w:hAnsi="Times New Roman" w:eastAsia="宋体" w:cs="Times New Roman"/>
                      <w:bCs/>
                      <w:sz w:val="21"/>
                      <w:szCs w:val="21"/>
                      <w:vertAlign w:val="baseline"/>
                      <w:lang w:eastAsia="zh-CN"/>
                    </w:rPr>
                    <w:t>/h</w:t>
                  </w:r>
                </w:p>
              </w:tc>
              <w:tc>
                <w:tcPr>
                  <w:tcW w:w="1129" w:type="dxa"/>
                  <w:vMerge w:val="restart"/>
                  <w:tcBorders>
                    <w:tl2br w:val="nil"/>
                    <w:tr2bl w:val="nil"/>
                  </w:tcBorders>
                  <w:vAlign w:val="center"/>
                </w:tcPr>
                <w:p w14:paraId="78B39493">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1</w:t>
                  </w:r>
                </w:p>
              </w:tc>
              <w:tc>
                <w:tcPr>
                  <w:tcW w:w="1481" w:type="dxa"/>
                  <w:vMerge w:val="restart"/>
                  <w:tcBorders>
                    <w:tl2br w:val="nil"/>
                    <w:tr2bl w:val="nil"/>
                  </w:tcBorders>
                  <w:vAlign w:val="center"/>
                </w:tcPr>
                <w:p w14:paraId="3CA05019">
                  <w:pPr>
                    <w:adjustRightInd w:val="0"/>
                    <w:snapToGrid w:val="0"/>
                    <w:spacing w:line="240" w:lineRule="auto"/>
                    <w:jc w:val="center"/>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75</w:t>
                  </w:r>
                </w:p>
              </w:tc>
              <w:tc>
                <w:tcPr>
                  <w:tcW w:w="1065" w:type="dxa"/>
                  <w:vMerge w:val="continue"/>
                  <w:tcBorders>
                    <w:tl2br w:val="nil"/>
                    <w:tr2bl w:val="nil"/>
                  </w:tcBorders>
                  <w:vAlign w:val="center"/>
                </w:tcPr>
                <w:p w14:paraId="7CACC9BA">
                  <w:pPr>
                    <w:adjustRightInd w:val="0"/>
                    <w:snapToGrid w:val="0"/>
                    <w:spacing w:line="240" w:lineRule="auto"/>
                    <w:jc w:val="center"/>
                    <w:rPr>
                      <w:rFonts w:ascii="Times New Roman" w:hAnsi="Times New Roman" w:eastAsia="宋体" w:cs="Times New Roman"/>
                      <w:color w:val="000000"/>
                      <w:sz w:val="21"/>
                    </w:rPr>
                  </w:pPr>
                </w:p>
              </w:tc>
              <w:tc>
                <w:tcPr>
                  <w:tcW w:w="891" w:type="dxa"/>
                  <w:vMerge w:val="restart"/>
                  <w:tcBorders>
                    <w:tl2br w:val="nil"/>
                    <w:tr2bl w:val="nil"/>
                  </w:tcBorders>
                  <w:vAlign w:val="center"/>
                </w:tcPr>
                <w:p w14:paraId="0E332516">
                  <w:pPr>
                    <w:pStyle w:val="14"/>
                    <w:bidi w:val="0"/>
                    <w:rPr>
                      <w:rFonts w:hint="default"/>
                      <w:lang w:val="en-US" w:eastAsia="zh-CN"/>
                    </w:rPr>
                  </w:pPr>
                  <w:r>
                    <w:rPr>
                      <w:rFonts w:hint="eastAsia"/>
                      <w:lang w:val="en-US" w:eastAsia="zh-CN"/>
                    </w:rPr>
                    <w:t>42</w:t>
                  </w:r>
                </w:p>
              </w:tc>
              <w:tc>
                <w:tcPr>
                  <w:tcW w:w="938" w:type="dxa"/>
                  <w:vMerge w:val="restart"/>
                  <w:tcBorders>
                    <w:tl2br w:val="nil"/>
                    <w:tr2bl w:val="nil"/>
                  </w:tcBorders>
                  <w:vAlign w:val="center"/>
                </w:tcPr>
                <w:p w14:paraId="51F6C248">
                  <w:pPr>
                    <w:pStyle w:val="14"/>
                    <w:bidi w:val="0"/>
                    <w:rPr>
                      <w:rFonts w:hint="eastAsia"/>
                      <w:lang w:val="en-US" w:eastAsia="zh-CN"/>
                    </w:rPr>
                  </w:pPr>
                  <w:r>
                    <w:rPr>
                      <w:rFonts w:hint="eastAsia"/>
                      <w:lang w:val="en-US" w:eastAsia="zh-CN"/>
                    </w:rPr>
                    <w:t>72</w:t>
                  </w:r>
                </w:p>
              </w:tc>
              <w:tc>
                <w:tcPr>
                  <w:tcW w:w="879" w:type="dxa"/>
                  <w:vMerge w:val="restart"/>
                  <w:tcBorders>
                    <w:tl2br w:val="nil"/>
                    <w:tr2bl w:val="nil"/>
                  </w:tcBorders>
                  <w:vAlign w:val="center"/>
                </w:tcPr>
                <w:p w14:paraId="62952E41">
                  <w:pPr>
                    <w:pStyle w:val="14"/>
                    <w:bidi w:val="0"/>
                    <w:rPr>
                      <w:rFonts w:hint="default"/>
                      <w:lang w:val="en-US" w:eastAsia="zh-CN"/>
                    </w:rPr>
                  </w:pPr>
                  <w:r>
                    <w:rPr>
                      <w:rFonts w:hint="eastAsia"/>
                      <w:lang w:val="en-US" w:eastAsia="zh-CN"/>
                    </w:rPr>
                    <w:t>1</w:t>
                  </w:r>
                </w:p>
              </w:tc>
              <w:tc>
                <w:tcPr>
                  <w:tcW w:w="963" w:type="dxa"/>
                  <w:tcBorders>
                    <w:tl2br w:val="nil"/>
                    <w:tr2bl w:val="nil"/>
                  </w:tcBorders>
                  <w:vAlign w:val="center"/>
                </w:tcPr>
                <w:p w14:paraId="4B9EE4F7">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4C0CD35F">
                  <w:pPr>
                    <w:pStyle w:val="14"/>
                    <w:bidi w:val="0"/>
                    <w:rPr>
                      <w:lang w:val="en-US" w:eastAsia="zh-CN"/>
                    </w:rPr>
                  </w:pPr>
                  <w:r>
                    <w:rPr>
                      <w:rFonts w:hint="eastAsia"/>
                      <w:lang w:val="en-US" w:eastAsia="zh-CN"/>
                    </w:rPr>
                    <w:t xml:space="preserve">126 </w:t>
                  </w:r>
                </w:p>
              </w:tc>
              <w:tc>
                <w:tcPr>
                  <w:tcW w:w="953" w:type="dxa"/>
                  <w:vMerge w:val="continue"/>
                  <w:tcBorders>
                    <w:tl2br w:val="nil"/>
                    <w:tr2bl w:val="nil"/>
                  </w:tcBorders>
                  <w:vAlign w:val="center"/>
                </w:tcPr>
                <w:p w14:paraId="497BFDEF">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25289FBB">
                  <w:pPr>
                    <w:pStyle w:val="14"/>
                    <w:bidi w:val="0"/>
                    <w:rPr>
                      <w:lang w:val="en-US" w:eastAsia="zh-CN"/>
                    </w:rPr>
                  </w:pPr>
                  <w:r>
                    <w:rPr>
                      <w:rFonts w:hint="eastAsia"/>
                      <w:lang w:val="en-US" w:eastAsia="zh-CN"/>
                    </w:rPr>
                    <w:t xml:space="preserve">24.97 </w:t>
                  </w:r>
                </w:p>
              </w:tc>
            </w:tr>
            <w:tr w14:paraId="584A6F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3E77F959">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14947A87">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74FFFE55">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2BDBB0DE">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7875D49B">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6F4AFFE3">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0E7D75E4">
                  <w:pPr>
                    <w:pStyle w:val="14"/>
                    <w:bidi w:val="0"/>
                  </w:pPr>
                </w:p>
              </w:tc>
              <w:tc>
                <w:tcPr>
                  <w:tcW w:w="938" w:type="dxa"/>
                  <w:vMerge w:val="continue"/>
                  <w:tcBorders>
                    <w:tl2br w:val="nil"/>
                    <w:tr2bl w:val="nil"/>
                  </w:tcBorders>
                  <w:vAlign w:val="center"/>
                </w:tcPr>
                <w:p w14:paraId="4DBBE699">
                  <w:pPr>
                    <w:pStyle w:val="14"/>
                    <w:bidi w:val="0"/>
                  </w:pPr>
                </w:p>
              </w:tc>
              <w:tc>
                <w:tcPr>
                  <w:tcW w:w="879" w:type="dxa"/>
                  <w:vMerge w:val="continue"/>
                  <w:tcBorders>
                    <w:tl2br w:val="nil"/>
                    <w:tr2bl w:val="nil"/>
                  </w:tcBorders>
                  <w:vAlign w:val="center"/>
                </w:tcPr>
                <w:p w14:paraId="38571618">
                  <w:pPr>
                    <w:pStyle w:val="14"/>
                    <w:bidi w:val="0"/>
                  </w:pPr>
                </w:p>
              </w:tc>
              <w:tc>
                <w:tcPr>
                  <w:tcW w:w="963" w:type="dxa"/>
                  <w:tcBorders>
                    <w:tl2br w:val="nil"/>
                    <w:tr2bl w:val="nil"/>
                  </w:tcBorders>
                  <w:vAlign w:val="center"/>
                </w:tcPr>
                <w:p w14:paraId="21A8CB6B">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7C373E0D">
                  <w:pPr>
                    <w:pStyle w:val="14"/>
                    <w:bidi w:val="0"/>
                    <w:rPr>
                      <w:lang w:val="en-US" w:eastAsia="zh-CN"/>
                    </w:rPr>
                  </w:pPr>
                  <w:r>
                    <w:rPr>
                      <w:rFonts w:hint="eastAsia"/>
                      <w:lang w:val="en-US" w:eastAsia="zh-CN"/>
                    </w:rPr>
                    <w:t xml:space="preserve">85 </w:t>
                  </w:r>
                </w:p>
              </w:tc>
              <w:tc>
                <w:tcPr>
                  <w:tcW w:w="953" w:type="dxa"/>
                  <w:vMerge w:val="continue"/>
                  <w:tcBorders>
                    <w:tl2br w:val="nil"/>
                    <w:tr2bl w:val="nil"/>
                  </w:tcBorders>
                  <w:vAlign w:val="center"/>
                </w:tcPr>
                <w:p w14:paraId="70CB7F45">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3859E026">
                  <w:pPr>
                    <w:pStyle w:val="14"/>
                    <w:bidi w:val="0"/>
                    <w:rPr>
                      <w:lang w:val="en-US" w:eastAsia="zh-CN"/>
                    </w:rPr>
                  </w:pPr>
                  <w:r>
                    <w:rPr>
                      <w:rFonts w:hint="eastAsia"/>
                      <w:lang w:val="en-US" w:eastAsia="zh-CN"/>
                    </w:rPr>
                    <w:t xml:space="preserve">28.36 </w:t>
                  </w:r>
                </w:p>
              </w:tc>
            </w:tr>
            <w:tr w14:paraId="7860D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7544E145">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727D9841">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40C6C4FB">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145FE7E9">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4AAED1F5">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3468310B">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7DA392F6">
                  <w:pPr>
                    <w:pStyle w:val="14"/>
                    <w:bidi w:val="0"/>
                  </w:pPr>
                </w:p>
              </w:tc>
              <w:tc>
                <w:tcPr>
                  <w:tcW w:w="938" w:type="dxa"/>
                  <w:vMerge w:val="continue"/>
                  <w:tcBorders>
                    <w:tl2br w:val="nil"/>
                    <w:tr2bl w:val="nil"/>
                  </w:tcBorders>
                  <w:vAlign w:val="center"/>
                </w:tcPr>
                <w:p w14:paraId="64AA5257">
                  <w:pPr>
                    <w:pStyle w:val="14"/>
                    <w:bidi w:val="0"/>
                  </w:pPr>
                </w:p>
              </w:tc>
              <w:tc>
                <w:tcPr>
                  <w:tcW w:w="879" w:type="dxa"/>
                  <w:vMerge w:val="continue"/>
                  <w:tcBorders>
                    <w:tl2br w:val="nil"/>
                    <w:tr2bl w:val="nil"/>
                  </w:tcBorders>
                  <w:vAlign w:val="center"/>
                </w:tcPr>
                <w:p w14:paraId="053443C4">
                  <w:pPr>
                    <w:pStyle w:val="14"/>
                    <w:bidi w:val="0"/>
                  </w:pPr>
                </w:p>
              </w:tc>
              <w:tc>
                <w:tcPr>
                  <w:tcW w:w="963" w:type="dxa"/>
                  <w:tcBorders>
                    <w:tl2br w:val="nil"/>
                    <w:tr2bl w:val="nil"/>
                  </w:tcBorders>
                  <w:vAlign w:val="center"/>
                </w:tcPr>
                <w:p w14:paraId="31579F71">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3EFC3D62">
                  <w:pPr>
                    <w:pStyle w:val="14"/>
                    <w:bidi w:val="0"/>
                    <w:rPr>
                      <w:lang w:val="en-US" w:eastAsia="zh-CN"/>
                    </w:rPr>
                  </w:pPr>
                  <w:r>
                    <w:rPr>
                      <w:rFonts w:hint="eastAsia"/>
                      <w:lang w:val="en-US" w:eastAsia="zh-CN"/>
                    </w:rPr>
                    <w:t xml:space="preserve">44 </w:t>
                  </w:r>
                </w:p>
              </w:tc>
              <w:tc>
                <w:tcPr>
                  <w:tcW w:w="953" w:type="dxa"/>
                  <w:vMerge w:val="continue"/>
                  <w:tcBorders>
                    <w:tl2br w:val="nil"/>
                    <w:tr2bl w:val="nil"/>
                  </w:tcBorders>
                  <w:vAlign w:val="center"/>
                </w:tcPr>
                <w:p w14:paraId="51DEBB23">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73B7C9FA">
                  <w:pPr>
                    <w:pStyle w:val="14"/>
                    <w:bidi w:val="0"/>
                    <w:rPr>
                      <w:lang w:val="en-US" w:eastAsia="zh-CN"/>
                    </w:rPr>
                  </w:pPr>
                  <w:r>
                    <w:rPr>
                      <w:rFonts w:hint="eastAsia"/>
                      <w:lang w:val="en-US" w:eastAsia="zh-CN"/>
                    </w:rPr>
                    <w:t xml:space="preserve">34.14 </w:t>
                  </w:r>
                </w:p>
              </w:tc>
            </w:tr>
            <w:tr w14:paraId="62F2C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5B40A9B3">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39688FB1">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2A9ADFC3">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22C34179">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44AA327C">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549AE9DE">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38207D64">
                  <w:pPr>
                    <w:pStyle w:val="14"/>
                    <w:bidi w:val="0"/>
                  </w:pPr>
                </w:p>
              </w:tc>
              <w:tc>
                <w:tcPr>
                  <w:tcW w:w="938" w:type="dxa"/>
                  <w:vMerge w:val="continue"/>
                  <w:tcBorders>
                    <w:tl2br w:val="nil"/>
                    <w:tr2bl w:val="nil"/>
                  </w:tcBorders>
                  <w:vAlign w:val="center"/>
                </w:tcPr>
                <w:p w14:paraId="5614F95C">
                  <w:pPr>
                    <w:pStyle w:val="14"/>
                    <w:bidi w:val="0"/>
                  </w:pPr>
                </w:p>
              </w:tc>
              <w:tc>
                <w:tcPr>
                  <w:tcW w:w="879" w:type="dxa"/>
                  <w:vMerge w:val="continue"/>
                  <w:tcBorders>
                    <w:tl2br w:val="nil"/>
                    <w:tr2bl w:val="nil"/>
                  </w:tcBorders>
                  <w:vAlign w:val="center"/>
                </w:tcPr>
                <w:p w14:paraId="0F46E339">
                  <w:pPr>
                    <w:pStyle w:val="14"/>
                    <w:bidi w:val="0"/>
                  </w:pPr>
                </w:p>
              </w:tc>
              <w:tc>
                <w:tcPr>
                  <w:tcW w:w="963" w:type="dxa"/>
                  <w:tcBorders>
                    <w:tl2br w:val="nil"/>
                    <w:tr2bl w:val="nil"/>
                  </w:tcBorders>
                  <w:vAlign w:val="center"/>
                </w:tcPr>
                <w:p w14:paraId="497D5240">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18B15002">
                  <w:pPr>
                    <w:pStyle w:val="14"/>
                    <w:bidi w:val="0"/>
                    <w:rPr>
                      <w:lang w:val="en-US" w:eastAsia="zh-CN"/>
                    </w:rPr>
                  </w:pPr>
                  <w:r>
                    <w:rPr>
                      <w:rFonts w:hint="eastAsia"/>
                      <w:lang w:val="en-US" w:eastAsia="zh-CN"/>
                    </w:rPr>
                    <w:t xml:space="preserve">68 </w:t>
                  </w:r>
                </w:p>
              </w:tc>
              <w:tc>
                <w:tcPr>
                  <w:tcW w:w="953" w:type="dxa"/>
                  <w:vMerge w:val="continue"/>
                  <w:tcBorders>
                    <w:tl2br w:val="nil"/>
                    <w:tr2bl w:val="nil"/>
                  </w:tcBorders>
                  <w:vAlign w:val="center"/>
                </w:tcPr>
                <w:p w14:paraId="68390911">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62FA4C5B">
                  <w:pPr>
                    <w:pStyle w:val="14"/>
                    <w:bidi w:val="0"/>
                    <w:rPr>
                      <w:lang w:val="en-US" w:eastAsia="zh-CN"/>
                    </w:rPr>
                  </w:pPr>
                  <w:r>
                    <w:rPr>
                      <w:rFonts w:hint="eastAsia"/>
                      <w:lang w:val="en-US" w:eastAsia="zh-CN"/>
                    </w:rPr>
                    <w:t xml:space="preserve">30.38 </w:t>
                  </w:r>
                </w:p>
              </w:tc>
            </w:tr>
            <w:tr w14:paraId="7DF94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restart"/>
                  <w:tcBorders>
                    <w:tl2br w:val="nil"/>
                    <w:tr2bl w:val="nil"/>
                  </w:tcBorders>
                  <w:vAlign w:val="center"/>
                </w:tcPr>
                <w:p w14:paraId="4DB45D9E">
                  <w:pPr>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rPr>
                    <w:t>5</w:t>
                  </w:r>
                </w:p>
                <w:p w14:paraId="6BB9177A">
                  <w:pPr>
                    <w:adjustRightInd w:val="0"/>
                    <w:snapToGrid w:val="0"/>
                    <w:spacing w:line="240" w:lineRule="auto"/>
                    <w:jc w:val="center"/>
                    <w:rPr>
                      <w:rFonts w:ascii="Times New Roman" w:hAnsi="Times New Roman" w:eastAsia="宋体" w:cs="Times New Roman"/>
                      <w:color w:val="000000"/>
                      <w:sz w:val="21"/>
                    </w:rPr>
                  </w:pPr>
                </w:p>
              </w:tc>
              <w:tc>
                <w:tcPr>
                  <w:tcW w:w="1573" w:type="dxa"/>
                  <w:vMerge w:val="restart"/>
                  <w:tcBorders>
                    <w:tl2br w:val="nil"/>
                    <w:tr2bl w:val="nil"/>
                  </w:tcBorders>
                  <w:vAlign w:val="center"/>
                </w:tcPr>
                <w:p w14:paraId="389C7B2D">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bCs/>
                      <w:sz w:val="21"/>
                      <w:szCs w:val="21"/>
                      <w:highlight w:val="none"/>
                      <w:vertAlign w:val="baseline"/>
                      <w:lang w:eastAsia="zh-CN"/>
                    </w:rPr>
                    <w:t>原水泵</w:t>
                  </w:r>
                </w:p>
              </w:tc>
              <w:tc>
                <w:tcPr>
                  <w:tcW w:w="2325" w:type="dxa"/>
                  <w:vMerge w:val="restart"/>
                  <w:tcBorders>
                    <w:tl2br w:val="nil"/>
                    <w:tr2bl w:val="nil"/>
                  </w:tcBorders>
                  <w:vAlign w:val="center"/>
                </w:tcPr>
                <w:p w14:paraId="2279D777">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bCs/>
                      <w:sz w:val="21"/>
                      <w:szCs w:val="21"/>
                      <w:vertAlign w:val="baseline"/>
                      <w:lang w:eastAsia="zh-CN"/>
                    </w:rPr>
                    <w:t>流量60m</w:t>
                  </w:r>
                  <w:r>
                    <w:rPr>
                      <w:rFonts w:hint="eastAsia" w:ascii="Times New Roman" w:hAnsi="Times New Roman" w:eastAsia="宋体" w:cs="Times New Roman"/>
                      <w:bCs/>
                      <w:sz w:val="21"/>
                      <w:szCs w:val="21"/>
                      <w:vertAlign w:val="superscript"/>
                      <w:lang w:eastAsia="zh-CN"/>
                    </w:rPr>
                    <w:t>3</w:t>
                  </w:r>
                  <w:r>
                    <w:rPr>
                      <w:rFonts w:hint="eastAsia" w:ascii="Times New Roman" w:hAnsi="Times New Roman" w:eastAsia="宋体" w:cs="Times New Roman"/>
                      <w:bCs/>
                      <w:sz w:val="21"/>
                      <w:szCs w:val="21"/>
                      <w:vertAlign w:val="baseline"/>
                      <w:lang w:eastAsia="zh-CN"/>
                    </w:rPr>
                    <w:t>/h</w:t>
                  </w:r>
                </w:p>
              </w:tc>
              <w:tc>
                <w:tcPr>
                  <w:tcW w:w="1129" w:type="dxa"/>
                  <w:vMerge w:val="restart"/>
                  <w:tcBorders>
                    <w:tl2br w:val="nil"/>
                    <w:tr2bl w:val="nil"/>
                  </w:tcBorders>
                  <w:vAlign w:val="center"/>
                </w:tcPr>
                <w:p w14:paraId="4941251C">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cs="Times New Roman"/>
                      <w:color w:val="000000"/>
                      <w:sz w:val="21"/>
                      <w:lang w:val="en-US" w:eastAsia="zh-CN"/>
                    </w:rPr>
                    <w:t>2</w:t>
                  </w:r>
                </w:p>
              </w:tc>
              <w:tc>
                <w:tcPr>
                  <w:tcW w:w="1481" w:type="dxa"/>
                  <w:vMerge w:val="restart"/>
                  <w:tcBorders>
                    <w:tl2br w:val="nil"/>
                    <w:tr2bl w:val="nil"/>
                  </w:tcBorders>
                  <w:vAlign w:val="center"/>
                </w:tcPr>
                <w:p w14:paraId="357B1743">
                  <w:pPr>
                    <w:adjustRightInd w:val="0"/>
                    <w:snapToGrid w:val="0"/>
                    <w:spacing w:line="240" w:lineRule="auto"/>
                    <w:jc w:val="center"/>
                    <w:rPr>
                      <w:rFonts w:hint="eastAsia" w:ascii="Times New Roman" w:hAnsi="Times New Roman" w:eastAsia="宋体" w:cs="Times New Roman"/>
                      <w:color w:val="000000"/>
                      <w:sz w:val="21"/>
                      <w:lang w:eastAsia="zh-CN"/>
                    </w:rPr>
                  </w:pPr>
                  <w:r>
                    <w:rPr>
                      <w:rFonts w:hint="eastAsia" w:ascii="Times New Roman" w:hAnsi="Times New Roman" w:eastAsia="宋体" w:cs="Times New Roman"/>
                      <w:color w:val="000000"/>
                      <w:sz w:val="21"/>
                    </w:rPr>
                    <w:t>7</w:t>
                  </w:r>
                  <w:r>
                    <w:rPr>
                      <w:rFonts w:hint="eastAsia" w:cs="Times New Roman"/>
                      <w:color w:val="000000"/>
                      <w:sz w:val="21"/>
                      <w:lang w:val="en-US" w:eastAsia="zh-CN"/>
                    </w:rPr>
                    <w:t>5</w:t>
                  </w:r>
                </w:p>
              </w:tc>
              <w:tc>
                <w:tcPr>
                  <w:tcW w:w="1065" w:type="dxa"/>
                  <w:vMerge w:val="continue"/>
                  <w:tcBorders>
                    <w:tl2br w:val="nil"/>
                    <w:tr2bl w:val="nil"/>
                  </w:tcBorders>
                  <w:vAlign w:val="center"/>
                </w:tcPr>
                <w:p w14:paraId="4EF6118F">
                  <w:pPr>
                    <w:adjustRightInd w:val="0"/>
                    <w:snapToGrid w:val="0"/>
                    <w:spacing w:line="240" w:lineRule="auto"/>
                    <w:jc w:val="center"/>
                    <w:rPr>
                      <w:rFonts w:ascii="Times New Roman" w:hAnsi="Times New Roman" w:eastAsia="宋体" w:cs="Times New Roman"/>
                      <w:color w:val="000000"/>
                      <w:sz w:val="21"/>
                    </w:rPr>
                  </w:pPr>
                </w:p>
              </w:tc>
              <w:tc>
                <w:tcPr>
                  <w:tcW w:w="891" w:type="dxa"/>
                  <w:vMerge w:val="restart"/>
                  <w:tcBorders>
                    <w:tl2br w:val="nil"/>
                    <w:tr2bl w:val="nil"/>
                  </w:tcBorders>
                  <w:vAlign w:val="center"/>
                </w:tcPr>
                <w:p w14:paraId="16B53551">
                  <w:pPr>
                    <w:pStyle w:val="14"/>
                    <w:bidi w:val="0"/>
                    <w:rPr>
                      <w:rFonts w:hint="default"/>
                      <w:lang w:val="en-US" w:eastAsia="zh-CN"/>
                    </w:rPr>
                  </w:pPr>
                  <w:r>
                    <w:rPr>
                      <w:rFonts w:hint="eastAsia"/>
                      <w:lang w:val="en-US" w:eastAsia="zh-CN"/>
                    </w:rPr>
                    <w:t>33</w:t>
                  </w:r>
                </w:p>
              </w:tc>
              <w:tc>
                <w:tcPr>
                  <w:tcW w:w="938" w:type="dxa"/>
                  <w:vMerge w:val="restart"/>
                  <w:tcBorders>
                    <w:tl2br w:val="nil"/>
                    <w:tr2bl w:val="nil"/>
                  </w:tcBorders>
                  <w:vAlign w:val="center"/>
                </w:tcPr>
                <w:p w14:paraId="014AC406">
                  <w:pPr>
                    <w:pStyle w:val="14"/>
                    <w:bidi w:val="0"/>
                    <w:rPr>
                      <w:rFonts w:hint="eastAsia"/>
                      <w:lang w:val="en-US" w:eastAsia="zh-CN"/>
                    </w:rPr>
                  </w:pPr>
                  <w:r>
                    <w:rPr>
                      <w:rFonts w:hint="eastAsia"/>
                      <w:lang w:val="en-US" w:eastAsia="zh-CN"/>
                    </w:rPr>
                    <w:t>104</w:t>
                  </w:r>
                </w:p>
              </w:tc>
              <w:tc>
                <w:tcPr>
                  <w:tcW w:w="879" w:type="dxa"/>
                  <w:vMerge w:val="restart"/>
                  <w:tcBorders>
                    <w:tl2br w:val="nil"/>
                    <w:tr2bl w:val="nil"/>
                  </w:tcBorders>
                  <w:vAlign w:val="center"/>
                </w:tcPr>
                <w:p w14:paraId="16D884E7">
                  <w:pPr>
                    <w:pStyle w:val="14"/>
                    <w:bidi w:val="0"/>
                    <w:rPr>
                      <w:rFonts w:hint="default"/>
                      <w:lang w:val="en-US" w:eastAsia="zh-CN"/>
                    </w:rPr>
                  </w:pPr>
                  <w:r>
                    <w:rPr>
                      <w:rFonts w:hint="eastAsia"/>
                      <w:lang w:val="en-US" w:eastAsia="zh-CN"/>
                    </w:rPr>
                    <w:t>1</w:t>
                  </w:r>
                </w:p>
              </w:tc>
              <w:tc>
                <w:tcPr>
                  <w:tcW w:w="963" w:type="dxa"/>
                  <w:tcBorders>
                    <w:tl2br w:val="nil"/>
                    <w:tr2bl w:val="nil"/>
                  </w:tcBorders>
                  <w:vAlign w:val="center"/>
                </w:tcPr>
                <w:p w14:paraId="38FBBBA8">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3AE6C499">
                  <w:pPr>
                    <w:pStyle w:val="14"/>
                    <w:bidi w:val="0"/>
                    <w:rPr>
                      <w:lang w:val="en-US" w:eastAsia="zh-CN"/>
                    </w:rPr>
                  </w:pPr>
                  <w:r>
                    <w:rPr>
                      <w:rFonts w:hint="eastAsia"/>
                      <w:lang w:val="en-US" w:eastAsia="zh-CN"/>
                    </w:rPr>
                    <w:t xml:space="preserve">141 </w:t>
                  </w:r>
                </w:p>
              </w:tc>
              <w:tc>
                <w:tcPr>
                  <w:tcW w:w="953" w:type="dxa"/>
                  <w:vMerge w:val="continue"/>
                  <w:tcBorders>
                    <w:tl2br w:val="nil"/>
                    <w:tr2bl w:val="nil"/>
                  </w:tcBorders>
                  <w:vAlign w:val="center"/>
                </w:tcPr>
                <w:p w14:paraId="771FD78A">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13AF4344">
                  <w:pPr>
                    <w:pStyle w:val="14"/>
                    <w:bidi w:val="0"/>
                    <w:rPr>
                      <w:lang w:val="en-US" w:eastAsia="zh-CN"/>
                    </w:rPr>
                  </w:pPr>
                  <w:r>
                    <w:rPr>
                      <w:rFonts w:hint="eastAsia"/>
                      <w:lang w:val="en-US" w:eastAsia="zh-CN"/>
                    </w:rPr>
                    <w:t xml:space="preserve">24.01 </w:t>
                  </w:r>
                </w:p>
              </w:tc>
            </w:tr>
            <w:tr w14:paraId="15CAB0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5176A13A">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78FFD5F1">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23EBDCFB">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7B846788">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4C42726B">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37FA3F66">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4E6D8A87">
                  <w:pPr>
                    <w:pStyle w:val="14"/>
                    <w:bidi w:val="0"/>
                  </w:pPr>
                </w:p>
              </w:tc>
              <w:tc>
                <w:tcPr>
                  <w:tcW w:w="938" w:type="dxa"/>
                  <w:vMerge w:val="continue"/>
                  <w:tcBorders>
                    <w:tl2br w:val="nil"/>
                    <w:tr2bl w:val="nil"/>
                  </w:tcBorders>
                  <w:vAlign w:val="center"/>
                </w:tcPr>
                <w:p w14:paraId="4C4F96D4">
                  <w:pPr>
                    <w:pStyle w:val="14"/>
                    <w:bidi w:val="0"/>
                  </w:pPr>
                </w:p>
              </w:tc>
              <w:tc>
                <w:tcPr>
                  <w:tcW w:w="879" w:type="dxa"/>
                  <w:vMerge w:val="continue"/>
                  <w:tcBorders>
                    <w:tl2br w:val="nil"/>
                    <w:tr2bl w:val="nil"/>
                  </w:tcBorders>
                  <w:vAlign w:val="center"/>
                </w:tcPr>
                <w:p w14:paraId="1C9A9B3D">
                  <w:pPr>
                    <w:pStyle w:val="14"/>
                    <w:bidi w:val="0"/>
                  </w:pPr>
                </w:p>
              </w:tc>
              <w:tc>
                <w:tcPr>
                  <w:tcW w:w="963" w:type="dxa"/>
                  <w:tcBorders>
                    <w:tl2br w:val="nil"/>
                    <w:tr2bl w:val="nil"/>
                  </w:tcBorders>
                  <w:vAlign w:val="center"/>
                </w:tcPr>
                <w:p w14:paraId="0DBD04E8">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586A7F89">
                  <w:pPr>
                    <w:pStyle w:val="14"/>
                    <w:bidi w:val="0"/>
                    <w:rPr>
                      <w:lang w:val="en-US" w:eastAsia="zh-CN"/>
                    </w:rPr>
                  </w:pPr>
                  <w:r>
                    <w:rPr>
                      <w:rFonts w:hint="eastAsia"/>
                      <w:lang w:val="en-US" w:eastAsia="zh-CN"/>
                    </w:rPr>
                    <w:t xml:space="preserve">118 </w:t>
                  </w:r>
                </w:p>
              </w:tc>
              <w:tc>
                <w:tcPr>
                  <w:tcW w:w="953" w:type="dxa"/>
                  <w:vMerge w:val="continue"/>
                  <w:tcBorders>
                    <w:tl2br w:val="nil"/>
                    <w:tr2bl w:val="nil"/>
                  </w:tcBorders>
                  <w:vAlign w:val="center"/>
                </w:tcPr>
                <w:p w14:paraId="0328BF59">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1FA6E8FD">
                  <w:pPr>
                    <w:pStyle w:val="14"/>
                    <w:bidi w:val="0"/>
                    <w:rPr>
                      <w:lang w:val="en-US" w:eastAsia="zh-CN"/>
                    </w:rPr>
                  </w:pPr>
                  <w:r>
                    <w:rPr>
                      <w:rFonts w:hint="eastAsia"/>
                      <w:lang w:val="en-US" w:eastAsia="zh-CN"/>
                    </w:rPr>
                    <w:t xml:space="preserve">25.55 </w:t>
                  </w:r>
                </w:p>
              </w:tc>
            </w:tr>
            <w:tr w14:paraId="6F675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073E3EBD">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0FFD0944">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2B818F6C">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66FA5E3F">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28262CFA">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415B6BA1">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2ABDF339">
                  <w:pPr>
                    <w:pStyle w:val="14"/>
                    <w:bidi w:val="0"/>
                  </w:pPr>
                </w:p>
              </w:tc>
              <w:tc>
                <w:tcPr>
                  <w:tcW w:w="938" w:type="dxa"/>
                  <w:vMerge w:val="continue"/>
                  <w:tcBorders>
                    <w:tl2br w:val="nil"/>
                    <w:tr2bl w:val="nil"/>
                  </w:tcBorders>
                  <w:vAlign w:val="center"/>
                </w:tcPr>
                <w:p w14:paraId="1D2052AB">
                  <w:pPr>
                    <w:pStyle w:val="14"/>
                    <w:bidi w:val="0"/>
                  </w:pPr>
                </w:p>
              </w:tc>
              <w:tc>
                <w:tcPr>
                  <w:tcW w:w="879" w:type="dxa"/>
                  <w:vMerge w:val="continue"/>
                  <w:tcBorders>
                    <w:tl2br w:val="nil"/>
                    <w:tr2bl w:val="nil"/>
                  </w:tcBorders>
                  <w:vAlign w:val="center"/>
                </w:tcPr>
                <w:p w14:paraId="3D983993">
                  <w:pPr>
                    <w:pStyle w:val="14"/>
                    <w:bidi w:val="0"/>
                  </w:pPr>
                </w:p>
              </w:tc>
              <w:tc>
                <w:tcPr>
                  <w:tcW w:w="963" w:type="dxa"/>
                  <w:tcBorders>
                    <w:tl2br w:val="nil"/>
                    <w:tr2bl w:val="nil"/>
                  </w:tcBorders>
                  <w:vAlign w:val="center"/>
                </w:tcPr>
                <w:p w14:paraId="15FDBA7A">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02EE10C0">
                  <w:pPr>
                    <w:pStyle w:val="14"/>
                    <w:bidi w:val="0"/>
                    <w:rPr>
                      <w:lang w:val="en-US" w:eastAsia="zh-CN"/>
                    </w:rPr>
                  </w:pPr>
                  <w:r>
                    <w:rPr>
                      <w:rFonts w:hint="eastAsia"/>
                      <w:lang w:val="en-US" w:eastAsia="zh-CN"/>
                    </w:rPr>
                    <w:t xml:space="preserve">53 </w:t>
                  </w:r>
                </w:p>
              </w:tc>
              <w:tc>
                <w:tcPr>
                  <w:tcW w:w="953" w:type="dxa"/>
                  <w:vMerge w:val="continue"/>
                  <w:tcBorders>
                    <w:tl2br w:val="nil"/>
                    <w:tr2bl w:val="nil"/>
                  </w:tcBorders>
                  <w:vAlign w:val="center"/>
                </w:tcPr>
                <w:p w14:paraId="19777E19">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1763A9A6">
                  <w:pPr>
                    <w:pStyle w:val="14"/>
                    <w:bidi w:val="0"/>
                    <w:rPr>
                      <w:lang w:val="en-US" w:eastAsia="zh-CN"/>
                    </w:rPr>
                  </w:pPr>
                  <w:r>
                    <w:rPr>
                      <w:rFonts w:hint="eastAsia"/>
                      <w:lang w:val="en-US" w:eastAsia="zh-CN"/>
                    </w:rPr>
                    <w:t xml:space="preserve">32.47 </w:t>
                  </w:r>
                </w:p>
              </w:tc>
            </w:tr>
            <w:tr w14:paraId="1EE2F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2E5FA4B8">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2A67D71E">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47E4A099">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241ADC2D">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713235B4">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7840984D">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1AB538ED">
                  <w:pPr>
                    <w:pStyle w:val="14"/>
                    <w:bidi w:val="0"/>
                  </w:pPr>
                </w:p>
              </w:tc>
              <w:tc>
                <w:tcPr>
                  <w:tcW w:w="938" w:type="dxa"/>
                  <w:vMerge w:val="continue"/>
                  <w:tcBorders>
                    <w:tl2br w:val="nil"/>
                    <w:tr2bl w:val="nil"/>
                  </w:tcBorders>
                  <w:vAlign w:val="center"/>
                </w:tcPr>
                <w:p w14:paraId="60EFEDBB">
                  <w:pPr>
                    <w:pStyle w:val="14"/>
                    <w:bidi w:val="0"/>
                  </w:pPr>
                </w:p>
              </w:tc>
              <w:tc>
                <w:tcPr>
                  <w:tcW w:w="879" w:type="dxa"/>
                  <w:vMerge w:val="continue"/>
                  <w:tcBorders>
                    <w:tl2br w:val="nil"/>
                    <w:tr2bl w:val="nil"/>
                  </w:tcBorders>
                  <w:vAlign w:val="center"/>
                </w:tcPr>
                <w:p w14:paraId="17885375">
                  <w:pPr>
                    <w:pStyle w:val="14"/>
                    <w:bidi w:val="0"/>
                  </w:pPr>
                </w:p>
              </w:tc>
              <w:tc>
                <w:tcPr>
                  <w:tcW w:w="963" w:type="dxa"/>
                  <w:tcBorders>
                    <w:tl2br w:val="nil"/>
                    <w:tr2bl w:val="nil"/>
                  </w:tcBorders>
                  <w:vAlign w:val="center"/>
                </w:tcPr>
                <w:p w14:paraId="7E337ECA">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2635491B">
                  <w:pPr>
                    <w:pStyle w:val="14"/>
                    <w:bidi w:val="0"/>
                    <w:rPr>
                      <w:lang w:val="en-US" w:eastAsia="zh-CN"/>
                    </w:rPr>
                  </w:pPr>
                  <w:r>
                    <w:rPr>
                      <w:rFonts w:hint="eastAsia"/>
                      <w:lang w:val="en-US" w:eastAsia="zh-CN"/>
                    </w:rPr>
                    <w:t xml:space="preserve">55 </w:t>
                  </w:r>
                </w:p>
              </w:tc>
              <w:tc>
                <w:tcPr>
                  <w:tcW w:w="953" w:type="dxa"/>
                  <w:vMerge w:val="continue"/>
                  <w:tcBorders>
                    <w:tl2br w:val="nil"/>
                    <w:tr2bl w:val="nil"/>
                  </w:tcBorders>
                  <w:vAlign w:val="center"/>
                </w:tcPr>
                <w:p w14:paraId="6FBDCE3C">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07FFC8D2">
                  <w:pPr>
                    <w:pStyle w:val="14"/>
                    <w:bidi w:val="0"/>
                    <w:rPr>
                      <w:lang w:val="en-US" w:eastAsia="zh-CN"/>
                    </w:rPr>
                  </w:pPr>
                  <w:r>
                    <w:rPr>
                      <w:rFonts w:hint="eastAsia"/>
                      <w:lang w:val="en-US" w:eastAsia="zh-CN"/>
                    </w:rPr>
                    <w:t xml:space="preserve">32.25 </w:t>
                  </w:r>
                </w:p>
              </w:tc>
            </w:tr>
            <w:tr w14:paraId="1E492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restart"/>
                  <w:tcBorders>
                    <w:tl2br w:val="nil"/>
                    <w:tr2bl w:val="nil"/>
                  </w:tcBorders>
                  <w:vAlign w:val="center"/>
                </w:tcPr>
                <w:p w14:paraId="6FAD06AA">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6</w:t>
                  </w:r>
                </w:p>
              </w:tc>
              <w:tc>
                <w:tcPr>
                  <w:tcW w:w="1573" w:type="dxa"/>
                  <w:vMerge w:val="restart"/>
                  <w:tcBorders>
                    <w:tl2br w:val="nil"/>
                    <w:tr2bl w:val="nil"/>
                  </w:tcBorders>
                  <w:shd w:val="clear" w:color="auto" w:fill="auto"/>
                  <w:vAlign w:val="center"/>
                </w:tcPr>
                <w:p w14:paraId="204D2D97">
                  <w:pPr>
                    <w:adjustRightInd w:val="0"/>
                    <w:snapToGrid w:val="0"/>
                    <w:spacing w:line="240" w:lineRule="auto"/>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Cs/>
                      <w:sz w:val="21"/>
                      <w:szCs w:val="21"/>
                      <w:highlight w:val="none"/>
                      <w:vertAlign w:val="baseline"/>
                      <w:lang w:eastAsia="zh-CN"/>
                    </w:rPr>
                    <w:t>氨水装车泵</w:t>
                  </w:r>
                </w:p>
                <w:p w14:paraId="1BB76090">
                  <w:pPr>
                    <w:adjustRightInd w:val="0"/>
                    <w:snapToGrid w:val="0"/>
                    <w:spacing w:line="240" w:lineRule="auto"/>
                    <w:jc w:val="center"/>
                    <w:rPr>
                      <w:rFonts w:ascii="Times New Roman" w:hAnsi="Times New Roman" w:eastAsia="宋体" w:cs="Times New Roman"/>
                      <w:color w:val="000000"/>
                      <w:sz w:val="21"/>
                    </w:rPr>
                  </w:pPr>
                </w:p>
              </w:tc>
              <w:tc>
                <w:tcPr>
                  <w:tcW w:w="2325" w:type="dxa"/>
                  <w:vMerge w:val="restart"/>
                  <w:tcBorders>
                    <w:tl2br w:val="nil"/>
                    <w:tr2bl w:val="nil"/>
                  </w:tcBorders>
                  <w:shd w:val="clear" w:color="auto" w:fill="auto"/>
                  <w:vAlign w:val="center"/>
                </w:tcPr>
                <w:p w14:paraId="4B949D46">
                  <w:pPr>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Cs/>
                      <w:sz w:val="21"/>
                      <w:szCs w:val="21"/>
                      <w:vertAlign w:val="baseline"/>
                      <w:lang w:val="en-US" w:eastAsia="zh-CN"/>
                    </w:rPr>
                    <w:t>流量80m</w:t>
                  </w:r>
                  <w:r>
                    <w:rPr>
                      <w:rFonts w:hint="eastAsia" w:ascii="Times New Roman" w:hAnsi="Times New Roman" w:eastAsia="宋体" w:cs="Times New Roman"/>
                      <w:bCs/>
                      <w:sz w:val="21"/>
                      <w:szCs w:val="21"/>
                      <w:vertAlign w:val="superscript"/>
                      <w:lang w:val="en-US" w:eastAsia="zh-CN"/>
                    </w:rPr>
                    <w:t>3</w:t>
                  </w:r>
                  <w:r>
                    <w:rPr>
                      <w:rFonts w:hint="eastAsia" w:ascii="Times New Roman" w:hAnsi="Times New Roman" w:eastAsia="宋体" w:cs="Times New Roman"/>
                      <w:bCs/>
                      <w:sz w:val="21"/>
                      <w:szCs w:val="21"/>
                      <w:vertAlign w:val="baseline"/>
                      <w:lang w:val="en-US" w:eastAsia="zh-CN"/>
                    </w:rPr>
                    <w:t>/h，扬程15m</w:t>
                  </w:r>
                </w:p>
                <w:p w14:paraId="7EC8EE31">
                  <w:pPr>
                    <w:adjustRightInd w:val="0"/>
                    <w:snapToGrid w:val="0"/>
                    <w:spacing w:line="240" w:lineRule="auto"/>
                    <w:jc w:val="center"/>
                    <w:rPr>
                      <w:rFonts w:ascii="Times New Roman" w:hAnsi="Times New Roman" w:eastAsia="宋体" w:cs="Times New Roman"/>
                      <w:color w:val="000000"/>
                      <w:sz w:val="21"/>
                    </w:rPr>
                  </w:pPr>
                </w:p>
              </w:tc>
              <w:tc>
                <w:tcPr>
                  <w:tcW w:w="1129" w:type="dxa"/>
                  <w:vMerge w:val="restart"/>
                  <w:tcBorders>
                    <w:tl2br w:val="nil"/>
                    <w:tr2bl w:val="nil"/>
                  </w:tcBorders>
                  <w:shd w:val="clear" w:color="auto" w:fill="auto"/>
                  <w:vAlign w:val="center"/>
                </w:tcPr>
                <w:p w14:paraId="3837E0D4">
                  <w:pPr>
                    <w:adjustRightInd w:val="0"/>
                    <w:snapToGrid w:val="0"/>
                    <w:spacing w:line="240" w:lineRule="auto"/>
                    <w:jc w:val="center"/>
                    <w:rPr>
                      <w:rFonts w:hint="eastAsia" w:ascii="Times New Roman" w:hAnsi="Times New Roman" w:eastAsia="宋体" w:cs="Times New Roman"/>
                      <w:color w:val="000000"/>
                      <w:kern w:val="2"/>
                      <w:sz w:val="21"/>
                      <w:szCs w:val="24"/>
                      <w:lang w:val="en-US" w:eastAsia="zh-CN" w:bidi="ar-SA"/>
                    </w:rPr>
                  </w:pPr>
                  <w:r>
                    <w:rPr>
                      <w:rFonts w:hint="eastAsia" w:cs="Times New Roman"/>
                      <w:color w:val="000000"/>
                      <w:sz w:val="21"/>
                      <w:lang w:val="en-US" w:eastAsia="zh-CN"/>
                    </w:rPr>
                    <w:t>2</w:t>
                  </w:r>
                </w:p>
                <w:p w14:paraId="64C2232D">
                  <w:pPr>
                    <w:adjustRightInd w:val="0"/>
                    <w:snapToGrid w:val="0"/>
                    <w:spacing w:line="240" w:lineRule="auto"/>
                    <w:jc w:val="center"/>
                    <w:rPr>
                      <w:rFonts w:hint="eastAsia" w:ascii="Times New Roman" w:hAnsi="Times New Roman" w:eastAsia="宋体" w:cs="Times New Roman"/>
                      <w:color w:val="000000"/>
                      <w:sz w:val="21"/>
                      <w:lang w:eastAsia="zh-CN"/>
                    </w:rPr>
                  </w:pPr>
                </w:p>
              </w:tc>
              <w:tc>
                <w:tcPr>
                  <w:tcW w:w="1481" w:type="dxa"/>
                  <w:vMerge w:val="restart"/>
                  <w:tcBorders>
                    <w:tl2br w:val="nil"/>
                    <w:tr2bl w:val="nil"/>
                  </w:tcBorders>
                  <w:shd w:val="clear" w:color="auto" w:fill="auto"/>
                  <w:vAlign w:val="center"/>
                </w:tcPr>
                <w:p w14:paraId="62901826">
                  <w:pPr>
                    <w:adjustRightInd w:val="0"/>
                    <w:snapToGrid w:val="0"/>
                    <w:spacing w:line="240" w:lineRule="auto"/>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sz w:val="21"/>
                    </w:rPr>
                    <w:t>7</w:t>
                  </w:r>
                  <w:r>
                    <w:rPr>
                      <w:rFonts w:hint="eastAsia" w:cs="Times New Roman"/>
                      <w:color w:val="000000"/>
                      <w:sz w:val="21"/>
                      <w:lang w:val="en-US" w:eastAsia="zh-CN"/>
                    </w:rPr>
                    <w:t>5</w:t>
                  </w:r>
                </w:p>
                <w:p w14:paraId="55998EF6">
                  <w:pPr>
                    <w:adjustRightInd w:val="0"/>
                    <w:snapToGrid w:val="0"/>
                    <w:spacing w:line="240" w:lineRule="auto"/>
                    <w:jc w:val="center"/>
                    <w:rPr>
                      <w:rFonts w:hint="eastAsia" w:ascii="Times New Roman" w:hAnsi="Times New Roman" w:eastAsia="宋体" w:cs="Times New Roman"/>
                      <w:color w:val="000000"/>
                      <w:sz w:val="21"/>
                      <w:lang w:eastAsia="zh-CN"/>
                    </w:rPr>
                  </w:pPr>
                </w:p>
              </w:tc>
              <w:tc>
                <w:tcPr>
                  <w:tcW w:w="1065" w:type="dxa"/>
                  <w:vMerge w:val="continue"/>
                  <w:tcBorders>
                    <w:tl2br w:val="nil"/>
                    <w:tr2bl w:val="nil"/>
                  </w:tcBorders>
                  <w:vAlign w:val="center"/>
                </w:tcPr>
                <w:p w14:paraId="6AF640C4">
                  <w:pPr>
                    <w:adjustRightInd w:val="0"/>
                    <w:snapToGrid w:val="0"/>
                    <w:spacing w:line="240" w:lineRule="auto"/>
                    <w:jc w:val="center"/>
                    <w:rPr>
                      <w:rFonts w:ascii="Times New Roman" w:hAnsi="Times New Roman" w:eastAsia="宋体" w:cs="Times New Roman"/>
                      <w:color w:val="000000"/>
                      <w:sz w:val="21"/>
                    </w:rPr>
                  </w:pPr>
                </w:p>
              </w:tc>
              <w:tc>
                <w:tcPr>
                  <w:tcW w:w="891" w:type="dxa"/>
                  <w:vMerge w:val="restart"/>
                  <w:tcBorders>
                    <w:tl2br w:val="nil"/>
                    <w:tr2bl w:val="nil"/>
                  </w:tcBorders>
                  <w:vAlign w:val="center"/>
                </w:tcPr>
                <w:p w14:paraId="43D89FC6">
                  <w:pPr>
                    <w:pStyle w:val="14"/>
                    <w:bidi w:val="0"/>
                    <w:rPr>
                      <w:rFonts w:hint="default"/>
                      <w:lang w:val="en-US" w:eastAsia="zh-CN"/>
                    </w:rPr>
                  </w:pPr>
                  <w:r>
                    <w:rPr>
                      <w:rFonts w:hint="eastAsia"/>
                      <w:lang w:val="en-US" w:eastAsia="zh-CN"/>
                    </w:rPr>
                    <w:t>93</w:t>
                  </w:r>
                </w:p>
              </w:tc>
              <w:tc>
                <w:tcPr>
                  <w:tcW w:w="938" w:type="dxa"/>
                  <w:vMerge w:val="restart"/>
                  <w:tcBorders>
                    <w:tl2br w:val="nil"/>
                    <w:tr2bl w:val="nil"/>
                  </w:tcBorders>
                  <w:vAlign w:val="center"/>
                </w:tcPr>
                <w:p w14:paraId="37B6E3FE">
                  <w:pPr>
                    <w:pStyle w:val="14"/>
                    <w:bidi w:val="0"/>
                    <w:rPr>
                      <w:rFonts w:hint="eastAsia"/>
                      <w:lang w:val="en-US" w:eastAsia="zh-CN"/>
                    </w:rPr>
                  </w:pPr>
                  <w:r>
                    <w:rPr>
                      <w:rFonts w:hint="eastAsia"/>
                      <w:lang w:val="en-US" w:eastAsia="zh-CN"/>
                    </w:rPr>
                    <w:t>33</w:t>
                  </w:r>
                </w:p>
              </w:tc>
              <w:tc>
                <w:tcPr>
                  <w:tcW w:w="879" w:type="dxa"/>
                  <w:vMerge w:val="restart"/>
                  <w:tcBorders>
                    <w:tl2br w:val="nil"/>
                    <w:tr2bl w:val="nil"/>
                  </w:tcBorders>
                  <w:vAlign w:val="center"/>
                </w:tcPr>
                <w:p w14:paraId="5B2F7A5D">
                  <w:pPr>
                    <w:pStyle w:val="14"/>
                    <w:bidi w:val="0"/>
                    <w:rPr>
                      <w:rFonts w:hint="default"/>
                      <w:lang w:val="en-US" w:eastAsia="zh-CN"/>
                    </w:rPr>
                  </w:pPr>
                  <w:r>
                    <w:rPr>
                      <w:rFonts w:hint="eastAsia"/>
                      <w:lang w:val="en-US" w:eastAsia="zh-CN"/>
                    </w:rPr>
                    <w:t>1</w:t>
                  </w:r>
                </w:p>
              </w:tc>
              <w:tc>
                <w:tcPr>
                  <w:tcW w:w="963" w:type="dxa"/>
                  <w:tcBorders>
                    <w:tl2br w:val="nil"/>
                    <w:tr2bl w:val="nil"/>
                  </w:tcBorders>
                  <w:vAlign w:val="center"/>
                </w:tcPr>
                <w:p w14:paraId="17693AE1">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5F711ACD">
                  <w:pPr>
                    <w:pStyle w:val="14"/>
                    <w:bidi w:val="0"/>
                    <w:rPr>
                      <w:lang w:val="en-US" w:eastAsia="zh-CN"/>
                    </w:rPr>
                  </w:pPr>
                  <w:r>
                    <w:rPr>
                      <w:rFonts w:hint="eastAsia"/>
                      <w:lang w:val="en-US" w:eastAsia="zh-CN"/>
                    </w:rPr>
                    <w:t xml:space="preserve">81 </w:t>
                  </w:r>
                </w:p>
              </w:tc>
              <w:tc>
                <w:tcPr>
                  <w:tcW w:w="953" w:type="dxa"/>
                  <w:vMerge w:val="continue"/>
                  <w:tcBorders>
                    <w:tl2br w:val="nil"/>
                    <w:tr2bl w:val="nil"/>
                  </w:tcBorders>
                  <w:vAlign w:val="center"/>
                </w:tcPr>
                <w:p w14:paraId="5904C9BF">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119D90F1">
                  <w:pPr>
                    <w:pStyle w:val="14"/>
                    <w:bidi w:val="0"/>
                    <w:rPr>
                      <w:lang w:val="en-US" w:eastAsia="zh-CN"/>
                    </w:rPr>
                  </w:pPr>
                  <w:r>
                    <w:rPr>
                      <w:rFonts w:hint="eastAsia"/>
                      <w:lang w:val="en-US" w:eastAsia="zh-CN"/>
                    </w:rPr>
                    <w:t xml:space="preserve">28.85 </w:t>
                  </w:r>
                </w:p>
              </w:tc>
            </w:tr>
            <w:tr w14:paraId="5BF9C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2" w:hRule="atLeast"/>
                <w:jc w:val="center"/>
              </w:trPr>
              <w:tc>
                <w:tcPr>
                  <w:tcW w:w="579" w:type="dxa"/>
                  <w:vMerge w:val="continue"/>
                  <w:tcBorders>
                    <w:tl2br w:val="nil"/>
                    <w:tr2bl w:val="nil"/>
                  </w:tcBorders>
                  <w:vAlign w:val="center"/>
                </w:tcPr>
                <w:p w14:paraId="1CB33619">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6442EBF5">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1808E794">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0621A0BA">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07C7DAB1">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21DD5F76">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4D36BFBB">
                  <w:pPr>
                    <w:pStyle w:val="14"/>
                    <w:bidi w:val="0"/>
                  </w:pPr>
                </w:p>
              </w:tc>
              <w:tc>
                <w:tcPr>
                  <w:tcW w:w="938" w:type="dxa"/>
                  <w:vMerge w:val="continue"/>
                  <w:tcBorders>
                    <w:tl2br w:val="nil"/>
                    <w:tr2bl w:val="nil"/>
                  </w:tcBorders>
                  <w:vAlign w:val="center"/>
                </w:tcPr>
                <w:p w14:paraId="6030DBE7">
                  <w:pPr>
                    <w:pStyle w:val="14"/>
                    <w:bidi w:val="0"/>
                  </w:pPr>
                </w:p>
              </w:tc>
              <w:tc>
                <w:tcPr>
                  <w:tcW w:w="879" w:type="dxa"/>
                  <w:vMerge w:val="continue"/>
                  <w:tcBorders>
                    <w:tl2br w:val="nil"/>
                    <w:tr2bl w:val="nil"/>
                  </w:tcBorders>
                  <w:vAlign w:val="center"/>
                </w:tcPr>
                <w:p w14:paraId="33C16B8D">
                  <w:pPr>
                    <w:pStyle w:val="14"/>
                    <w:bidi w:val="0"/>
                  </w:pPr>
                </w:p>
              </w:tc>
              <w:tc>
                <w:tcPr>
                  <w:tcW w:w="963" w:type="dxa"/>
                  <w:tcBorders>
                    <w:tl2br w:val="nil"/>
                    <w:tr2bl w:val="nil"/>
                  </w:tcBorders>
                  <w:vAlign w:val="center"/>
                </w:tcPr>
                <w:p w14:paraId="3168F563">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34370329">
                  <w:pPr>
                    <w:pStyle w:val="14"/>
                    <w:bidi w:val="0"/>
                    <w:rPr>
                      <w:lang w:val="en-US" w:eastAsia="zh-CN"/>
                    </w:rPr>
                  </w:pPr>
                  <w:r>
                    <w:rPr>
                      <w:rFonts w:hint="eastAsia"/>
                      <w:lang w:val="en-US" w:eastAsia="zh-CN"/>
                    </w:rPr>
                    <w:t xml:space="preserve">37 </w:t>
                  </w:r>
                </w:p>
              </w:tc>
              <w:tc>
                <w:tcPr>
                  <w:tcW w:w="953" w:type="dxa"/>
                  <w:vMerge w:val="continue"/>
                  <w:tcBorders>
                    <w:tl2br w:val="nil"/>
                    <w:tr2bl w:val="nil"/>
                  </w:tcBorders>
                  <w:vAlign w:val="center"/>
                </w:tcPr>
                <w:p w14:paraId="702B65A9">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73E0538D">
                  <w:pPr>
                    <w:pStyle w:val="14"/>
                    <w:bidi w:val="0"/>
                    <w:rPr>
                      <w:lang w:val="en-US" w:eastAsia="zh-CN"/>
                    </w:rPr>
                  </w:pPr>
                  <w:r>
                    <w:rPr>
                      <w:rFonts w:hint="eastAsia"/>
                      <w:lang w:val="en-US" w:eastAsia="zh-CN"/>
                    </w:rPr>
                    <w:t xml:space="preserve">35.55 </w:t>
                  </w:r>
                </w:p>
              </w:tc>
            </w:tr>
            <w:tr w14:paraId="21D817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5854EF55">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393C5E53">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39F61EBF">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5EBB0C09">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2D03C5B6">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3F778716">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5DC2CF75">
                  <w:pPr>
                    <w:pStyle w:val="14"/>
                    <w:bidi w:val="0"/>
                  </w:pPr>
                </w:p>
              </w:tc>
              <w:tc>
                <w:tcPr>
                  <w:tcW w:w="938" w:type="dxa"/>
                  <w:vMerge w:val="continue"/>
                  <w:tcBorders>
                    <w:tl2br w:val="nil"/>
                    <w:tr2bl w:val="nil"/>
                  </w:tcBorders>
                  <w:vAlign w:val="center"/>
                </w:tcPr>
                <w:p w14:paraId="68F057F6">
                  <w:pPr>
                    <w:pStyle w:val="14"/>
                    <w:bidi w:val="0"/>
                  </w:pPr>
                </w:p>
              </w:tc>
              <w:tc>
                <w:tcPr>
                  <w:tcW w:w="879" w:type="dxa"/>
                  <w:vMerge w:val="continue"/>
                  <w:tcBorders>
                    <w:tl2br w:val="nil"/>
                    <w:tr2bl w:val="nil"/>
                  </w:tcBorders>
                  <w:vAlign w:val="center"/>
                </w:tcPr>
                <w:p w14:paraId="0269C320">
                  <w:pPr>
                    <w:pStyle w:val="14"/>
                    <w:bidi w:val="0"/>
                  </w:pPr>
                </w:p>
              </w:tc>
              <w:tc>
                <w:tcPr>
                  <w:tcW w:w="963" w:type="dxa"/>
                  <w:tcBorders>
                    <w:tl2br w:val="nil"/>
                    <w:tr2bl w:val="nil"/>
                  </w:tcBorders>
                  <w:vAlign w:val="center"/>
                </w:tcPr>
                <w:p w14:paraId="2EE5FC44">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4A393A61">
                  <w:pPr>
                    <w:pStyle w:val="14"/>
                    <w:bidi w:val="0"/>
                    <w:rPr>
                      <w:lang w:val="en-US" w:eastAsia="zh-CN"/>
                    </w:rPr>
                  </w:pPr>
                  <w:r>
                    <w:rPr>
                      <w:rFonts w:hint="eastAsia"/>
                      <w:lang w:val="en-US" w:eastAsia="zh-CN"/>
                    </w:rPr>
                    <w:t xml:space="preserve">99 </w:t>
                  </w:r>
                </w:p>
              </w:tc>
              <w:tc>
                <w:tcPr>
                  <w:tcW w:w="953" w:type="dxa"/>
                  <w:vMerge w:val="continue"/>
                  <w:tcBorders>
                    <w:tl2br w:val="nil"/>
                    <w:tr2bl w:val="nil"/>
                  </w:tcBorders>
                  <w:vAlign w:val="center"/>
                </w:tcPr>
                <w:p w14:paraId="051575BF">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502452BC">
                  <w:pPr>
                    <w:pStyle w:val="14"/>
                    <w:bidi w:val="0"/>
                    <w:rPr>
                      <w:lang w:val="en-US" w:eastAsia="zh-CN"/>
                    </w:rPr>
                  </w:pPr>
                  <w:r>
                    <w:rPr>
                      <w:rFonts w:hint="eastAsia"/>
                      <w:lang w:val="en-US" w:eastAsia="zh-CN"/>
                    </w:rPr>
                    <w:t xml:space="preserve">27.12 </w:t>
                  </w:r>
                </w:p>
              </w:tc>
            </w:tr>
            <w:tr w14:paraId="7E95E3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70618BF9">
                  <w:pPr>
                    <w:adjustRightInd w:val="0"/>
                    <w:snapToGrid w:val="0"/>
                    <w:spacing w:line="240" w:lineRule="auto"/>
                    <w:jc w:val="center"/>
                    <w:rPr>
                      <w:rFonts w:ascii="Times New Roman" w:hAnsi="Times New Roman" w:eastAsia="宋体" w:cs="Times New Roman"/>
                      <w:color w:val="000000"/>
                      <w:sz w:val="21"/>
                    </w:rPr>
                  </w:pPr>
                </w:p>
              </w:tc>
              <w:tc>
                <w:tcPr>
                  <w:tcW w:w="1573" w:type="dxa"/>
                  <w:vMerge w:val="continue"/>
                  <w:tcBorders>
                    <w:tl2br w:val="nil"/>
                    <w:tr2bl w:val="nil"/>
                  </w:tcBorders>
                  <w:vAlign w:val="center"/>
                </w:tcPr>
                <w:p w14:paraId="1719AD95">
                  <w:pPr>
                    <w:adjustRightInd w:val="0"/>
                    <w:snapToGrid w:val="0"/>
                    <w:spacing w:line="240" w:lineRule="auto"/>
                    <w:jc w:val="center"/>
                    <w:rPr>
                      <w:rFonts w:ascii="Times New Roman" w:hAnsi="Times New Roman" w:eastAsia="宋体" w:cs="Times New Roman"/>
                      <w:color w:val="000000"/>
                      <w:sz w:val="21"/>
                    </w:rPr>
                  </w:pPr>
                </w:p>
              </w:tc>
              <w:tc>
                <w:tcPr>
                  <w:tcW w:w="2325" w:type="dxa"/>
                  <w:vMerge w:val="continue"/>
                  <w:tcBorders>
                    <w:tl2br w:val="nil"/>
                    <w:tr2bl w:val="nil"/>
                  </w:tcBorders>
                  <w:vAlign w:val="center"/>
                </w:tcPr>
                <w:p w14:paraId="52F9EEF0">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678EFE8F">
                  <w:pPr>
                    <w:adjustRightInd w:val="0"/>
                    <w:snapToGrid w:val="0"/>
                    <w:spacing w:line="240" w:lineRule="auto"/>
                    <w:jc w:val="center"/>
                    <w:rPr>
                      <w:rFonts w:ascii="Times New Roman" w:hAnsi="Times New Roman" w:eastAsia="宋体" w:cs="Times New Roman"/>
                      <w:color w:val="000000"/>
                      <w:sz w:val="21"/>
                    </w:rPr>
                  </w:pPr>
                </w:p>
              </w:tc>
              <w:tc>
                <w:tcPr>
                  <w:tcW w:w="1481" w:type="dxa"/>
                  <w:vMerge w:val="continue"/>
                  <w:tcBorders>
                    <w:tl2br w:val="nil"/>
                    <w:tr2bl w:val="nil"/>
                  </w:tcBorders>
                  <w:vAlign w:val="center"/>
                </w:tcPr>
                <w:p w14:paraId="7EC84051">
                  <w:pPr>
                    <w:adjustRightInd w:val="0"/>
                    <w:snapToGrid w:val="0"/>
                    <w:spacing w:line="240" w:lineRule="auto"/>
                    <w:jc w:val="center"/>
                    <w:rPr>
                      <w:rFonts w:ascii="Times New Roman" w:hAnsi="Times New Roman" w:eastAsia="宋体" w:cs="Times New Roman"/>
                      <w:color w:val="000000"/>
                      <w:sz w:val="21"/>
                    </w:rPr>
                  </w:pPr>
                </w:p>
              </w:tc>
              <w:tc>
                <w:tcPr>
                  <w:tcW w:w="1065" w:type="dxa"/>
                  <w:vMerge w:val="continue"/>
                  <w:tcBorders>
                    <w:tl2br w:val="nil"/>
                    <w:tr2bl w:val="nil"/>
                  </w:tcBorders>
                  <w:vAlign w:val="center"/>
                </w:tcPr>
                <w:p w14:paraId="15270CFB">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0856E7C5">
                  <w:pPr>
                    <w:pStyle w:val="14"/>
                    <w:bidi w:val="0"/>
                  </w:pPr>
                </w:p>
              </w:tc>
              <w:tc>
                <w:tcPr>
                  <w:tcW w:w="938" w:type="dxa"/>
                  <w:vMerge w:val="continue"/>
                  <w:tcBorders>
                    <w:tl2br w:val="nil"/>
                    <w:tr2bl w:val="nil"/>
                  </w:tcBorders>
                  <w:vAlign w:val="center"/>
                </w:tcPr>
                <w:p w14:paraId="2B41E40B">
                  <w:pPr>
                    <w:pStyle w:val="14"/>
                    <w:bidi w:val="0"/>
                  </w:pPr>
                </w:p>
              </w:tc>
              <w:tc>
                <w:tcPr>
                  <w:tcW w:w="879" w:type="dxa"/>
                  <w:vMerge w:val="continue"/>
                  <w:tcBorders>
                    <w:tl2br w:val="nil"/>
                    <w:tr2bl w:val="nil"/>
                  </w:tcBorders>
                  <w:vAlign w:val="center"/>
                </w:tcPr>
                <w:p w14:paraId="42C2668F">
                  <w:pPr>
                    <w:pStyle w:val="14"/>
                    <w:bidi w:val="0"/>
                  </w:pPr>
                </w:p>
              </w:tc>
              <w:tc>
                <w:tcPr>
                  <w:tcW w:w="963" w:type="dxa"/>
                  <w:tcBorders>
                    <w:tl2br w:val="nil"/>
                    <w:tr2bl w:val="nil"/>
                  </w:tcBorders>
                  <w:vAlign w:val="center"/>
                </w:tcPr>
                <w:p w14:paraId="3173DEFB">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51974B1A">
                  <w:pPr>
                    <w:pStyle w:val="14"/>
                    <w:bidi w:val="0"/>
                    <w:rPr>
                      <w:lang w:val="en-US" w:eastAsia="zh-CN"/>
                    </w:rPr>
                  </w:pPr>
                  <w:r>
                    <w:rPr>
                      <w:rFonts w:hint="eastAsia"/>
                      <w:lang w:val="en-US" w:eastAsia="zh-CN"/>
                    </w:rPr>
                    <w:t xml:space="preserve">94 </w:t>
                  </w:r>
                </w:p>
              </w:tc>
              <w:tc>
                <w:tcPr>
                  <w:tcW w:w="953" w:type="dxa"/>
                  <w:vMerge w:val="continue"/>
                  <w:tcBorders>
                    <w:tl2br w:val="nil"/>
                    <w:tr2bl w:val="nil"/>
                  </w:tcBorders>
                  <w:vAlign w:val="center"/>
                </w:tcPr>
                <w:p w14:paraId="269257F6">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56DD8C80">
                  <w:pPr>
                    <w:pStyle w:val="14"/>
                    <w:bidi w:val="0"/>
                    <w:rPr>
                      <w:lang w:val="en-US" w:eastAsia="zh-CN"/>
                    </w:rPr>
                  </w:pPr>
                  <w:r>
                    <w:rPr>
                      <w:rFonts w:hint="eastAsia"/>
                      <w:lang w:val="en-US" w:eastAsia="zh-CN"/>
                    </w:rPr>
                    <w:t xml:space="preserve">27.58 </w:t>
                  </w:r>
                </w:p>
              </w:tc>
            </w:tr>
            <w:tr w14:paraId="3D306E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restart"/>
                  <w:tcBorders>
                    <w:tl2br w:val="nil"/>
                    <w:tr2bl w:val="nil"/>
                  </w:tcBorders>
                  <w:vAlign w:val="center"/>
                </w:tcPr>
                <w:p w14:paraId="54318A97">
                  <w:pPr>
                    <w:adjustRightInd w:val="0"/>
                    <w:snapToGrid w:val="0"/>
                    <w:spacing w:line="240" w:lineRule="auto"/>
                    <w:jc w:val="center"/>
                    <w:rPr>
                      <w:rFonts w:hint="default" w:cs="Times New Roman"/>
                      <w:color w:val="000000"/>
                      <w:sz w:val="21"/>
                      <w:lang w:val="en-US" w:eastAsia="zh-CN"/>
                    </w:rPr>
                  </w:pPr>
                  <w:r>
                    <w:rPr>
                      <w:rFonts w:hint="eastAsia" w:cs="Times New Roman"/>
                      <w:color w:val="000000"/>
                      <w:sz w:val="21"/>
                      <w:lang w:val="en-US" w:eastAsia="zh-CN"/>
                    </w:rPr>
                    <w:t>7</w:t>
                  </w:r>
                </w:p>
              </w:tc>
              <w:tc>
                <w:tcPr>
                  <w:tcW w:w="1573" w:type="dxa"/>
                  <w:vMerge w:val="restart"/>
                  <w:tcBorders>
                    <w:tl2br w:val="nil"/>
                    <w:tr2bl w:val="nil"/>
                  </w:tcBorders>
                  <w:shd w:val="clear" w:color="auto" w:fill="auto"/>
                  <w:vAlign w:val="center"/>
                </w:tcPr>
                <w:p w14:paraId="5FAFA471">
                  <w:pPr>
                    <w:adjustRightInd w:val="0"/>
                    <w:snapToGrid w:val="0"/>
                    <w:spacing w:line="240" w:lineRule="auto"/>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Cs/>
                      <w:sz w:val="21"/>
                      <w:szCs w:val="21"/>
                      <w:highlight w:val="none"/>
                      <w:vertAlign w:val="baseline"/>
                      <w:lang w:eastAsia="zh-CN"/>
                    </w:rPr>
                    <w:t>冷却循环水泵</w:t>
                  </w:r>
                </w:p>
              </w:tc>
              <w:tc>
                <w:tcPr>
                  <w:tcW w:w="2325" w:type="dxa"/>
                  <w:vMerge w:val="restart"/>
                  <w:tcBorders>
                    <w:tl2br w:val="nil"/>
                    <w:tr2bl w:val="nil"/>
                  </w:tcBorders>
                  <w:shd w:val="clear" w:color="auto" w:fill="auto"/>
                  <w:vAlign w:val="center"/>
                </w:tcPr>
                <w:p w14:paraId="5B379BB8">
                  <w:pPr>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Cs/>
                      <w:sz w:val="21"/>
                      <w:szCs w:val="21"/>
                      <w:vertAlign w:val="baseline"/>
                      <w:lang w:eastAsia="zh-CN"/>
                    </w:rPr>
                    <w:t>流量250m</w:t>
                  </w:r>
                  <w:r>
                    <w:rPr>
                      <w:rFonts w:hint="eastAsia" w:ascii="Times New Roman" w:hAnsi="Times New Roman" w:eastAsia="宋体" w:cs="Times New Roman"/>
                      <w:bCs/>
                      <w:sz w:val="21"/>
                      <w:szCs w:val="21"/>
                      <w:vertAlign w:val="superscript"/>
                      <w:lang w:eastAsia="zh-CN"/>
                    </w:rPr>
                    <w:t>3</w:t>
                  </w:r>
                  <w:r>
                    <w:rPr>
                      <w:rFonts w:hint="eastAsia" w:ascii="Times New Roman" w:hAnsi="Times New Roman" w:eastAsia="宋体" w:cs="Times New Roman"/>
                      <w:bCs/>
                      <w:sz w:val="21"/>
                      <w:szCs w:val="21"/>
                      <w:vertAlign w:val="baseline"/>
                      <w:lang w:eastAsia="zh-CN"/>
                    </w:rPr>
                    <w:t>/h，扬程</w:t>
                  </w:r>
                  <w:r>
                    <w:rPr>
                      <w:rFonts w:hint="eastAsia" w:cs="Times New Roman"/>
                      <w:bCs/>
                      <w:color w:val="000000" w:themeColor="text1"/>
                      <w:sz w:val="21"/>
                      <w:szCs w:val="21"/>
                      <w:vertAlign w:val="baseline"/>
                      <w:lang w:val="en-US" w:eastAsia="zh-CN"/>
                      <w14:textFill>
                        <w14:solidFill>
                          <w14:schemeClr w14:val="tx1"/>
                        </w14:solidFill>
                      </w14:textFill>
                    </w:rPr>
                    <w:t>32</w:t>
                  </w:r>
                  <w:r>
                    <w:rPr>
                      <w:rFonts w:hint="eastAsia" w:ascii="Times New Roman" w:hAnsi="Times New Roman" w:eastAsia="宋体" w:cs="Times New Roman"/>
                      <w:bCs/>
                      <w:color w:val="000000" w:themeColor="text1"/>
                      <w:sz w:val="21"/>
                      <w:szCs w:val="21"/>
                      <w:vertAlign w:val="baseline"/>
                      <w:lang w:eastAsia="zh-CN"/>
                      <w14:textFill>
                        <w14:solidFill>
                          <w14:schemeClr w14:val="tx1"/>
                        </w14:solidFill>
                      </w14:textFill>
                    </w:rPr>
                    <w:t>m</w:t>
                  </w:r>
                  <w:r>
                    <w:rPr>
                      <w:rFonts w:hint="eastAsia" w:ascii="Times New Roman" w:hAnsi="Times New Roman" w:eastAsia="宋体" w:cs="Times New Roman"/>
                      <w:bCs/>
                      <w:sz w:val="21"/>
                      <w:szCs w:val="21"/>
                      <w:vertAlign w:val="baseline"/>
                      <w:lang w:eastAsia="zh-CN"/>
                    </w:rPr>
                    <w:t>，卧式</w:t>
                  </w:r>
                </w:p>
              </w:tc>
              <w:tc>
                <w:tcPr>
                  <w:tcW w:w="1129" w:type="dxa"/>
                  <w:vMerge w:val="restart"/>
                  <w:tcBorders>
                    <w:tl2br w:val="nil"/>
                    <w:tr2bl w:val="nil"/>
                  </w:tcBorders>
                  <w:shd w:val="clear" w:color="auto" w:fill="auto"/>
                  <w:vAlign w:val="center"/>
                </w:tcPr>
                <w:p w14:paraId="5FF01B93">
                  <w:pPr>
                    <w:adjustRightInd w:val="0"/>
                    <w:snapToGrid w:val="0"/>
                    <w:spacing w:line="240" w:lineRule="auto"/>
                    <w:jc w:val="center"/>
                    <w:rPr>
                      <w:rFonts w:hint="eastAsia" w:ascii="Times New Roman" w:hAnsi="Times New Roman" w:eastAsia="宋体" w:cs="Times New Roman"/>
                      <w:color w:val="000000"/>
                      <w:kern w:val="2"/>
                      <w:sz w:val="21"/>
                      <w:szCs w:val="24"/>
                      <w:lang w:val="en-US" w:eastAsia="zh-CN" w:bidi="ar-SA"/>
                    </w:rPr>
                  </w:pPr>
                  <w:r>
                    <w:rPr>
                      <w:rFonts w:hint="eastAsia" w:cs="Times New Roman"/>
                      <w:color w:val="000000"/>
                      <w:sz w:val="21"/>
                      <w:lang w:val="en-US" w:eastAsia="zh-CN"/>
                    </w:rPr>
                    <w:t>2</w:t>
                  </w:r>
                </w:p>
              </w:tc>
              <w:tc>
                <w:tcPr>
                  <w:tcW w:w="1481" w:type="dxa"/>
                  <w:vMerge w:val="restart"/>
                  <w:tcBorders>
                    <w:tl2br w:val="nil"/>
                    <w:tr2bl w:val="nil"/>
                  </w:tcBorders>
                  <w:shd w:val="clear" w:color="auto" w:fill="auto"/>
                  <w:vAlign w:val="center"/>
                </w:tcPr>
                <w:p w14:paraId="5A4380A0">
                  <w:pPr>
                    <w:adjustRightInd w:val="0"/>
                    <w:snapToGrid w:val="0"/>
                    <w:spacing w:line="240" w:lineRule="auto"/>
                    <w:jc w:val="center"/>
                    <w:rPr>
                      <w:rFonts w:hint="eastAsia" w:ascii="Times New Roman" w:hAnsi="Times New Roman" w:eastAsia="宋体" w:cs="Times New Roman"/>
                      <w:color w:val="000000"/>
                      <w:kern w:val="2"/>
                      <w:sz w:val="21"/>
                      <w:szCs w:val="24"/>
                      <w:lang w:val="en-US" w:eastAsia="zh-CN" w:bidi="ar-SA"/>
                    </w:rPr>
                  </w:pPr>
                  <w:r>
                    <w:rPr>
                      <w:rFonts w:hint="eastAsia" w:cs="Times New Roman"/>
                      <w:color w:val="000000"/>
                      <w:sz w:val="21"/>
                      <w:lang w:val="en-US" w:eastAsia="zh-CN"/>
                    </w:rPr>
                    <w:t>75</w:t>
                  </w:r>
                </w:p>
              </w:tc>
              <w:tc>
                <w:tcPr>
                  <w:tcW w:w="1065" w:type="dxa"/>
                  <w:vMerge w:val="continue"/>
                  <w:tcBorders>
                    <w:tl2br w:val="nil"/>
                    <w:tr2bl w:val="nil"/>
                  </w:tcBorders>
                  <w:vAlign w:val="center"/>
                </w:tcPr>
                <w:p w14:paraId="2ACD2B20">
                  <w:pPr>
                    <w:adjustRightInd w:val="0"/>
                    <w:snapToGrid w:val="0"/>
                    <w:spacing w:line="240" w:lineRule="auto"/>
                    <w:jc w:val="center"/>
                    <w:rPr>
                      <w:rFonts w:ascii="Times New Roman" w:hAnsi="Times New Roman" w:eastAsia="宋体" w:cs="Times New Roman"/>
                      <w:color w:val="000000"/>
                      <w:sz w:val="21"/>
                    </w:rPr>
                  </w:pPr>
                </w:p>
              </w:tc>
              <w:tc>
                <w:tcPr>
                  <w:tcW w:w="891" w:type="dxa"/>
                  <w:vMerge w:val="restart"/>
                  <w:tcBorders>
                    <w:tl2br w:val="nil"/>
                    <w:tr2bl w:val="nil"/>
                  </w:tcBorders>
                  <w:vAlign w:val="center"/>
                </w:tcPr>
                <w:p w14:paraId="29FAA6DF">
                  <w:pPr>
                    <w:pStyle w:val="14"/>
                    <w:bidi w:val="0"/>
                    <w:rPr>
                      <w:rFonts w:hint="default"/>
                      <w:lang w:val="en-US" w:eastAsia="zh-CN"/>
                    </w:rPr>
                  </w:pPr>
                  <w:r>
                    <w:rPr>
                      <w:rFonts w:hint="eastAsia"/>
                      <w:lang w:val="en-US" w:eastAsia="zh-CN"/>
                    </w:rPr>
                    <w:t>51</w:t>
                  </w:r>
                </w:p>
              </w:tc>
              <w:tc>
                <w:tcPr>
                  <w:tcW w:w="938" w:type="dxa"/>
                  <w:vMerge w:val="restart"/>
                  <w:tcBorders>
                    <w:tl2br w:val="nil"/>
                    <w:tr2bl w:val="nil"/>
                  </w:tcBorders>
                  <w:vAlign w:val="center"/>
                </w:tcPr>
                <w:p w14:paraId="6B5D8E67">
                  <w:pPr>
                    <w:pStyle w:val="14"/>
                    <w:bidi w:val="0"/>
                    <w:rPr>
                      <w:rFonts w:hint="eastAsia"/>
                      <w:lang w:val="en-US" w:eastAsia="zh-CN"/>
                    </w:rPr>
                  </w:pPr>
                  <w:r>
                    <w:rPr>
                      <w:rFonts w:hint="eastAsia"/>
                      <w:lang w:val="en-US" w:eastAsia="zh-CN"/>
                    </w:rPr>
                    <w:t>96</w:t>
                  </w:r>
                </w:p>
              </w:tc>
              <w:tc>
                <w:tcPr>
                  <w:tcW w:w="879" w:type="dxa"/>
                  <w:vMerge w:val="restart"/>
                  <w:tcBorders>
                    <w:tl2br w:val="nil"/>
                    <w:tr2bl w:val="nil"/>
                  </w:tcBorders>
                  <w:vAlign w:val="center"/>
                </w:tcPr>
                <w:p w14:paraId="07409504">
                  <w:pPr>
                    <w:pStyle w:val="14"/>
                    <w:bidi w:val="0"/>
                    <w:rPr>
                      <w:rFonts w:hint="default"/>
                      <w:lang w:val="en-US" w:eastAsia="zh-CN"/>
                    </w:rPr>
                  </w:pPr>
                  <w:r>
                    <w:rPr>
                      <w:rFonts w:hint="eastAsia"/>
                      <w:lang w:val="en-US" w:eastAsia="zh-CN"/>
                    </w:rPr>
                    <w:t>1</w:t>
                  </w:r>
                </w:p>
              </w:tc>
              <w:tc>
                <w:tcPr>
                  <w:tcW w:w="963" w:type="dxa"/>
                  <w:tcBorders>
                    <w:tl2br w:val="nil"/>
                    <w:tr2bl w:val="nil"/>
                  </w:tcBorders>
                  <w:vAlign w:val="center"/>
                </w:tcPr>
                <w:p w14:paraId="332D6C3D">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东</w:t>
                  </w:r>
                </w:p>
              </w:tc>
              <w:tc>
                <w:tcPr>
                  <w:tcW w:w="877" w:type="dxa"/>
                  <w:tcBorders>
                    <w:tl2br w:val="nil"/>
                    <w:tr2bl w:val="nil"/>
                  </w:tcBorders>
                  <w:vAlign w:val="center"/>
                </w:tcPr>
                <w:p w14:paraId="01B8963D">
                  <w:pPr>
                    <w:pStyle w:val="14"/>
                    <w:bidi w:val="0"/>
                    <w:rPr>
                      <w:lang w:val="en-US" w:eastAsia="zh-CN"/>
                    </w:rPr>
                  </w:pPr>
                  <w:r>
                    <w:rPr>
                      <w:rFonts w:hint="eastAsia"/>
                      <w:lang w:val="en-US" w:eastAsia="zh-CN"/>
                    </w:rPr>
                    <w:t xml:space="preserve">122 </w:t>
                  </w:r>
                </w:p>
              </w:tc>
              <w:tc>
                <w:tcPr>
                  <w:tcW w:w="953" w:type="dxa"/>
                  <w:vMerge w:val="continue"/>
                  <w:tcBorders>
                    <w:tl2br w:val="nil"/>
                    <w:tr2bl w:val="nil"/>
                  </w:tcBorders>
                  <w:vAlign w:val="center"/>
                </w:tcPr>
                <w:p w14:paraId="29A60670">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153C0A52">
                  <w:pPr>
                    <w:pStyle w:val="14"/>
                    <w:bidi w:val="0"/>
                    <w:rPr>
                      <w:lang w:val="en-US" w:eastAsia="zh-CN"/>
                    </w:rPr>
                  </w:pPr>
                  <w:r>
                    <w:rPr>
                      <w:rFonts w:hint="eastAsia"/>
                      <w:lang w:val="en-US" w:eastAsia="zh-CN"/>
                    </w:rPr>
                    <w:t xml:space="preserve">25.30 </w:t>
                  </w:r>
                </w:p>
              </w:tc>
            </w:tr>
            <w:tr w14:paraId="7BCE7C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51066A45">
                  <w:pPr>
                    <w:adjustRightInd w:val="0"/>
                    <w:snapToGrid w:val="0"/>
                    <w:spacing w:line="240" w:lineRule="auto"/>
                    <w:jc w:val="center"/>
                    <w:rPr>
                      <w:rFonts w:hint="eastAsia" w:cs="Times New Roman"/>
                      <w:color w:val="000000"/>
                      <w:sz w:val="21"/>
                      <w:lang w:val="en-US" w:eastAsia="zh-CN"/>
                    </w:rPr>
                  </w:pPr>
                </w:p>
              </w:tc>
              <w:tc>
                <w:tcPr>
                  <w:tcW w:w="1573" w:type="dxa"/>
                  <w:vMerge w:val="continue"/>
                  <w:tcBorders>
                    <w:tl2br w:val="nil"/>
                    <w:tr2bl w:val="nil"/>
                  </w:tcBorders>
                  <w:vAlign w:val="center"/>
                </w:tcPr>
                <w:p w14:paraId="5E5C4B9B">
                  <w:pPr>
                    <w:adjustRightInd w:val="0"/>
                    <w:snapToGrid w:val="0"/>
                    <w:spacing w:line="240" w:lineRule="auto"/>
                    <w:jc w:val="center"/>
                    <w:rPr>
                      <w:rFonts w:hint="eastAsia" w:ascii="Times New Roman" w:hAnsi="Times New Roman" w:eastAsia="宋体" w:cs="Times New Roman"/>
                      <w:color w:val="000000"/>
                      <w:sz w:val="21"/>
                    </w:rPr>
                  </w:pPr>
                </w:p>
              </w:tc>
              <w:tc>
                <w:tcPr>
                  <w:tcW w:w="2325" w:type="dxa"/>
                  <w:vMerge w:val="continue"/>
                  <w:tcBorders>
                    <w:tl2br w:val="nil"/>
                    <w:tr2bl w:val="nil"/>
                  </w:tcBorders>
                  <w:vAlign w:val="center"/>
                </w:tcPr>
                <w:p w14:paraId="762B91BE">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5B53E54F">
                  <w:pPr>
                    <w:adjustRightInd w:val="0"/>
                    <w:snapToGrid w:val="0"/>
                    <w:spacing w:line="240" w:lineRule="auto"/>
                    <w:jc w:val="center"/>
                    <w:rPr>
                      <w:rFonts w:hint="eastAsia" w:ascii="Times New Roman" w:hAnsi="Times New Roman" w:eastAsia="宋体" w:cs="Times New Roman"/>
                      <w:color w:val="000000"/>
                      <w:sz w:val="21"/>
                    </w:rPr>
                  </w:pPr>
                </w:p>
              </w:tc>
              <w:tc>
                <w:tcPr>
                  <w:tcW w:w="1481" w:type="dxa"/>
                  <w:vMerge w:val="continue"/>
                  <w:tcBorders>
                    <w:tl2br w:val="nil"/>
                    <w:tr2bl w:val="nil"/>
                  </w:tcBorders>
                  <w:vAlign w:val="center"/>
                </w:tcPr>
                <w:p w14:paraId="0270F592">
                  <w:pPr>
                    <w:adjustRightInd w:val="0"/>
                    <w:snapToGrid w:val="0"/>
                    <w:spacing w:line="240" w:lineRule="auto"/>
                    <w:jc w:val="center"/>
                    <w:rPr>
                      <w:rFonts w:hint="eastAsia" w:ascii="Times New Roman" w:hAnsi="Times New Roman" w:eastAsia="宋体" w:cs="Times New Roman"/>
                      <w:color w:val="000000"/>
                      <w:sz w:val="21"/>
                    </w:rPr>
                  </w:pPr>
                </w:p>
              </w:tc>
              <w:tc>
                <w:tcPr>
                  <w:tcW w:w="1065" w:type="dxa"/>
                  <w:vMerge w:val="continue"/>
                  <w:tcBorders>
                    <w:tl2br w:val="nil"/>
                    <w:tr2bl w:val="nil"/>
                  </w:tcBorders>
                  <w:vAlign w:val="center"/>
                </w:tcPr>
                <w:p w14:paraId="20F4E3A3">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3B5C2689">
                  <w:pPr>
                    <w:adjustRightInd w:val="0"/>
                    <w:snapToGrid w:val="0"/>
                    <w:spacing w:line="240" w:lineRule="auto"/>
                    <w:jc w:val="center"/>
                    <w:rPr>
                      <w:rFonts w:ascii="Times New Roman" w:hAnsi="Times New Roman" w:eastAsia="宋体" w:cs="Times New Roman"/>
                      <w:color w:val="000000"/>
                      <w:sz w:val="21"/>
                    </w:rPr>
                  </w:pPr>
                </w:p>
              </w:tc>
              <w:tc>
                <w:tcPr>
                  <w:tcW w:w="938" w:type="dxa"/>
                  <w:vMerge w:val="continue"/>
                  <w:tcBorders>
                    <w:tl2br w:val="nil"/>
                    <w:tr2bl w:val="nil"/>
                  </w:tcBorders>
                  <w:vAlign w:val="center"/>
                </w:tcPr>
                <w:p w14:paraId="51A05A80">
                  <w:pPr>
                    <w:adjustRightInd w:val="0"/>
                    <w:snapToGrid w:val="0"/>
                    <w:spacing w:line="240" w:lineRule="auto"/>
                    <w:jc w:val="center"/>
                    <w:rPr>
                      <w:rFonts w:ascii="Times New Roman" w:hAnsi="Times New Roman" w:eastAsia="宋体" w:cs="Times New Roman"/>
                      <w:color w:val="000000"/>
                      <w:sz w:val="21"/>
                    </w:rPr>
                  </w:pPr>
                </w:p>
              </w:tc>
              <w:tc>
                <w:tcPr>
                  <w:tcW w:w="879" w:type="dxa"/>
                  <w:vMerge w:val="continue"/>
                  <w:tcBorders>
                    <w:tl2br w:val="nil"/>
                    <w:tr2bl w:val="nil"/>
                  </w:tcBorders>
                  <w:vAlign w:val="center"/>
                </w:tcPr>
                <w:p w14:paraId="1CD36AEE">
                  <w:pPr>
                    <w:adjustRightInd w:val="0"/>
                    <w:snapToGrid w:val="0"/>
                    <w:spacing w:line="240" w:lineRule="auto"/>
                    <w:jc w:val="center"/>
                    <w:rPr>
                      <w:rFonts w:ascii="Times New Roman" w:hAnsi="Times New Roman" w:eastAsia="宋体" w:cs="Times New Roman"/>
                      <w:color w:val="000000"/>
                      <w:sz w:val="21"/>
                    </w:rPr>
                  </w:pPr>
                </w:p>
              </w:tc>
              <w:tc>
                <w:tcPr>
                  <w:tcW w:w="963" w:type="dxa"/>
                  <w:tcBorders>
                    <w:tl2br w:val="nil"/>
                    <w:tr2bl w:val="nil"/>
                  </w:tcBorders>
                  <w:vAlign w:val="center"/>
                </w:tcPr>
                <w:p w14:paraId="59DA3B76">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南</w:t>
                  </w:r>
                </w:p>
              </w:tc>
              <w:tc>
                <w:tcPr>
                  <w:tcW w:w="877" w:type="dxa"/>
                  <w:tcBorders>
                    <w:tl2br w:val="nil"/>
                    <w:tr2bl w:val="nil"/>
                  </w:tcBorders>
                  <w:vAlign w:val="center"/>
                </w:tcPr>
                <w:p w14:paraId="7FBA78FE">
                  <w:pPr>
                    <w:pStyle w:val="14"/>
                    <w:bidi w:val="0"/>
                    <w:rPr>
                      <w:lang w:val="en-US" w:eastAsia="zh-CN"/>
                    </w:rPr>
                  </w:pPr>
                  <w:r>
                    <w:rPr>
                      <w:rFonts w:hint="eastAsia"/>
                      <w:lang w:val="en-US" w:eastAsia="zh-CN"/>
                    </w:rPr>
                    <w:t xml:space="preserve">104 </w:t>
                  </w:r>
                </w:p>
              </w:tc>
              <w:tc>
                <w:tcPr>
                  <w:tcW w:w="953" w:type="dxa"/>
                  <w:vMerge w:val="continue"/>
                  <w:tcBorders>
                    <w:tl2br w:val="nil"/>
                    <w:tr2bl w:val="nil"/>
                  </w:tcBorders>
                  <w:vAlign w:val="center"/>
                </w:tcPr>
                <w:p w14:paraId="5DF6F7DE">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33276843">
                  <w:pPr>
                    <w:pStyle w:val="14"/>
                    <w:bidi w:val="0"/>
                    <w:rPr>
                      <w:lang w:val="en-US" w:eastAsia="zh-CN"/>
                    </w:rPr>
                  </w:pPr>
                  <w:r>
                    <w:rPr>
                      <w:rFonts w:hint="eastAsia"/>
                      <w:lang w:val="en-US" w:eastAsia="zh-CN"/>
                    </w:rPr>
                    <w:t xml:space="preserve">26.66 </w:t>
                  </w:r>
                </w:p>
              </w:tc>
            </w:tr>
            <w:tr w14:paraId="227EC8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023AB17E">
                  <w:pPr>
                    <w:adjustRightInd w:val="0"/>
                    <w:snapToGrid w:val="0"/>
                    <w:spacing w:line="240" w:lineRule="auto"/>
                    <w:jc w:val="center"/>
                    <w:rPr>
                      <w:rFonts w:hint="eastAsia" w:cs="Times New Roman"/>
                      <w:color w:val="000000"/>
                      <w:sz w:val="21"/>
                      <w:lang w:val="en-US" w:eastAsia="zh-CN"/>
                    </w:rPr>
                  </w:pPr>
                </w:p>
              </w:tc>
              <w:tc>
                <w:tcPr>
                  <w:tcW w:w="1573" w:type="dxa"/>
                  <w:vMerge w:val="continue"/>
                  <w:tcBorders>
                    <w:tl2br w:val="nil"/>
                    <w:tr2bl w:val="nil"/>
                  </w:tcBorders>
                  <w:vAlign w:val="center"/>
                </w:tcPr>
                <w:p w14:paraId="014EF8D6">
                  <w:pPr>
                    <w:adjustRightInd w:val="0"/>
                    <w:snapToGrid w:val="0"/>
                    <w:spacing w:line="240" w:lineRule="auto"/>
                    <w:jc w:val="center"/>
                    <w:rPr>
                      <w:rFonts w:hint="eastAsia" w:ascii="Times New Roman" w:hAnsi="Times New Roman" w:eastAsia="宋体" w:cs="Times New Roman"/>
                      <w:color w:val="000000"/>
                      <w:sz w:val="21"/>
                    </w:rPr>
                  </w:pPr>
                </w:p>
              </w:tc>
              <w:tc>
                <w:tcPr>
                  <w:tcW w:w="2325" w:type="dxa"/>
                  <w:vMerge w:val="continue"/>
                  <w:tcBorders>
                    <w:tl2br w:val="nil"/>
                    <w:tr2bl w:val="nil"/>
                  </w:tcBorders>
                  <w:vAlign w:val="center"/>
                </w:tcPr>
                <w:p w14:paraId="6B33D576">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0DCE3BB4">
                  <w:pPr>
                    <w:adjustRightInd w:val="0"/>
                    <w:snapToGrid w:val="0"/>
                    <w:spacing w:line="240" w:lineRule="auto"/>
                    <w:jc w:val="center"/>
                    <w:rPr>
                      <w:rFonts w:hint="eastAsia" w:ascii="Times New Roman" w:hAnsi="Times New Roman" w:eastAsia="宋体" w:cs="Times New Roman"/>
                      <w:color w:val="000000"/>
                      <w:sz w:val="21"/>
                    </w:rPr>
                  </w:pPr>
                </w:p>
              </w:tc>
              <w:tc>
                <w:tcPr>
                  <w:tcW w:w="1481" w:type="dxa"/>
                  <w:vMerge w:val="continue"/>
                  <w:tcBorders>
                    <w:tl2br w:val="nil"/>
                    <w:tr2bl w:val="nil"/>
                  </w:tcBorders>
                  <w:vAlign w:val="center"/>
                </w:tcPr>
                <w:p w14:paraId="377784E4">
                  <w:pPr>
                    <w:adjustRightInd w:val="0"/>
                    <w:snapToGrid w:val="0"/>
                    <w:spacing w:line="240" w:lineRule="auto"/>
                    <w:jc w:val="center"/>
                    <w:rPr>
                      <w:rFonts w:hint="eastAsia" w:ascii="Times New Roman" w:hAnsi="Times New Roman" w:eastAsia="宋体" w:cs="Times New Roman"/>
                      <w:color w:val="000000"/>
                      <w:sz w:val="21"/>
                    </w:rPr>
                  </w:pPr>
                </w:p>
              </w:tc>
              <w:tc>
                <w:tcPr>
                  <w:tcW w:w="1065" w:type="dxa"/>
                  <w:vMerge w:val="continue"/>
                  <w:tcBorders>
                    <w:tl2br w:val="nil"/>
                    <w:tr2bl w:val="nil"/>
                  </w:tcBorders>
                  <w:vAlign w:val="center"/>
                </w:tcPr>
                <w:p w14:paraId="0DDA7A5D">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343EEF57">
                  <w:pPr>
                    <w:adjustRightInd w:val="0"/>
                    <w:snapToGrid w:val="0"/>
                    <w:spacing w:line="240" w:lineRule="auto"/>
                    <w:jc w:val="center"/>
                    <w:rPr>
                      <w:rFonts w:ascii="Times New Roman" w:hAnsi="Times New Roman" w:eastAsia="宋体" w:cs="Times New Roman"/>
                      <w:color w:val="000000"/>
                      <w:sz w:val="21"/>
                    </w:rPr>
                  </w:pPr>
                </w:p>
              </w:tc>
              <w:tc>
                <w:tcPr>
                  <w:tcW w:w="938" w:type="dxa"/>
                  <w:vMerge w:val="continue"/>
                  <w:tcBorders>
                    <w:tl2br w:val="nil"/>
                    <w:tr2bl w:val="nil"/>
                  </w:tcBorders>
                  <w:vAlign w:val="center"/>
                </w:tcPr>
                <w:p w14:paraId="7E9CC5E8">
                  <w:pPr>
                    <w:adjustRightInd w:val="0"/>
                    <w:snapToGrid w:val="0"/>
                    <w:spacing w:line="240" w:lineRule="auto"/>
                    <w:jc w:val="center"/>
                    <w:rPr>
                      <w:rFonts w:ascii="Times New Roman" w:hAnsi="Times New Roman" w:eastAsia="宋体" w:cs="Times New Roman"/>
                      <w:color w:val="000000"/>
                      <w:sz w:val="21"/>
                    </w:rPr>
                  </w:pPr>
                </w:p>
              </w:tc>
              <w:tc>
                <w:tcPr>
                  <w:tcW w:w="879" w:type="dxa"/>
                  <w:vMerge w:val="continue"/>
                  <w:tcBorders>
                    <w:tl2br w:val="nil"/>
                    <w:tr2bl w:val="nil"/>
                  </w:tcBorders>
                  <w:vAlign w:val="center"/>
                </w:tcPr>
                <w:p w14:paraId="25B39CA5">
                  <w:pPr>
                    <w:adjustRightInd w:val="0"/>
                    <w:snapToGrid w:val="0"/>
                    <w:spacing w:line="240" w:lineRule="auto"/>
                    <w:jc w:val="center"/>
                    <w:rPr>
                      <w:rFonts w:ascii="Times New Roman" w:hAnsi="Times New Roman" w:eastAsia="宋体" w:cs="Times New Roman"/>
                      <w:color w:val="000000"/>
                      <w:sz w:val="21"/>
                    </w:rPr>
                  </w:pPr>
                </w:p>
              </w:tc>
              <w:tc>
                <w:tcPr>
                  <w:tcW w:w="963" w:type="dxa"/>
                  <w:tcBorders>
                    <w:tl2br w:val="nil"/>
                    <w:tr2bl w:val="nil"/>
                  </w:tcBorders>
                  <w:vAlign w:val="center"/>
                </w:tcPr>
                <w:p w14:paraId="54E0CAFC">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西</w:t>
                  </w:r>
                </w:p>
              </w:tc>
              <w:tc>
                <w:tcPr>
                  <w:tcW w:w="877" w:type="dxa"/>
                  <w:tcBorders>
                    <w:tl2br w:val="nil"/>
                    <w:tr2bl w:val="nil"/>
                  </w:tcBorders>
                  <w:vAlign w:val="center"/>
                </w:tcPr>
                <w:p w14:paraId="5B6AF68F">
                  <w:pPr>
                    <w:pStyle w:val="14"/>
                    <w:bidi w:val="0"/>
                    <w:rPr>
                      <w:lang w:val="en-US" w:eastAsia="zh-CN"/>
                    </w:rPr>
                  </w:pPr>
                  <w:r>
                    <w:rPr>
                      <w:rFonts w:hint="eastAsia"/>
                      <w:lang w:val="en-US" w:eastAsia="zh-CN"/>
                    </w:rPr>
                    <w:t xml:space="preserve">62 </w:t>
                  </w:r>
                </w:p>
              </w:tc>
              <w:tc>
                <w:tcPr>
                  <w:tcW w:w="953" w:type="dxa"/>
                  <w:vMerge w:val="continue"/>
                  <w:tcBorders>
                    <w:tl2br w:val="nil"/>
                    <w:tr2bl w:val="nil"/>
                  </w:tcBorders>
                  <w:vAlign w:val="center"/>
                </w:tcPr>
                <w:p w14:paraId="5463CC2E">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3CB381BD">
                  <w:pPr>
                    <w:pStyle w:val="14"/>
                    <w:bidi w:val="0"/>
                    <w:rPr>
                      <w:lang w:val="en-US" w:eastAsia="zh-CN"/>
                    </w:rPr>
                  </w:pPr>
                  <w:r>
                    <w:rPr>
                      <w:rFonts w:hint="eastAsia"/>
                      <w:lang w:val="en-US" w:eastAsia="zh-CN"/>
                    </w:rPr>
                    <w:t xml:space="preserve">31.21 </w:t>
                  </w:r>
                </w:p>
              </w:tc>
            </w:tr>
            <w:tr w14:paraId="6021C6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 w:hRule="atLeast"/>
                <w:jc w:val="center"/>
              </w:trPr>
              <w:tc>
                <w:tcPr>
                  <w:tcW w:w="579" w:type="dxa"/>
                  <w:vMerge w:val="continue"/>
                  <w:tcBorders>
                    <w:tl2br w:val="nil"/>
                    <w:tr2bl w:val="nil"/>
                  </w:tcBorders>
                  <w:vAlign w:val="center"/>
                </w:tcPr>
                <w:p w14:paraId="32281ED2">
                  <w:pPr>
                    <w:adjustRightInd w:val="0"/>
                    <w:snapToGrid w:val="0"/>
                    <w:spacing w:line="240" w:lineRule="auto"/>
                    <w:jc w:val="center"/>
                    <w:rPr>
                      <w:rFonts w:hint="eastAsia" w:cs="Times New Roman"/>
                      <w:color w:val="000000"/>
                      <w:sz w:val="21"/>
                      <w:lang w:val="en-US" w:eastAsia="zh-CN"/>
                    </w:rPr>
                  </w:pPr>
                </w:p>
              </w:tc>
              <w:tc>
                <w:tcPr>
                  <w:tcW w:w="1573" w:type="dxa"/>
                  <w:vMerge w:val="continue"/>
                  <w:tcBorders>
                    <w:tl2br w:val="nil"/>
                    <w:tr2bl w:val="nil"/>
                  </w:tcBorders>
                  <w:vAlign w:val="center"/>
                </w:tcPr>
                <w:p w14:paraId="1CDEAE74">
                  <w:pPr>
                    <w:adjustRightInd w:val="0"/>
                    <w:snapToGrid w:val="0"/>
                    <w:spacing w:line="240" w:lineRule="auto"/>
                    <w:jc w:val="center"/>
                    <w:rPr>
                      <w:rFonts w:hint="eastAsia" w:ascii="Times New Roman" w:hAnsi="Times New Roman" w:eastAsia="宋体" w:cs="Times New Roman"/>
                      <w:color w:val="000000"/>
                      <w:sz w:val="21"/>
                    </w:rPr>
                  </w:pPr>
                </w:p>
              </w:tc>
              <w:tc>
                <w:tcPr>
                  <w:tcW w:w="2325" w:type="dxa"/>
                  <w:vMerge w:val="continue"/>
                  <w:tcBorders>
                    <w:tl2br w:val="nil"/>
                    <w:tr2bl w:val="nil"/>
                  </w:tcBorders>
                  <w:vAlign w:val="center"/>
                </w:tcPr>
                <w:p w14:paraId="2C0B2E93">
                  <w:pPr>
                    <w:adjustRightInd w:val="0"/>
                    <w:snapToGrid w:val="0"/>
                    <w:spacing w:line="240" w:lineRule="auto"/>
                    <w:jc w:val="center"/>
                    <w:rPr>
                      <w:rFonts w:ascii="Times New Roman" w:hAnsi="Times New Roman" w:eastAsia="宋体" w:cs="Times New Roman"/>
                      <w:color w:val="000000"/>
                      <w:sz w:val="21"/>
                    </w:rPr>
                  </w:pPr>
                </w:p>
              </w:tc>
              <w:tc>
                <w:tcPr>
                  <w:tcW w:w="1129" w:type="dxa"/>
                  <w:vMerge w:val="continue"/>
                  <w:tcBorders>
                    <w:tl2br w:val="nil"/>
                    <w:tr2bl w:val="nil"/>
                  </w:tcBorders>
                  <w:vAlign w:val="center"/>
                </w:tcPr>
                <w:p w14:paraId="567C395A">
                  <w:pPr>
                    <w:adjustRightInd w:val="0"/>
                    <w:snapToGrid w:val="0"/>
                    <w:spacing w:line="240" w:lineRule="auto"/>
                    <w:jc w:val="center"/>
                    <w:rPr>
                      <w:rFonts w:hint="eastAsia" w:ascii="Times New Roman" w:hAnsi="Times New Roman" w:eastAsia="宋体" w:cs="Times New Roman"/>
                      <w:color w:val="000000"/>
                      <w:sz w:val="21"/>
                    </w:rPr>
                  </w:pPr>
                </w:p>
              </w:tc>
              <w:tc>
                <w:tcPr>
                  <w:tcW w:w="1481" w:type="dxa"/>
                  <w:vMerge w:val="continue"/>
                  <w:tcBorders>
                    <w:tl2br w:val="nil"/>
                    <w:tr2bl w:val="nil"/>
                  </w:tcBorders>
                  <w:vAlign w:val="center"/>
                </w:tcPr>
                <w:p w14:paraId="23C6F2D0">
                  <w:pPr>
                    <w:adjustRightInd w:val="0"/>
                    <w:snapToGrid w:val="0"/>
                    <w:spacing w:line="240" w:lineRule="auto"/>
                    <w:jc w:val="center"/>
                    <w:rPr>
                      <w:rFonts w:hint="eastAsia" w:ascii="Times New Roman" w:hAnsi="Times New Roman" w:eastAsia="宋体" w:cs="Times New Roman"/>
                      <w:color w:val="000000"/>
                      <w:sz w:val="21"/>
                    </w:rPr>
                  </w:pPr>
                </w:p>
              </w:tc>
              <w:tc>
                <w:tcPr>
                  <w:tcW w:w="1065" w:type="dxa"/>
                  <w:vMerge w:val="continue"/>
                  <w:tcBorders>
                    <w:tl2br w:val="nil"/>
                    <w:tr2bl w:val="nil"/>
                  </w:tcBorders>
                  <w:vAlign w:val="center"/>
                </w:tcPr>
                <w:p w14:paraId="30358AA7">
                  <w:pPr>
                    <w:adjustRightInd w:val="0"/>
                    <w:snapToGrid w:val="0"/>
                    <w:spacing w:line="240" w:lineRule="auto"/>
                    <w:jc w:val="center"/>
                    <w:rPr>
                      <w:rFonts w:ascii="Times New Roman" w:hAnsi="Times New Roman" w:eastAsia="宋体" w:cs="Times New Roman"/>
                      <w:color w:val="000000"/>
                      <w:sz w:val="21"/>
                    </w:rPr>
                  </w:pPr>
                </w:p>
              </w:tc>
              <w:tc>
                <w:tcPr>
                  <w:tcW w:w="891" w:type="dxa"/>
                  <w:vMerge w:val="continue"/>
                  <w:tcBorders>
                    <w:tl2br w:val="nil"/>
                    <w:tr2bl w:val="nil"/>
                  </w:tcBorders>
                  <w:vAlign w:val="center"/>
                </w:tcPr>
                <w:p w14:paraId="73C66001">
                  <w:pPr>
                    <w:adjustRightInd w:val="0"/>
                    <w:snapToGrid w:val="0"/>
                    <w:spacing w:line="240" w:lineRule="auto"/>
                    <w:jc w:val="center"/>
                    <w:rPr>
                      <w:rFonts w:ascii="Times New Roman" w:hAnsi="Times New Roman" w:eastAsia="宋体" w:cs="Times New Roman"/>
                      <w:color w:val="000000"/>
                      <w:sz w:val="21"/>
                    </w:rPr>
                  </w:pPr>
                </w:p>
              </w:tc>
              <w:tc>
                <w:tcPr>
                  <w:tcW w:w="938" w:type="dxa"/>
                  <w:vMerge w:val="continue"/>
                  <w:tcBorders>
                    <w:tl2br w:val="nil"/>
                    <w:tr2bl w:val="nil"/>
                  </w:tcBorders>
                  <w:vAlign w:val="center"/>
                </w:tcPr>
                <w:p w14:paraId="44B7C82B">
                  <w:pPr>
                    <w:adjustRightInd w:val="0"/>
                    <w:snapToGrid w:val="0"/>
                    <w:spacing w:line="240" w:lineRule="auto"/>
                    <w:jc w:val="center"/>
                    <w:rPr>
                      <w:rFonts w:ascii="Times New Roman" w:hAnsi="Times New Roman" w:eastAsia="宋体" w:cs="Times New Roman"/>
                      <w:color w:val="000000"/>
                      <w:sz w:val="21"/>
                    </w:rPr>
                  </w:pPr>
                </w:p>
              </w:tc>
              <w:tc>
                <w:tcPr>
                  <w:tcW w:w="879" w:type="dxa"/>
                  <w:vMerge w:val="continue"/>
                  <w:tcBorders>
                    <w:tl2br w:val="nil"/>
                    <w:tr2bl w:val="nil"/>
                  </w:tcBorders>
                  <w:vAlign w:val="center"/>
                </w:tcPr>
                <w:p w14:paraId="63A73738">
                  <w:pPr>
                    <w:adjustRightInd w:val="0"/>
                    <w:snapToGrid w:val="0"/>
                    <w:spacing w:line="240" w:lineRule="auto"/>
                    <w:jc w:val="center"/>
                    <w:rPr>
                      <w:rFonts w:ascii="Times New Roman" w:hAnsi="Times New Roman" w:eastAsia="宋体" w:cs="Times New Roman"/>
                      <w:color w:val="000000"/>
                      <w:sz w:val="21"/>
                    </w:rPr>
                  </w:pPr>
                </w:p>
              </w:tc>
              <w:tc>
                <w:tcPr>
                  <w:tcW w:w="963" w:type="dxa"/>
                  <w:tcBorders>
                    <w:tl2br w:val="nil"/>
                    <w:tr2bl w:val="nil"/>
                  </w:tcBorders>
                  <w:vAlign w:val="center"/>
                </w:tcPr>
                <w:p w14:paraId="0993745A">
                  <w:pPr>
                    <w:adjustRightInd w:val="0"/>
                    <w:snapToGrid w:val="0"/>
                    <w:spacing w:line="240" w:lineRule="auto"/>
                    <w:jc w:val="center"/>
                    <w:rPr>
                      <w:rFonts w:ascii="Times New Roman" w:hAnsi="Times New Roman" w:eastAsia="宋体" w:cs="Times New Roman"/>
                      <w:color w:val="000000"/>
                      <w:sz w:val="21"/>
                    </w:rPr>
                  </w:pPr>
                  <w:r>
                    <w:rPr>
                      <w:rFonts w:ascii="Times New Roman" w:hAnsi="Times New Roman" w:eastAsia="宋体" w:cs="Times New Roman"/>
                      <w:color w:val="000000"/>
                      <w:sz w:val="21"/>
                    </w:rPr>
                    <w:t>北</w:t>
                  </w:r>
                </w:p>
              </w:tc>
              <w:tc>
                <w:tcPr>
                  <w:tcW w:w="877" w:type="dxa"/>
                  <w:tcBorders>
                    <w:tl2br w:val="nil"/>
                    <w:tr2bl w:val="nil"/>
                  </w:tcBorders>
                  <w:vAlign w:val="center"/>
                </w:tcPr>
                <w:p w14:paraId="7C68A604">
                  <w:pPr>
                    <w:pStyle w:val="14"/>
                    <w:bidi w:val="0"/>
                    <w:rPr>
                      <w:lang w:val="en-US" w:eastAsia="zh-CN"/>
                    </w:rPr>
                  </w:pPr>
                  <w:r>
                    <w:rPr>
                      <w:rFonts w:hint="eastAsia"/>
                      <w:lang w:val="en-US" w:eastAsia="zh-CN"/>
                    </w:rPr>
                    <w:t xml:space="preserve">44 </w:t>
                  </w:r>
                </w:p>
              </w:tc>
              <w:tc>
                <w:tcPr>
                  <w:tcW w:w="953" w:type="dxa"/>
                  <w:vMerge w:val="continue"/>
                  <w:tcBorders>
                    <w:tl2br w:val="nil"/>
                    <w:tr2bl w:val="nil"/>
                  </w:tcBorders>
                  <w:vAlign w:val="center"/>
                </w:tcPr>
                <w:p w14:paraId="087F5AD1">
                  <w:pPr>
                    <w:adjustRightInd w:val="0"/>
                    <w:snapToGrid w:val="0"/>
                    <w:spacing w:line="240" w:lineRule="auto"/>
                    <w:jc w:val="center"/>
                    <w:rPr>
                      <w:rFonts w:ascii="Times New Roman" w:hAnsi="Times New Roman" w:eastAsia="宋体" w:cs="Times New Roman"/>
                      <w:color w:val="000000"/>
                      <w:sz w:val="21"/>
                    </w:rPr>
                  </w:pPr>
                </w:p>
              </w:tc>
              <w:tc>
                <w:tcPr>
                  <w:tcW w:w="1381" w:type="dxa"/>
                  <w:tcBorders>
                    <w:tl2br w:val="nil"/>
                    <w:tr2bl w:val="nil"/>
                  </w:tcBorders>
                  <w:vAlign w:val="center"/>
                </w:tcPr>
                <w:p w14:paraId="586A9677">
                  <w:pPr>
                    <w:pStyle w:val="14"/>
                    <w:bidi w:val="0"/>
                    <w:rPr>
                      <w:lang w:val="en-US" w:eastAsia="zh-CN"/>
                    </w:rPr>
                  </w:pPr>
                  <w:r>
                    <w:rPr>
                      <w:rFonts w:hint="eastAsia"/>
                      <w:lang w:val="en-US" w:eastAsia="zh-CN"/>
                    </w:rPr>
                    <w:t xml:space="preserve">34.16 </w:t>
                  </w:r>
                </w:p>
              </w:tc>
            </w:tr>
            <w:tr w14:paraId="0F126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8" w:hRule="atLeast"/>
                <w:jc w:val="center"/>
              </w:trPr>
              <w:tc>
                <w:tcPr>
                  <w:tcW w:w="15034" w:type="dxa"/>
                  <w:gridSpan w:val="13"/>
                  <w:tcBorders>
                    <w:tl2br w:val="nil"/>
                    <w:tr2bl w:val="nil"/>
                  </w:tcBorders>
                  <w:vAlign w:val="center"/>
                </w:tcPr>
                <w:p w14:paraId="7C8700B8">
                  <w:pPr>
                    <w:adjustRightInd w:val="0"/>
                    <w:snapToGrid w:val="0"/>
                    <w:spacing w:line="240" w:lineRule="auto"/>
                    <w:jc w:val="center"/>
                    <w:rPr>
                      <w:rFonts w:ascii="Times New Roman" w:hAnsi="Times New Roman" w:eastAsia="宋体" w:cs="Times New Roman"/>
                      <w:color w:val="000000"/>
                      <w:sz w:val="21"/>
                    </w:rPr>
                  </w:pPr>
                  <w:r>
                    <w:rPr>
                      <w:rFonts w:hint="eastAsia" w:ascii="Times New Roman" w:hAnsi="Times New Roman" w:eastAsia="宋体" w:cs="Times New Roman"/>
                      <w:color w:val="000000"/>
                      <w:sz w:val="21"/>
                    </w:rPr>
                    <w:t>注：选取项目</w:t>
                  </w:r>
                  <w:r>
                    <w:rPr>
                      <w:rFonts w:hint="eastAsia" w:cs="Times New Roman"/>
                      <w:color w:val="000000"/>
                      <w:sz w:val="21"/>
                      <w:lang w:eastAsia="zh-CN"/>
                    </w:rPr>
                    <w:t>西南角</w:t>
                  </w:r>
                  <w:r>
                    <w:rPr>
                      <w:rFonts w:hint="eastAsia" w:ascii="Times New Roman" w:hAnsi="Times New Roman" w:eastAsia="宋体" w:cs="Times New Roman"/>
                      <w:color w:val="000000"/>
                      <w:sz w:val="21"/>
                    </w:rPr>
                    <w:t>为坐标原点（0，0，0），XYZ为设备相对原点位置。</w:t>
                  </w:r>
                </w:p>
              </w:tc>
            </w:tr>
          </w:tbl>
          <w:p w14:paraId="791D5E3E">
            <w:pPr>
              <w:autoSpaceDE w:val="0"/>
              <w:autoSpaceDN w:val="0"/>
              <w:adjustRightInd w:val="0"/>
              <w:snapToGrid w:val="0"/>
              <w:spacing w:line="240" w:lineRule="auto"/>
              <w:jc w:val="center"/>
              <w:textAlignment w:val="baseline"/>
              <w:rPr>
                <w:rFonts w:ascii="Times New Roman" w:hAnsi="Times New Roman" w:eastAsia="宋体" w:cs="Times New Roman"/>
                <w:b/>
                <w:kern w:val="24"/>
                <w:szCs w:val="20"/>
              </w:rPr>
            </w:pPr>
          </w:p>
          <w:p w14:paraId="3AE8D2ED">
            <w:pPr>
              <w:adjustRightInd/>
              <w:snapToGrid/>
              <w:ind w:firstLine="482" w:firstLineChars="200"/>
              <w:rPr>
                <w:rFonts w:ascii="Times New Roman" w:hAnsi="Times New Roman" w:eastAsia="宋体" w:cs="Times New Roman"/>
                <w:b/>
                <w:bCs/>
              </w:rPr>
            </w:pPr>
            <w:r>
              <w:rPr>
                <w:rFonts w:hint="eastAsia" w:ascii="Times New Roman" w:hAnsi="Times New Roman" w:eastAsia="宋体" w:cs="Times New Roman"/>
                <w:b/>
                <w:bCs/>
              </w:rPr>
              <w:t>2、声环境影响预测</w:t>
            </w:r>
          </w:p>
          <w:p w14:paraId="6D728D5A">
            <w:pPr>
              <w:adjustRightInd w:val="0"/>
              <w:snapToGrid w:val="0"/>
              <w:ind w:firstLine="482" w:firstLineChars="200"/>
              <w:rPr>
                <w:rFonts w:ascii="Times New Roman" w:hAnsi="Times New Roman" w:eastAsia="宋体" w:cs="Times New Roman"/>
                <w:szCs w:val="20"/>
              </w:rPr>
            </w:pPr>
            <w:r>
              <w:rPr>
                <w:rFonts w:hint="eastAsia" w:ascii="Times New Roman" w:hAnsi="Times New Roman" w:eastAsia="宋体" w:cs="Times New Roman"/>
                <w:b/>
                <w:bCs/>
                <w:szCs w:val="20"/>
              </w:rPr>
              <w:t>①评价范围</w:t>
            </w:r>
          </w:p>
          <w:p w14:paraId="20A256B7">
            <w:pPr>
              <w:adjustRightInd w:val="0"/>
              <w:snapToGrid w:val="0"/>
              <w:ind w:firstLine="480" w:firstLineChars="200"/>
              <w:rPr>
                <w:rFonts w:hint="eastAsia"/>
                <w:lang w:eastAsia="zh-CN"/>
              </w:rPr>
            </w:pPr>
            <w:r>
              <w:rPr>
                <w:rFonts w:hint="eastAsia" w:ascii="Times New Roman" w:hAnsi="Times New Roman" w:eastAsia="宋体" w:cs="Times New Roman"/>
                <w:color w:val="000000"/>
                <w:szCs w:val="20"/>
              </w:rPr>
              <w:t>本项目是以固定声源为主的建设项目，根据《建设项目环境影响报告表编制技术指南（污染影响类）（试行）》（环办环评〔2020〕33号），“2.声环境。明确厂界外50米范围内声环境保护目标”。本项目厂界外</w:t>
            </w:r>
            <w:r>
              <w:rPr>
                <w:rFonts w:hint="eastAsia" w:cs="Times New Roman"/>
                <w:color w:val="000000"/>
                <w:szCs w:val="20"/>
                <w:lang w:val="en-US" w:eastAsia="zh-CN"/>
              </w:rPr>
              <w:t>50</w:t>
            </w:r>
            <w:r>
              <w:rPr>
                <w:rFonts w:hint="eastAsia" w:ascii="Times New Roman" w:hAnsi="Times New Roman" w:eastAsia="宋体" w:cs="Times New Roman"/>
                <w:color w:val="000000"/>
                <w:szCs w:val="20"/>
              </w:rPr>
              <w:t>m</w:t>
            </w:r>
            <w:r>
              <w:rPr>
                <w:rFonts w:hint="eastAsia" w:cs="Times New Roman"/>
                <w:color w:val="000000"/>
                <w:szCs w:val="20"/>
                <w:lang w:eastAsia="zh-CN"/>
              </w:rPr>
              <w:t>范围内无声环境敏感目标</w:t>
            </w:r>
            <w:r>
              <w:rPr>
                <w:rFonts w:hint="eastAsia" w:ascii="Times New Roman" w:hAnsi="Times New Roman" w:eastAsia="宋体" w:cs="Times New Roman"/>
                <w:color w:val="000000"/>
                <w:szCs w:val="20"/>
              </w:rPr>
              <w:t>（详见附</w:t>
            </w:r>
            <w:r>
              <w:rPr>
                <w:rFonts w:hint="eastAsia" w:ascii="Times New Roman" w:hAnsi="Times New Roman" w:eastAsia="宋体" w:cs="Times New Roman"/>
                <w:color w:val="000000" w:themeColor="text1"/>
                <w:szCs w:val="20"/>
                <w14:textFill>
                  <w14:solidFill>
                    <w14:schemeClr w14:val="tx1"/>
                  </w14:solidFill>
                </w14:textFill>
              </w:rPr>
              <w:t>图</w:t>
            </w:r>
            <w:r>
              <w:rPr>
                <w:rFonts w:hint="eastAsia" w:cs="Times New Roman"/>
                <w:color w:val="000000" w:themeColor="text1"/>
                <w:szCs w:val="20"/>
                <w:lang w:val="en-US" w:eastAsia="zh-CN"/>
                <w14:textFill>
                  <w14:solidFill>
                    <w14:schemeClr w14:val="tx1"/>
                  </w14:solidFill>
                </w14:textFill>
              </w:rPr>
              <w:t>5</w:t>
            </w:r>
            <w:r>
              <w:rPr>
                <w:rFonts w:hint="eastAsia" w:ascii="Times New Roman" w:hAnsi="Times New Roman" w:eastAsia="宋体" w:cs="Times New Roman"/>
                <w:color w:val="000000"/>
                <w:szCs w:val="20"/>
              </w:rPr>
              <w:t>）</w:t>
            </w:r>
            <w:r>
              <w:rPr>
                <w:rFonts w:hint="eastAsia" w:cs="Times New Roman"/>
                <w:color w:val="000000"/>
                <w:szCs w:val="20"/>
                <w:lang w:eastAsia="zh-CN"/>
              </w:rPr>
              <w:t>，</w:t>
            </w:r>
            <w:r>
              <w:rPr>
                <w:rFonts w:hint="eastAsia" w:ascii="Times New Roman" w:hAnsi="Times New Roman" w:eastAsia="宋体" w:cs="Times New Roman"/>
                <w:color w:val="000000"/>
                <w:szCs w:val="20"/>
              </w:rPr>
              <w:t>本项目声环境预测范围选取厂界外50m范围内。项目声环境影响评价范围图详见附图4。</w:t>
            </w:r>
          </w:p>
          <w:p w14:paraId="07D1D158">
            <w:pPr>
              <w:ind w:firstLine="480" w:firstLineChars="200"/>
            </w:pPr>
          </w:p>
        </w:tc>
      </w:tr>
    </w:tbl>
    <w:p w14:paraId="28C7038B">
      <w:pPr>
        <w:tabs>
          <w:tab w:val="left" w:pos="649"/>
        </w:tabs>
        <w:adjustRightInd w:val="0"/>
        <w:snapToGrid w:val="0"/>
        <w:rPr>
          <w:rFonts w:cs="宋体"/>
        </w:rPr>
        <w:sectPr>
          <w:pgSz w:w="16840" w:h="11907" w:orient="landscape"/>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102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5"/>
        <w:gridCol w:w="9730"/>
      </w:tblGrid>
      <w:tr w14:paraId="553C5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565" w:type="dxa"/>
            <w:vAlign w:val="center"/>
          </w:tcPr>
          <w:p w14:paraId="5C98F3F5">
            <w:pPr>
              <w:adjustRightInd w:val="0"/>
              <w:snapToGrid w:val="0"/>
              <w:jc w:val="center"/>
              <w:rPr>
                <w:rFonts w:ascii="宋体" w:hAnsi="宋体" w:cs="宋体"/>
                <w:kern w:val="0"/>
                <w:szCs w:val="21"/>
              </w:rPr>
            </w:pPr>
          </w:p>
        </w:tc>
        <w:tc>
          <w:tcPr>
            <w:tcW w:w="9730" w:type="dxa"/>
            <w:vAlign w:val="center"/>
          </w:tcPr>
          <w:p w14:paraId="32FA94E1">
            <w:pPr>
              <w:ind w:firstLine="482" w:firstLineChars="200"/>
              <w:rPr>
                <w:b/>
                <w:bCs/>
              </w:rPr>
            </w:pPr>
            <w:r>
              <w:rPr>
                <w:rFonts w:hint="eastAsia"/>
                <w:b/>
                <w:bCs/>
              </w:rPr>
              <w:t>2、声环境影响预测</w:t>
            </w:r>
          </w:p>
          <w:p w14:paraId="025F5118">
            <w:pPr>
              <w:adjustRightInd w:val="0"/>
              <w:snapToGrid w:val="0"/>
              <w:ind w:firstLine="482" w:firstLineChars="200"/>
              <w:rPr>
                <w:szCs w:val="20"/>
              </w:rPr>
            </w:pPr>
            <w:r>
              <w:rPr>
                <w:rFonts w:hint="eastAsia"/>
                <w:b/>
                <w:bCs/>
                <w:szCs w:val="20"/>
              </w:rPr>
              <w:t>①评价范围</w:t>
            </w:r>
          </w:p>
          <w:p w14:paraId="670E72AA">
            <w:pPr>
              <w:adjustRightInd w:val="0"/>
              <w:snapToGrid w:val="0"/>
              <w:ind w:firstLine="480" w:firstLineChars="200"/>
              <w:rPr>
                <w:szCs w:val="20"/>
              </w:rPr>
            </w:pPr>
            <w:r>
              <w:rPr>
                <w:rFonts w:hint="eastAsia"/>
                <w:szCs w:val="20"/>
              </w:rPr>
              <w:t>本项目是以固定声源为主的建设项目，根据《建设项目环境影响报告表编制技术指南（污染影响类）（试行）》（环办环评〔2020〕33号），“2.声环境。明确厂界外50米范围内声环境保护目标。”。</w:t>
            </w:r>
            <w:r>
              <w:rPr>
                <w:rFonts w:hint="eastAsia"/>
                <w:color w:val="000000" w:themeColor="text1"/>
                <w:szCs w:val="20"/>
                <w14:textFill>
                  <w14:solidFill>
                    <w14:schemeClr w14:val="tx1"/>
                  </w14:solidFill>
                </w14:textFill>
              </w:rPr>
              <w:t>本项目厂界外北面</w:t>
            </w:r>
            <w:r>
              <w:rPr>
                <w:rFonts w:hint="eastAsia"/>
                <w:color w:val="000000" w:themeColor="text1"/>
                <w:szCs w:val="20"/>
                <w:lang w:val="en-US" w:eastAsia="zh-CN"/>
                <w14:textFill>
                  <w14:solidFill>
                    <w14:schemeClr w14:val="tx1"/>
                  </w14:solidFill>
                </w14:textFill>
              </w:rPr>
              <w:t>430</w:t>
            </w:r>
            <w:r>
              <w:rPr>
                <w:rFonts w:hint="eastAsia"/>
                <w:color w:val="000000" w:themeColor="text1"/>
                <w:szCs w:val="20"/>
                <w14:textFill>
                  <w14:solidFill>
                    <w14:schemeClr w14:val="tx1"/>
                  </w14:solidFill>
                </w14:textFill>
              </w:rPr>
              <w:t>m外为</w:t>
            </w:r>
            <w:r>
              <w:rPr>
                <w:rFonts w:hint="eastAsia"/>
                <w:color w:val="000000" w:themeColor="text1"/>
                <w:szCs w:val="20"/>
                <w:lang w:eastAsia="zh-CN"/>
                <w14:textFill>
                  <w14:solidFill>
                    <w14:schemeClr w14:val="tx1"/>
                  </w14:solidFill>
                </w14:textFill>
              </w:rPr>
              <w:t>道城洞</w:t>
            </w:r>
            <w:r>
              <w:rPr>
                <w:rFonts w:hint="eastAsia"/>
                <w:color w:val="000000" w:themeColor="text1"/>
                <w:szCs w:val="20"/>
                <w14:textFill>
                  <w14:solidFill>
                    <w14:schemeClr w14:val="tx1"/>
                  </w14:solidFill>
                </w14:textFill>
              </w:rPr>
              <w:t>（详见附图</w:t>
            </w:r>
            <w:r>
              <w:rPr>
                <w:rFonts w:hint="eastAsia"/>
                <w:color w:val="000000" w:themeColor="text1"/>
                <w:szCs w:val="20"/>
                <w:lang w:val="en-US" w:eastAsia="zh-CN"/>
                <w14:textFill>
                  <w14:solidFill>
                    <w14:schemeClr w14:val="tx1"/>
                  </w14:solidFill>
                </w14:textFill>
              </w:rPr>
              <w:t>5</w:t>
            </w:r>
            <w:r>
              <w:rPr>
                <w:rFonts w:hint="eastAsia"/>
                <w:color w:val="000000" w:themeColor="text1"/>
                <w:szCs w:val="20"/>
                <w14:textFill>
                  <w14:solidFill>
                    <w14:schemeClr w14:val="tx1"/>
                  </w14:solidFill>
                </w14:textFill>
              </w:rPr>
              <w:t>）</w:t>
            </w:r>
            <w:r>
              <w:rPr>
                <w:rFonts w:hint="eastAsia"/>
                <w:szCs w:val="20"/>
              </w:rPr>
              <w:t>，本项目声环境预测范围选取厂界外50m范围内。项目声环境影响评价范围图详见附图4。</w:t>
            </w:r>
          </w:p>
          <w:p w14:paraId="667806F6">
            <w:pPr>
              <w:adjustRightInd w:val="0"/>
              <w:snapToGrid w:val="0"/>
              <w:ind w:firstLine="482" w:firstLineChars="200"/>
              <w:rPr>
                <w:b/>
                <w:bCs/>
              </w:rPr>
            </w:pPr>
            <w:r>
              <w:rPr>
                <w:rFonts w:hint="eastAsia"/>
                <w:b/>
                <w:bCs/>
              </w:rPr>
              <w:t>②</w:t>
            </w:r>
            <w:r>
              <w:rPr>
                <w:b/>
                <w:bCs/>
              </w:rPr>
              <w:t>评价标准</w:t>
            </w:r>
          </w:p>
          <w:p w14:paraId="4F26A478">
            <w:pPr>
              <w:adjustRightInd w:val="0"/>
              <w:snapToGrid w:val="0"/>
              <w:ind w:firstLine="480" w:firstLineChars="200"/>
              <w:rPr>
                <w:szCs w:val="20"/>
              </w:rPr>
            </w:pPr>
            <w:r>
              <w:rPr>
                <w:rFonts w:hint="eastAsia"/>
                <w:color w:val="000000" w:themeColor="text1"/>
                <w14:textFill>
                  <w14:solidFill>
                    <w14:schemeClr w14:val="tx1"/>
                  </w14:solidFill>
                </w14:textFill>
              </w:rPr>
              <w:t>项目东面为山林地，南面隔现状空地为青州大道，西面和北面现状为空地，最近环境敏感点为北面430米处道城洞</w:t>
            </w:r>
            <w:r>
              <w:rPr>
                <w:rFonts w:hint="eastAsia"/>
                <w:color w:val="000000" w:themeColor="text1"/>
                <w:lang w:eastAsia="zh-CN"/>
                <w14:textFill>
                  <w14:solidFill>
                    <w14:schemeClr w14:val="tx1"/>
                  </w14:solidFill>
                </w14:textFill>
              </w:rPr>
              <w:t>。</w:t>
            </w:r>
            <w:r>
              <w:rPr>
                <w:rFonts w:hint="eastAsia"/>
              </w:rPr>
              <w:t>综上所述，本项目运营期厂界噪声排放执行《声环境质量标准》（GB3096-2008）</w:t>
            </w:r>
            <w:r>
              <w:rPr>
                <w:rFonts w:hint="eastAsia"/>
                <w:color w:val="000000" w:themeColor="text1"/>
                <w14:textFill>
                  <w14:solidFill>
                    <w14:schemeClr w14:val="tx1"/>
                  </w14:solidFill>
                </w14:textFill>
              </w:rPr>
              <w:t>3类</w:t>
            </w:r>
            <w:r>
              <w:rPr>
                <w:rFonts w:hint="eastAsia"/>
              </w:rPr>
              <w:t>标准[昼间≤65dB（A）</w:t>
            </w:r>
            <w:r>
              <w:rPr>
                <w:rFonts w:hint="eastAsia"/>
                <w:lang w:eastAsia="zh-CN"/>
              </w:rPr>
              <w:t>、夜间≤</w:t>
            </w:r>
            <w:r>
              <w:rPr>
                <w:rFonts w:hint="eastAsia"/>
                <w:lang w:val="en-US" w:eastAsia="zh-CN"/>
              </w:rPr>
              <w:t>55dB（A）</w:t>
            </w:r>
            <w:r>
              <w:rPr>
                <w:rFonts w:hint="eastAsia"/>
              </w:rPr>
              <w:t>]。</w:t>
            </w:r>
          </w:p>
          <w:p w14:paraId="16AD78D3">
            <w:pPr>
              <w:adjustRightInd w:val="0"/>
              <w:snapToGrid w:val="0"/>
              <w:ind w:firstLine="482" w:firstLineChars="200"/>
            </w:pPr>
            <w:r>
              <w:rPr>
                <w:rFonts w:hint="eastAsia"/>
                <w:b/>
                <w:bCs/>
              </w:rPr>
              <w:t>3、预测结果分析</w:t>
            </w:r>
          </w:p>
          <w:p w14:paraId="185913CF">
            <w:pPr>
              <w:adjustRightInd w:val="0"/>
              <w:snapToGrid w:val="0"/>
              <w:ind w:firstLine="482" w:firstLineChars="200"/>
              <w:rPr>
                <w:b/>
                <w:bCs/>
              </w:rPr>
            </w:pPr>
            <w:r>
              <w:rPr>
                <w:rFonts w:hint="eastAsia"/>
                <w:b/>
                <w:bCs/>
              </w:rPr>
              <w:t>①噪声源及源强</w:t>
            </w:r>
          </w:p>
          <w:p w14:paraId="79EF587D">
            <w:pPr>
              <w:adjustRightInd w:val="0"/>
              <w:snapToGrid w:val="0"/>
              <w:ind w:firstLine="480" w:firstLineChars="200"/>
            </w:pPr>
            <w:r>
              <w:rPr>
                <w:rFonts w:hint="eastAsia"/>
              </w:rPr>
              <w:t>本项目噪声主要来源于固定源，主要为吸氨器、工艺水泵、尾气吸收塔、吸收循环泵、凉水塔、软水器和纯水泵等设备噪声，详见</w:t>
            </w:r>
            <w:r>
              <w:rPr>
                <w:rFonts w:hint="eastAsia"/>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19</w:t>
            </w:r>
            <w:r>
              <w:rPr>
                <w:rFonts w:hint="eastAsia"/>
              </w:rPr>
              <w:t>。</w:t>
            </w:r>
          </w:p>
          <w:p w14:paraId="3632E00D">
            <w:pPr>
              <w:adjustRightInd w:val="0"/>
              <w:snapToGrid w:val="0"/>
              <w:ind w:firstLine="482" w:firstLineChars="200"/>
              <w:rPr>
                <w:b/>
                <w:bCs/>
              </w:rPr>
            </w:pPr>
            <w:r>
              <w:rPr>
                <w:rFonts w:hint="eastAsia"/>
                <w:b/>
                <w:bCs/>
              </w:rPr>
              <w:t>②噪声影响预测模式</w:t>
            </w:r>
          </w:p>
          <w:p w14:paraId="29C15ACA">
            <w:pPr>
              <w:adjustRightInd w:val="0"/>
              <w:snapToGrid w:val="0"/>
              <w:ind w:firstLine="480" w:firstLineChars="200"/>
              <w:rPr>
                <w:szCs w:val="20"/>
              </w:rPr>
            </w:pPr>
            <w:r>
              <w:t>固定声源的噪声向周围传播过程中，会发生反射、折射、衍射、吸收等现象。因此，随传播距离的增加而产生的衰减量并不按简单的几何规律计算</w:t>
            </w:r>
            <w:r>
              <w:rPr>
                <w:rFonts w:hint="eastAsia"/>
              </w:rPr>
              <w:t>。</w:t>
            </w:r>
            <w:r>
              <w:rPr>
                <w:rFonts w:hint="eastAsia"/>
                <w:bCs/>
              </w:rPr>
              <w:t>根据</w:t>
            </w:r>
            <w:r>
              <w:rPr>
                <w:bCs/>
              </w:rPr>
              <w:t>《环境影响评价技术导则</w:t>
            </w:r>
            <w:r>
              <w:rPr>
                <w:rFonts w:hint="eastAsia"/>
                <w:bCs/>
              </w:rPr>
              <w:t>-声环境</w:t>
            </w:r>
            <w:r>
              <w:rPr>
                <w:bCs/>
              </w:rPr>
              <w:t>》</w:t>
            </w:r>
            <w:r>
              <w:rPr>
                <w:rFonts w:hint="eastAsia"/>
                <w:bCs/>
              </w:rPr>
              <w:t>（</w:t>
            </w:r>
            <w:r>
              <w:rPr>
                <w:bCs/>
              </w:rPr>
              <w:t>HJ2.4-</w:t>
            </w:r>
            <w:r>
              <w:rPr>
                <w:rFonts w:hint="eastAsia"/>
                <w:bCs/>
              </w:rPr>
              <w:t>2021）对室内声源的预测方法，声源位于室内，室内声源可采用等效室外声源声功率级法进行计算。</w:t>
            </w:r>
          </w:p>
          <w:p w14:paraId="488B9BC3">
            <w:pPr>
              <w:adjustRightInd w:val="0"/>
              <w:snapToGrid w:val="0"/>
              <w:ind w:firstLine="482" w:firstLineChars="200"/>
              <w:rPr>
                <w:bCs/>
              </w:rPr>
            </w:pPr>
            <w:r>
              <w:rPr>
                <w:rFonts w:hint="eastAsia"/>
                <w:b/>
              </w:rPr>
              <w:t>③</w:t>
            </w:r>
            <w:r>
              <w:rPr>
                <w:b/>
              </w:rPr>
              <w:t>预测模型</w:t>
            </w:r>
          </w:p>
          <w:p w14:paraId="79B11CDA">
            <w:pPr>
              <w:adjustRightInd w:val="0"/>
              <w:snapToGrid w:val="0"/>
              <w:ind w:firstLine="482" w:firstLineChars="200"/>
              <w:rPr>
                <w:b/>
                <w:bCs/>
              </w:rPr>
            </w:pPr>
            <w:r>
              <w:rPr>
                <w:rFonts w:hint="eastAsia"/>
                <w:b/>
                <w:bCs/>
              </w:rPr>
              <w:t>A室内声源</w:t>
            </w:r>
          </w:p>
          <w:p w14:paraId="68893205">
            <w:pPr>
              <w:adjustRightInd w:val="0"/>
              <w:snapToGrid w:val="0"/>
              <w:ind w:firstLine="480" w:firstLineChars="200"/>
            </w:pPr>
            <w:r>
              <w:rPr>
                <w:rFonts w:hint="eastAsia"/>
              </w:rPr>
              <w:t>室内声源采用等效室外声源声功率级法进行计算。设靠近开口处（或窗户）室内、室外某倍频带的声压级分别为L</w:t>
            </w:r>
            <w:r>
              <w:rPr>
                <w:rFonts w:hint="eastAsia"/>
                <w:vertAlign w:val="subscript"/>
              </w:rPr>
              <w:t>p1</w:t>
            </w:r>
            <w:r>
              <w:rPr>
                <w:rFonts w:hint="eastAsia"/>
              </w:rPr>
              <w:t>和L</w:t>
            </w:r>
            <w:r>
              <w:rPr>
                <w:rFonts w:hint="eastAsia"/>
                <w:vertAlign w:val="subscript"/>
              </w:rPr>
              <w:t>p2</w:t>
            </w:r>
            <w:r>
              <w:rPr>
                <w:rFonts w:hint="eastAsia"/>
              </w:rPr>
              <w:t>。若声源所在室内声场为近似</w:t>
            </w:r>
          </w:p>
          <w:p w14:paraId="6181B522">
            <w:pPr>
              <w:adjustRightInd w:val="0"/>
              <w:snapToGrid w:val="0"/>
              <w:ind w:firstLine="480" w:firstLineChars="200"/>
            </w:pPr>
            <w:r>
              <w:rPr>
                <w:rFonts w:hint="eastAsia"/>
              </w:rPr>
              <w:t>扩散声场，则室外的倍频带声压级可按公式（①）近似求出：</w:t>
            </w:r>
          </w:p>
          <w:p w14:paraId="036CCDD8">
            <w:pPr>
              <w:adjustRightInd w:val="0"/>
              <w:snapToGrid w:val="0"/>
              <w:ind w:firstLine="480" w:firstLineChars="200"/>
              <w:jc w:val="center"/>
            </w:pPr>
            <w:r>
              <w:drawing>
                <wp:inline distT="0" distB="0" distL="114300" distR="114300">
                  <wp:extent cx="1666875" cy="342900"/>
                  <wp:effectExtent l="0" t="0" r="9525" b="0"/>
                  <wp:docPr id="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1"/>
                          <pic:cNvPicPr>
                            <a:picLocks noChangeAspect="1"/>
                          </pic:cNvPicPr>
                        </pic:nvPicPr>
                        <pic:blipFill>
                          <a:blip r:embed="rId30" cstate="print"/>
                          <a:stretch>
                            <a:fillRect/>
                          </a:stretch>
                        </pic:blipFill>
                        <pic:spPr>
                          <a:xfrm>
                            <a:off x="0" y="0"/>
                            <a:ext cx="1666875" cy="342900"/>
                          </a:xfrm>
                          <a:prstGeom prst="rect">
                            <a:avLst/>
                          </a:prstGeom>
                          <a:noFill/>
                          <a:ln>
                            <a:noFill/>
                          </a:ln>
                        </pic:spPr>
                      </pic:pic>
                    </a:graphicData>
                  </a:graphic>
                </wp:inline>
              </w:drawing>
            </w:r>
            <w:r>
              <w:rPr>
                <w:rFonts w:hint="eastAsia"/>
              </w:rPr>
              <w:t>  </w:t>
            </w:r>
            <w:r>
              <w:rPr>
                <w:rFonts w:hint="eastAsia"/>
              </w:rPr>
              <w:tab/>
            </w:r>
            <w:r>
              <w:rPr>
                <w:rFonts w:hint="eastAsia"/>
              </w:rPr>
              <w:t>①</w:t>
            </w:r>
          </w:p>
          <w:p w14:paraId="242F99C5">
            <w:pPr>
              <w:adjustRightInd w:val="0"/>
              <w:snapToGrid w:val="0"/>
              <w:ind w:firstLine="480" w:firstLineChars="200"/>
            </w:pPr>
            <w:r>
              <w:rPr>
                <w:rFonts w:hint="eastAsia"/>
              </w:rPr>
              <w:t>式中：L</w:t>
            </w:r>
            <w:r>
              <w:rPr>
                <w:rFonts w:hint="eastAsia"/>
                <w:vertAlign w:val="subscript"/>
              </w:rPr>
              <w:t>p1</w:t>
            </w:r>
            <w:r>
              <w:rPr>
                <w:rFonts w:hint="eastAsia"/>
              </w:rPr>
              <w:t>——靠近开口处（或窗户）室内某倍频带的声压级或A声级，dB；</w:t>
            </w:r>
          </w:p>
          <w:p w14:paraId="7637357A">
            <w:pPr>
              <w:adjustRightInd w:val="0"/>
              <w:snapToGrid w:val="0"/>
              <w:ind w:firstLine="1200" w:firstLineChars="500"/>
            </w:pPr>
            <w:r>
              <w:rPr>
                <w:rFonts w:hint="eastAsia"/>
              </w:rPr>
              <w:t>L</w:t>
            </w:r>
            <w:r>
              <w:rPr>
                <w:rFonts w:hint="eastAsia"/>
                <w:vertAlign w:val="subscript"/>
              </w:rPr>
              <w:t>p2</w:t>
            </w:r>
            <w:r>
              <w:rPr>
                <w:rFonts w:hint="eastAsia"/>
              </w:rPr>
              <w:t>——靠近开口处（或窗户）室外某倍频带的声压级或A声级，dB；</w:t>
            </w:r>
          </w:p>
          <w:p w14:paraId="727E0482">
            <w:pPr>
              <w:adjustRightInd w:val="0"/>
              <w:snapToGrid w:val="0"/>
              <w:ind w:firstLine="1200" w:firstLineChars="500"/>
            </w:pPr>
            <w:r>
              <w:rPr>
                <w:rFonts w:hint="eastAsia"/>
              </w:rPr>
              <w:t>TL—隔墙（或窗户）倍频带的隔声量，dB(A)，本项目取20。</w:t>
            </w:r>
          </w:p>
          <w:p w14:paraId="633EC68D">
            <w:pPr>
              <w:adjustRightInd w:val="0"/>
              <w:snapToGrid w:val="0"/>
              <w:spacing w:line="240" w:lineRule="auto"/>
              <w:jc w:val="center"/>
              <w:rPr>
                <w:sz w:val="21"/>
              </w:rPr>
            </w:pPr>
            <w:r>
              <w:rPr>
                <w:sz w:val="21"/>
              </w:rPr>
              <w:drawing>
                <wp:inline distT="0" distB="0" distL="114300" distR="114300">
                  <wp:extent cx="2839720" cy="1318895"/>
                  <wp:effectExtent l="0" t="0" r="17780" b="14605"/>
                  <wp:docPr id="7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2"/>
                          <pic:cNvPicPr>
                            <a:picLocks noChangeAspect="1"/>
                          </pic:cNvPicPr>
                        </pic:nvPicPr>
                        <pic:blipFill>
                          <a:blip r:embed="rId31" cstate="print"/>
                          <a:stretch>
                            <a:fillRect/>
                          </a:stretch>
                        </pic:blipFill>
                        <pic:spPr>
                          <a:xfrm>
                            <a:off x="0" y="0"/>
                            <a:ext cx="2839720" cy="1318895"/>
                          </a:xfrm>
                          <a:prstGeom prst="rect">
                            <a:avLst/>
                          </a:prstGeom>
                          <a:noFill/>
                          <a:ln>
                            <a:noFill/>
                          </a:ln>
                        </pic:spPr>
                      </pic:pic>
                    </a:graphicData>
                  </a:graphic>
                </wp:inline>
              </w:drawing>
            </w:r>
          </w:p>
          <w:p w14:paraId="3EFD3950">
            <w:pPr>
              <w:pStyle w:val="15"/>
            </w:pPr>
            <w:r>
              <w:rPr>
                <w:rFonts w:hint="eastAsia"/>
              </w:rPr>
              <w:t>图4-</w:t>
            </w:r>
            <w:r>
              <w:rPr>
                <w:rFonts w:hint="eastAsia"/>
                <w:lang w:val="en-US" w:eastAsia="zh-CN"/>
              </w:rPr>
              <w:t>3</w:t>
            </w:r>
            <w:r>
              <w:rPr>
                <w:rFonts w:hint="eastAsia"/>
              </w:rPr>
              <w:t xml:space="preserve"> 室内声源等效为室外声源图例</w:t>
            </w:r>
          </w:p>
          <w:p w14:paraId="3D535C07">
            <w:pPr>
              <w:adjustRightInd w:val="0"/>
              <w:snapToGrid w:val="0"/>
              <w:ind w:firstLine="480" w:firstLineChars="200"/>
            </w:pPr>
            <w:r>
              <w:rPr>
                <w:rFonts w:hint="eastAsia"/>
              </w:rPr>
              <w:t>按下式计算某一室内声源靠近转护结构处产生的倍频带声压级：</w:t>
            </w:r>
          </w:p>
          <w:p w14:paraId="1141087D">
            <w:pPr>
              <w:adjustRightInd w:val="0"/>
              <w:snapToGrid w:val="0"/>
              <w:spacing w:line="240" w:lineRule="auto"/>
              <w:jc w:val="center"/>
              <w:rPr>
                <w:sz w:val="21"/>
              </w:rPr>
            </w:pPr>
            <w:r>
              <w:rPr>
                <w:sz w:val="21"/>
              </w:rPr>
              <w:drawing>
                <wp:inline distT="0" distB="0" distL="114300" distR="114300">
                  <wp:extent cx="2140585" cy="582930"/>
                  <wp:effectExtent l="0" t="0" r="12065" b="7620"/>
                  <wp:docPr id="7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3"/>
                          <pic:cNvPicPr>
                            <a:picLocks noChangeAspect="1"/>
                          </pic:cNvPicPr>
                        </pic:nvPicPr>
                        <pic:blipFill>
                          <a:blip r:embed="rId32" cstate="print"/>
                          <a:stretch>
                            <a:fillRect/>
                          </a:stretch>
                        </pic:blipFill>
                        <pic:spPr>
                          <a:xfrm>
                            <a:off x="0" y="0"/>
                            <a:ext cx="2140585" cy="582930"/>
                          </a:xfrm>
                          <a:prstGeom prst="rect">
                            <a:avLst/>
                          </a:prstGeom>
                          <a:noFill/>
                          <a:ln>
                            <a:noFill/>
                          </a:ln>
                        </pic:spPr>
                      </pic:pic>
                    </a:graphicData>
                  </a:graphic>
                </wp:inline>
              </w:drawing>
            </w:r>
            <w:r>
              <w:rPr>
                <w:rFonts w:hint="eastAsia"/>
                <w:sz w:val="21"/>
              </w:rPr>
              <w:t xml:space="preserve">       ②</w:t>
            </w:r>
          </w:p>
          <w:p w14:paraId="552B1A5C">
            <w:pPr>
              <w:adjustRightInd w:val="0"/>
              <w:snapToGrid w:val="0"/>
              <w:ind w:firstLine="480" w:firstLineChars="200"/>
            </w:pPr>
            <w:r>
              <w:rPr>
                <w:rFonts w:hint="eastAsia"/>
              </w:rPr>
              <w:t>式中：Lw—点声源声功率级（A计权或倍频带），dB；</w:t>
            </w:r>
          </w:p>
          <w:p w14:paraId="3F04283C">
            <w:pPr>
              <w:adjustRightInd w:val="0"/>
              <w:snapToGrid w:val="0"/>
              <w:ind w:firstLine="1200" w:firstLineChars="500"/>
            </w:pPr>
            <w:r>
              <w:rPr>
                <w:rFonts w:hint="eastAsia"/>
              </w:rPr>
              <w:t>Q—指向性因数；通常对无指向性声源，当声源放在房间中心时，Q=1；当放在一面墙的中心时，Q=2；当放在两面墙夹角处时，Q=4；当放在三面墙夹角处时，Q=8；</w:t>
            </w:r>
          </w:p>
          <w:p w14:paraId="5C6636F9">
            <w:pPr>
              <w:adjustRightInd w:val="0"/>
              <w:snapToGrid w:val="0"/>
              <w:ind w:firstLine="1200" w:firstLineChars="500"/>
            </w:pPr>
            <w:r>
              <w:rPr>
                <w:rFonts w:hint="eastAsia"/>
              </w:rPr>
              <w:t>R—房间常数；R=S</w:t>
            </w:r>
            <w:r>
              <w:t>α</w:t>
            </w:r>
            <w:r>
              <w:rPr>
                <w:rFonts w:hint="eastAsia"/>
              </w:rPr>
              <w:t>/(1-</w:t>
            </w:r>
            <w:r>
              <w:t>α</w:t>
            </w:r>
            <w:r>
              <w:rPr>
                <w:rFonts w:hint="eastAsia"/>
              </w:rPr>
              <w:t>)，S为房间内表面面积，m</w:t>
            </w:r>
            <w:r>
              <w:rPr>
                <w:rFonts w:hint="eastAsia"/>
                <w:vertAlign w:val="superscript"/>
              </w:rPr>
              <w:t>2</w:t>
            </w:r>
            <w:r>
              <w:rPr>
                <w:rFonts w:hint="eastAsia"/>
              </w:rPr>
              <w:t>；</w:t>
            </w:r>
            <w:r>
              <w:t>α</w:t>
            </w:r>
            <w:r>
              <w:rPr>
                <w:rFonts w:hint="eastAsia"/>
              </w:rPr>
              <w:t>为平均吸声系数；</w:t>
            </w:r>
          </w:p>
          <w:p w14:paraId="45979096">
            <w:pPr>
              <w:adjustRightInd w:val="0"/>
              <w:snapToGrid w:val="0"/>
              <w:ind w:firstLine="1200" w:firstLineChars="500"/>
            </w:pPr>
            <w:r>
              <w:rPr>
                <w:rFonts w:hint="eastAsia"/>
              </w:rPr>
              <w:t>r—声源到靠近转护结构某点处的距离，m。</w:t>
            </w:r>
          </w:p>
          <w:p w14:paraId="14908780">
            <w:pPr>
              <w:adjustRightInd w:val="0"/>
              <w:snapToGrid w:val="0"/>
              <w:ind w:firstLine="480" w:firstLineChars="200"/>
            </w:pPr>
            <w:r>
              <w:rPr>
                <w:rFonts w:hint="eastAsia"/>
              </w:rPr>
              <w:t>然后按公式下式（③）计算出所有室内声源在围护结构处产生的i倍频带叠加声压级：</w:t>
            </w:r>
          </w:p>
          <w:p w14:paraId="474B4A44">
            <w:pPr>
              <w:adjustRightInd w:val="0"/>
              <w:snapToGrid w:val="0"/>
              <w:spacing w:line="240" w:lineRule="auto"/>
              <w:jc w:val="center"/>
              <w:rPr>
                <w:sz w:val="21"/>
              </w:rPr>
            </w:pPr>
            <w:r>
              <w:rPr>
                <w:sz w:val="21"/>
              </w:rPr>
              <w:drawing>
                <wp:inline distT="0" distB="0" distL="114300" distR="114300">
                  <wp:extent cx="2162175" cy="619125"/>
                  <wp:effectExtent l="0" t="0" r="9525" b="9525"/>
                  <wp:docPr id="7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4"/>
                          <pic:cNvPicPr>
                            <a:picLocks noChangeAspect="1"/>
                          </pic:cNvPicPr>
                        </pic:nvPicPr>
                        <pic:blipFill>
                          <a:blip r:embed="rId33" cstate="print"/>
                          <a:stretch>
                            <a:fillRect/>
                          </a:stretch>
                        </pic:blipFill>
                        <pic:spPr>
                          <a:xfrm>
                            <a:off x="0" y="0"/>
                            <a:ext cx="2162175" cy="619125"/>
                          </a:xfrm>
                          <a:prstGeom prst="rect">
                            <a:avLst/>
                          </a:prstGeom>
                          <a:noFill/>
                          <a:ln>
                            <a:noFill/>
                          </a:ln>
                        </pic:spPr>
                      </pic:pic>
                    </a:graphicData>
                  </a:graphic>
                </wp:inline>
              </w:drawing>
            </w:r>
            <w:r>
              <w:rPr>
                <w:rFonts w:hint="eastAsia"/>
                <w:sz w:val="21"/>
              </w:rPr>
              <w:t xml:space="preserve">          ③</w:t>
            </w:r>
          </w:p>
          <w:p w14:paraId="2CB1837C">
            <w:pPr>
              <w:adjustRightInd w:val="0"/>
              <w:snapToGrid w:val="0"/>
              <w:ind w:firstLine="480" w:firstLineChars="200"/>
            </w:pPr>
            <w:r>
              <w:rPr>
                <w:rFonts w:hint="eastAsia"/>
              </w:rPr>
              <w:t>式中：L</w:t>
            </w:r>
            <w:r>
              <w:rPr>
                <w:rFonts w:hint="eastAsia"/>
                <w:vertAlign w:val="subscript"/>
              </w:rPr>
              <w:t>p1，i</w:t>
            </w:r>
            <w:r>
              <w:rPr>
                <w:rFonts w:hint="eastAsia"/>
              </w:rPr>
              <w:t>（T）—靠近围护结构处室内N个声源i倍频带的叠加声压级，dB；</w:t>
            </w:r>
          </w:p>
          <w:p w14:paraId="4680C79E">
            <w:pPr>
              <w:adjustRightInd w:val="0"/>
              <w:snapToGrid w:val="0"/>
              <w:ind w:firstLine="1200" w:firstLineChars="500"/>
            </w:pPr>
            <w:r>
              <w:rPr>
                <w:rFonts w:hint="eastAsia"/>
              </w:rPr>
              <w:t>L</w:t>
            </w:r>
            <w:r>
              <w:rPr>
                <w:rFonts w:hint="eastAsia"/>
                <w:vertAlign w:val="subscript"/>
              </w:rPr>
              <w:t>p1，j</w:t>
            </w:r>
            <w:r>
              <w:rPr>
                <w:rFonts w:hint="eastAsia"/>
              </w:rPr>
              <w:t>—室内j声源i倍频带的声压级，dB；</w:t>
            </w:r>
          </w:p>
          <w:p w14:paraId="7AEA3C36">
            <w:pPr>
              <w:adjustRightInd w:val="0"/>
              <w:snapToGrid w:val="0"/>
              <w:ind w:firstLine="1200" w:firstLineChars="500"/>
            </w:pPr>
            <w:r>
              <w:rPr>
                <w:rFonts w:hint="eastAsia"/>
              </w:rPr>
              <w:t>N—室内声源总数。</w:t>
            </w:r>
          </w:p>
          <w:p w14:paraId="2AD6A4AF">
            <w:pPr>
              <w:adjustRightInd w:val="0"/>
              <w:snapToGrid w:val="0"/>
              <w:ind w:firstLine="480" w:firstLineChars="200"/>
            </w:pPr>
            <w:r>
              <w:rPr>
                <w:rFonts w:hint="eastAsia"/>
              </w:rPr>
              <w:t>在室内近似为扩散声场时，按公式（④）计算出靠近室外围护结构处的声压级：</w:t>
            </w:r>
          </w:p>
          <w:p w14:paraId="4EC0B63F">
            <w:pPr>
              <w:adjustRightInd w:val="0"/>
              <w:snapToGrid w:val="0"/>
              <w:spacing w:line="240" w:lineRule="auto"/>
              <w:jc w:val="center"/>
              <w:rPr>
                <w:sz w:val="21"/>
              </w:rPr>
            </w:pPr>
            <w:r>
              <w:rPr>
                <w:sz w:val="21"/>
              </w:rPr>
              <w:drawing>
                <wp:inline distT="0" distB="0" distL="114300" distR="114300">
                  <wp:extent cx="2171700" cy="390525"/>
                  <wp:effectExtent l="0" t="0" r="0" b="9525"/>
                  <wp:docPr id="7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5"/>
                          <pic:cNvPicPr>
                            <a:picLocks noChangeAspect="1"/>
                          </pic:cNvPicPr>
                        </pic:nvPicPr>
                        <pic:blipFill>
                          <a:blip r:embed="rId34" cstate="print"/>
                          <a:stretch>
                            <a:fillRect/>
                          </a:stretch>
                        </pic:blipFill>
                        <pic:spPr>
                          <a:xfrm>
                            <a:off x="0" y="0"/>
                            <a:ext cx="2171700" cy="390525"/>
                          </a:xfrm>
                          <a:prstGeom prst="rect">
                            <a:avLst/>
                          </a:prstGeom>
                          <a:noFill/>
                          <a:ln>
                            <a:noFill/>
                          </a:ln>
                        </pic:spPr>
                      </pic:pic>
                    </a:graphicData>
                  </a:graphic>
                </wp:inline>
              </w:drawing>
            </w:r>
            <w:r>
              <w:rPr>
                <w:rFonts w:hint="eastAsia"/>
                <w:sz w:val="21"/>
              </w:rPr>
              <w:t xml:space="preserve">          ④</w:t>
            </w:r>
          </w:p>
          <w:p w14:paraId="259D8787">
            <w:pPr>
              <w:adjustRightInd w:val="0"/>
              <w:snapToGrid w:val="0"/>
              <w:ind w:firstLine="480" w:firstLineChars="200"/>
            </w:pPr>
            <w:r>
              <w:rPr>
                <w:rFonts w:hint="eastAsia"/>
              </w:rPr>
              <w:t>式中：L</w:t>
            </w:r>
            <w:r>
              <w:rPr>
                <w:rFonts w:hint="eastAsia"/>
                <w:vertAlign w:val="subscript"/>
              </w:rPr>
              <w:t>p2，j</w:t>
            </w:r>
            <w:r>
              <w:rPr>
                <w:rFonts w:hint="eastAsia"/>
              </w:rPr>
              <w:t>（T）—靠近围护结构处室外N个声源i倍频带的叠加声压级，dB；</w:t>
            </w:r>
          </w:p>
          <w:p w14:paraId="1714F146">
            <w:pPr>
              <w:adjustRightInd w:val="0"/>
              <w:snapToGrid w:val="0"/>
              <w:ind w:firstLine="1200" w:firstLineChars="500"/>
            </w:pPr>
            <w:r>
              <w:rPr>
                <w:rFonts w:hint="eastAsia"/>
              </w:rPr>
              <w:t>Ti—围护结构i倍频带的隔声量，dB。</w:t>
            </w:r>
          </w:p>
          <w:p w14:paraId="0F10B7A9">
            <w:pPr>
              <w:adjustRightInd w:val="0"/>
              <w:snapToGrid w:val="0"/>
              <w:ind w:firstLine="480" w:firstLineChars="200"/>
            </w:pPr>
            <w:r>
              <w:rPr>
                <w:rFonts w:hint="eastAsia"/>
              </w:rPr>
              <w:t>然后按公式（⑤）将室外声源的声压级和透过面积换算成等效的室外声源，计算出中心位置于透声面积（S）处的等效声源的倍频带声功率级。</w:t>
            </w:r>
          </w:p>
          <w:p w14:paraId="24245AEA">
            <w:pPr>
              <w:adjustRightInd w:val="0"/>
              <w:snapToGrid w:val="0"/>
              <w:spacing w:line="240" w:lineRule="auto"/>
              <w:jc w:val="center"/>
              <w:rPr>
                <w:sz w:val="21"/>
              </w:rPr>
            </w:pPr>
            <w:r>
              <w:rPr>
                <w:sz w:val="21"/>
              </w:rPr>
              <w:drawing>
                <wp:inline distT="0" distB="0" distL="114300" distR="114300">
                  <wp:extent cx="2324735" cy="378460"/>
                  <wp:effectExtent l="0" t="0" r="18415" b="2540"/>
                  <wp:docPr id="7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6"/>
                          <pic:cNvPicPr>
                            <a:picLocks noChangeAspect="1"/>
                          </pic:cNvPicPr>
                        </pic:nvPicPr>
                        <pic:blipFill>
                          <a:blip r:embed="rId35" cstate="print"/>
                          <a:stretch>
                            <a:fillRect/>
                          </a:stretch>
                        </pic:blipFill>
                        <pic:spPr>
                          <a:xfrm>
                            <a:off x="0" y="0"/>
                            <a:ext cx="2324735" cy="378460"/>
                          </a:xfrm>
                          <a:prstGeom prst="rect">
                            <a:avLst/>
                          </a:prstGeom>
                          <a:noFill/>
                          <a:ln>
                            <a:noFill/>
                          </a:ln>
                        </pic:spPr>
                      </pic:pic>
                    </a:graphicData>
                  </a:graphic>
                </wp:inline>
              </w:drawing>
            </w:r>
            <w:r>
              <w:rPr>
                <w:rFonts w:hint="eastAsia"/>
                <w:sz w:val="21"/>
              </w:rPr>
              <w:t xml:space="preserve">        ⑤</w:t>
            </w:r>
          </w:p>
          <w:p w14:paraId="0613AB3E">
            <w:pPr>
              <w:adjustRightInd w:val="0"/>
              <w:snapToGrid w:val="0"/>
              <w:ind w:firstLine="480" w:firstLineChars="200"/>
            </w:pPr>
            <w:r>
              <w:rPr>
                <w:rFonts w:hint="eastAsia"/>
              </w:rPr>
              <w:t>式中：Lw——中心位置位于透声面积（S）处的等效声源的倍频带声功率级，dB；</w:t>
            </w:r>
          </w:p>
          <w:p w14:paraId="567911DE">
            <w:pPr>
              <w:adjustRightInd w:val="0"/>
              <w:snapToGrid w:val="0"/>
              <w:ind w:firstLine="1200" w:firstLineChars="500"/>
            </w:pPr>
            <w:r>
              <w:rPr>
                <w:rFonts w:hint="eastAsia"/>
              </w:rPr>
              <w:t>L</w:t>
            </w:r>
            <w:r>
              <w:rPr>
                <w:rFonts w:hint="eastAsia"/>
                <w:vertAlign w:val="subscript"/>
              </w:rPr>
              <w:t>p2</w:t>
            </w:r>
            <w:r>
              <w:rPr>
                <w:rFonts w:hint="eastAsia"/>
              </w:rPr>
              <w:t>(T)——靠近围护结构处室外声源的声压级，dB；</w:t>
            </w:r>
          </w:p>
          <w:p w14:paraId="47C71B50">
            <w:pPr>
              <w:adjustRightInd w:val="0"/>
              <w:snapToGrid w:val="0"/>
              <w:ind w:firstLine="1200" w:firstLineChars="500"/>
            </w:pPr>
            <w:r>
              <w:rPr>
                <w:rFonts w:hint="eastAsia"/>
              </w:rPr>
              <w:t>S——透声面积，m</w:t>
            </w:r>
            <w:r>
              <w:rPr>
                <w:rFonts w:hint="eastAsia"/>
                <w:vertAlign w:val="superscript"/>
              </w:rPr>
              <w:t>2</w:t>
            </w:r>
            <w:r>
              <w:rPr>
                <w:rFonts w:hint="eastAsia"/>
              </w:rPr>
              <w:t>。</w:t>
            </w:r>
          </w:p>
          <w:p w14:paraId="6831FC1A">
            <w:pPr>
              <w:adjustRightInd w:val="0"/>
              <w:snapToGrid w:val="0"/>
              <w:ind w:firstLine="480" w:firstLineChars="200"/>
            </w:pPr>
            <w:r>
              <w:rPr>
                <w:rFonts w:hint="eastAsia"/>
              </w:rPr>
              <w:t>然后按室外声源预测方法计算预测点处的A声级。</w:t>
            </w:r>
          </w:p>
          <w:p w14:paraId="1B4094C1">
            <w:pPr>
              <w:adjustRightInd w:val="0"/>
              <w:snapToGrid w:val="0"/>
              <w:ind w:firstLine="482" w:firstLineChars="200"/>
            </w:pPr>
            <w:r>
              <w:rPr>
                <w:rFonts w:hint="eastAsia"/>
                <w:b/>
                <w:bCs/>
              </w:rPr>
              <w:t>B室外声源：</w:t>
            </w:r>
          </w:p>
          <w:p w14:paraId="665066AC">
            <w:pPr>
              <w:adjustRightInd w:val="0"/>
              <w:snapToGrid w:val="0"/>
              <w:spacing w:line="240" w:lineRule="auto"/>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如果声源处于半自由声场，则为式⑥或式⑦：</w:t>
            </w:r>
          </w:p>
          <w:p w14:paraId="161960F2">
            <w:pPr>
              <w:adjustRightInd w:val="0"/>
              <w:snapToGrid w:val="0"/>
              <w:spacing w:line="240" w:lineRule="auto"/>
              <w:jc w:val="right"/>
              <w:rPr>
                <w:color w:val="000000" w:themeColor="text1"/>
                <w:sz w:val="21"/>
                <w14:textFill>
                  <w14:solidFill>
                    <w14:schemeClr w14:val="tx1"/>
                  </w14:solidFill>
                </w14:textFill>
              </w:rPr>
            </w:pPr>
            <w:r>
              <w:rPr>
                <w:rFonts w:hint="eastAsia"/>
                <w:color w:val="000000" w:themeColor="text1"/>
                <w:position w:val="-12"/>
                <w:sz w:val="21"/>
                <w14:textFill>
                  <w14:solidFill>
                    <w14:schemeClr w14:val="tx1"/>
                  </w14:solidFill>
                </w14:textFill>
              </w:rPr>
              <w:object>
                <v:shape id="_x0000_i1027" o:spt="75" type="#_x0000_t75" style="height:26.8pt;width:166.6pt;" o:ole="t" filled="f" o:preferrelative="t" stroked="f" coordsize="21600,21600">
                  <v:path/>
                  <v:fill on="f" focussize="0,0"/>
                  <v:stroke on="f" joinstyle="miter"/>
                  <v:imagedata r:id="rId37" o:title=""/>
                  <o:lock v:ext="edit" aspectratio="t"/>
                  <w10:wrap type="none"/>
                  <w10:anchorlock/>
                </v:shape>
                <o:OLEObject Type="Embed" ProgID="Equation.KSEE3" ShapeID="_x0000_i1027" DrawAspect="Content" ObjectID="_1468075727" r:id="rId36">
                  <o:LockedField>false</o:LockedField>
                </o:OLEObject>
              </w:object>
            </w:r>
            <w:r>
              <w:rPr>
                <w:rFonts w:hint="eastAsia"/>
                <w:color w:val="000000" w:themeColor="text1"/>
                <w:sz w:val="21"/>
                <w14:textFill>
                  <w14:solidFill>
                    <w14:schemeClr w14:val="tx1"/>
                  </w14:solidFill>
                </w14:textFill>
              </w:rPr>
              <w:t xml:space="preserve">                        ⑥ </w:t>
            </w:r>
          </w:p>
          <w:p w14:paraId="73B158FF">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P</w:t>
            </w:r>
            <w:r>
              <w:rPr>
                <w:rFonts w:hint="eastAsia"/>
                <w:color w:val="000000" w:themeColor="text1"/>
                <w14:textFill>
                  <w14:solidFill>
                    <w14:schemeClr w14:val="tx1"/>
                  </w14:solidFill>
                </w14:textFill>
              </w:rPr>
              <w:t>(r) ——预测点处声压级，dB；</w:t>
            </w:r>
          </w:p>
          <w:p w14:paraId="73C70C0C">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W</w:t>
            </w:r>
            <w:r>
              <w:rPr>
                <w:rFonts w:hint="eastAsia"/>
                <w:color w:val="000000" w:themeColor="text1"/>
                <w14:textFill>
                  <w14:solidFill>
                    <w14:schemeClr w14:val="tx1"/>
                  </w14:solidFill>
                </w14:textFill>
              </w:rPr>
              <w:t>——由点声源产生的倍频带声功率级，dB；</w:t>
            </w:r>
          </w:p>
          <w:p w14:paraId="1B46F9C7">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r——预测点距声源的距离。</w:t>
            </w:r>
          </w:p>
          <w:p w14:paraId="7060C692">
            <w:pPr>
              <w:adjustRightInd w:val="0"/>
              <w:snapToGrid w:val="0"/>
              <w:spacing w:line="240" w:lineRule="auto"/>
              <w:jc w:val="right"/>
              <w:rPr>
                <w:color w:val="000000" w:themeColor="text1"/>
                <w:sz w:val="21"/>
                <w14:textFill>
                  <w14:solidFill>
                    <w14:schemeClr w14:val="tx1"/>
                  </w14:solidFill>
                </w14:textFill>
              </w:rPr>
            </w:pPr>
            <w:r>
              <w:rPr>
                <w:rFonts w:hint="eastAsia"/>
                <w:color w:val="000000" w:themeColor="text1"/>
                <w:position w:val="-12"/>
                <w:sz w:val="21"/>
                <w14:textFill>
                  <w14:solidFill>
                    <w14:schemeClr w14:val="tx1"/>
                  </w14:solidFill>
                </w14:textFill>
              </w:rPr>
              <w:object>
                <v:shape id="_x0000_i1028" o:spt="75" type="#_x0000_t75" style="height:26.8pt;width:177.1pt;" o:ole="t" filled="f" o:preferrelative="t" stroked="f" coordsize="21600,21600">
                  <v:path/>
                  <v:fill on="f" focussize="0,0"/>
                  <v:stroke on="f" joinstyle="miter"/>
                  <v:imagedata r:id="rId39" o:title=""/>
                  <o:lock v:ext="edit" aspectratio="t"/>
                  <w10:wrap type="none"/>
                  <w10:anchorlock/>
                </v:shape>
                <o:OLEObject Type="Embed" ProgID="Equation.KSEE3" ShapeID="_x0000_i1028" DrawAspect="Content" ObjectID="_1468075728" r:id="rId38">
                  <o:LockedField>false</o:LockedField>
                </o:OLEObject>
              </w:object>
            </w:r>
            <w:r>
              <w:rPr>
                <w:rFonts w:hint="eastAsia"/>
                <w:color w:val="000000" w:themeColor="text1"/>
                <w:sz w:val="21"/>
                <w14:textFill>
                  <w14:solidFill>
                    <w14:schemeClr w14:val="tx1"/>
                  </w14:solidFill>
                </w14:textFill>
              </w:rPr>
              <w:t xml:space="preserve">                       ⑦</w:t>
            </w:r>
          </w:p>
          <w:p w14:paraId="49580A0E">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A</w:t>
            </w:r>
            <w:r>
              <w:rPr>
                <w:rFonts w:hint="eastAsia"/>
                <w:color w:val="000000" w:themeColor="text1"/>
                <w14:textFill>
                  <w14:solidFill>
                    <w14:schemeClr w14:val="tx1"/>
                  </w14:solidFill>
                </w14:textFill>
              </w:rPr>
              <w:t>(r) ——距声源r处的A声级，dB(A)；</w:t>
            </w:r>
          </w:p>
          <w:p w14:paraId="20F7E142">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Aw</w:t>
            </w:r>
            <w:r>
              <w:rPr>
                <w:rFonts w:hint="eastAsia"/>
                <w:color w:val="000000" w:themeColor="text1"/>
                <w14:textFill>
                  <w14:solidFill>
                    <w14:schemeClr w14:val="tx1"/>
                  </w14:solidFill>
                </w14:textFill>
              </w:rPr>
              <w:t>——点声源A计权声功率级，dB；</w:t>
            </w:r>
          </w:p>
          <w:p w14:paraId="7E046BC4">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r——预测点距声源的距离。</w:t>
            </w:r>
          </w:p>
          <w:p w14:paraId="3DAD84CD">
            <w:pPr>
              <w:adjustRightInd w:val="0"/>
              <w:snapToGrid w:val="0"/>
              <w:ind w:firstLine="482" w:firstLineChars="200"/>
            </w:pPr>
            <w:r>
              <w:rPr>
                <w:rFonts w:hint="eastAsia"/>
                <w:b/>
                <w:bCs/>
              </w:rPr>
              <w:t>C各噪声源对厂界贡献值叠加值用以下公式将各噪声源叠加得到：</w:t>
            </w:r>
          </w:p>
          <w:p w14:paraId="2F152AFE">
            <w:pPr>
              <w:adjustRightInd w:val="0"/>
              <w:snapToGrid w:val="0"/>
              <w:spacing w:line="240" w:lineRule="auto"/>
              <w:jc w:val="right"/>
              <w:rPr>
                <w:color w:val="000000" w:themeColor="text1"/>
                <w14:textFill>
                  <w14:solidFill>
                    <w14:schemeClr w14:val="tx1"/>
                  </w14:solidFill>
                </w14:textFill>
              </w:rPr>
            </w:pPr>
            <w:r>
              <w:rPr>
                <w:rFonts w:hint="eastAsia"/>
                <w:color w:val="000000" w:themeColor="text1"/>
                <w:position w:val="-34"/>
                <w:sz w:val="21"/>
                <w14:textFill>
                  <w14:solidFill>
                    <w14:schemeClr w14:val="tx1"/>
                  </w14:solidFill>
                </w14:textFill>
              </w:rPr>
              <w:object>
                <v:shape id="_x0000_i1029" o:spt="75" type="#_x0000_t75" style="height:59.4pt;width:304.8pt;" o:ole="t" filled="f" o:preferrelative="t" stroked="f" coordsize="21600,21600">
                  <v:path/>
                  <v:fill on="f" focussize="0,0"/>
                  <v:stroke on="f" joinstyle="miter"/>
                  <v:imagedata r:id="rId41" o:title=""/>
                  <o:lock v:ext="edit" aspectratio="t"/>
                  <w10:wrap type="none"/>
                  <w10:anchorlock/>
                </v:shape>
                <o:OLEObject Type="Embed" ProgID="Equation.KSEE3" ShapeID="_x0000_i1029" DrawAspect="Content" ObjectID="_1468075729" r:id="rId40">
                  <o:LockedField>false</o:LockedField>
                </o:OLEObject>
              </w:object>
            </w:r>
            <w:r>
              <w:rPr>
                <w:rFonts w:hint="eastAsia"/>
                <w:color w:val="000000" w:themeColor="text1"/>
                <w:sz w:val="21"/>
                <w14:textFill>
                  <w14:solidFill>
                    <w14:schemeClr w14:val="tx1"/>
                  </w14:solidFill>
                </w14:textFill>
              </w:rPr>
              <w:t xml:space="preserve">       </w:t>
            </w:r>
            <w:r>
              <w:rPr>
                <w:rFonts w:hint="eastAsia"/>
                <w:color w:val="000000" w:themeColor="text1"/>
                <w:sz w:val="21"/>
                <w:lang w:eastAsia="zh-CN"/>
                <w14:textFill>
                  <w14:solidFill>
                    <w14:schemeClr w14:val="tx1"/>
                  </w14:solidFill>
                </w14:textFill>
              </w:rPr>
              <w:t>⑧</w:t>
            </w:r>
            <w:r>
              <w:rPr>
                <w:rFonts w:hint="eastAsia"/>
                <w:color w:val="000000" w:themeColor="text1"/>
                <w:sz w:val="21"/>
                <w14:textFill>
                  <w14:solidFill>
                    <w14:schemeClr w14:val="tx1"/>
                  </w14:solidFill>
                </w14:textFill>
              </w:rPr>
              <w:t></w:t>
            </w:r>
          </w:p>
          <w:p w14:paraId="695A3D6E">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eqg</w:t>
            </w:r>
            <w:r>
              <w:rPr>
                <w:rFonts w:hint="eastAsia"/>
                <w:color w:val="000000" w:themeColor="text1"/>
                <w14:textFill>
                  <w14:solidFill>
                    <w14:schemeClr w14:val="tx1"/>
                  </w14:solidFill>
                </w14:textFill>
              </w:rPr>
              <w:t>——建设项目声源在预测点产生的噪声贡献值，dB；</w:t>
            </w:r>
          </w:p>
          <w:p w14:paraId="11006E03">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T——用于计算等效声级的时间，s；</w:t>
            </w:r>
          </w:p>
          <w:p w14:paraId="685C1369">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N——室外声源个数；</w:t>
            </w:r>
          </w:p>
          <w:p w14:paraId="2879FBB9">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——在T时间内i声源工作时间，s；</w:t>
            </w:r>
          </w:p>
          <w:p w14:paraId="2F70733B">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M——等效室外声源个数；</w:t>
            </w:r>
          </w:p>
          <w:p w14:paraId="7749F3C5">
            <w:pPr>
              <w:adjustRightInd w:val="0"/>
              <w:snapToGrid w:val="0"/>
              <w:ind w:firstLine="1200" w:firstLineChars="500"/>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j</w:t>
            </w:r>
            <w:r>
              <w:rPr>
                <w:rFonts w:hint="eastAsia"/>
                <w:color w:val="000000" w:themeColor="text1"/>
                <w14:textFill>
                  <w14:solidFill>
                    <w14:schemeClr w14:val="tx1"/>
                  </w14:solidFill>
                </w14:textFill>
              </w:rPr>
              <w:t>——在T时间内j声源工作时间，s。</w:t>
            </w:r>
          </w:p>
          <w:p w14:paraId="19B4D3C5">
            <w:pPr>
              <w:adjustRightInd w:val="0"/>
              <w:snapToGrid w:val="0"/>
              <w:ind w:firstLine="480" w:firstLineChars="200"/>
            </w:pPr>
            <w:r>
              <w:t>根据</w:t>
            </w:r>
            <w:r>
              <w:rPr>
                <w:rFonts w:hint="eastAsia"/>
              </w:rPr>
              <w:t>上述</w:t>
            </w:r>
            <w:r>
              <w:t>预测公式，在采取措施时本项目声源预测点噪声结果详见</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4-25</w:t>
            </w:r>
            <w:r>
              <w:t>。</w:t>
            </w:r>
          </w:p>
          <w:p w14:paraId="13972E84">
            <w:pPr>
              <w:adjustRightInd w:val="0"/>
              <w:snapToGrid w:val="0"/>
              <w:ind w:firstLine="482" w:firstLineChars="200"/>
              <w:rPr>
                <w:b/>
                <w:bCs/>
              </w:rPr>
            </w:pPr>
            <w:r>
              <w:rPr>
                <w:rFonts w:hint="eastAsia"/>
                <w:b/>
                <w:bCs/>
              </w:rPr>
              <w:t>④预测结果</w:t>
            </w:r>
          </w:p>
          <w:p w14:paraId="5D605248">
            <w:pPr>
              <w:adjustRightInd w:val="0"/>
              <w:snapToGrid w:val="0"/>
              <w:ind w:firstLine="480" w:firstLineChars="200"/>
            </w:pPr>
            <w:r>
              <w:rPr>
                <w:rFonts w:hint="eastAsia"/>
              </w:rPr>
              <w:t>项目在考虑距离衰减和墙体隔声的情况下，根据设备分布、设备数量与各厂界距离，本项目投入运营后项目厂房昼间厂界噪声贡献值见表4-</w:t>
            </w:r>
            <w:r>
              <w:rPr>
                <w:rFonts w:hint="eastAsia"/>
                <w:lang w:val="en-US" w:eastAsia="zh-CN"/>
              </w:rPr>
              <w:t>20</w:t>
            </w:r>
            <w:r>
              <w:rPr>
                <w:rFonts w:hint="eastAsia"/>
              </w:rPr>
              <w:t>。</w:t>
            </w:r>
          </w:p>
          <w:p w14:paraId="79BE0F07">
            <w:pPr>
              <w:autoSpaceDE w:val="0"/>
              <w:autoSpaceDN w:val="0"/>
              <w:adjustRightInd w:val="0"/>
              <w:snapToGrid w:val="0"/>
              <w:spacing w:line="240" w:lineRule="auto"/>
              <w:jc w:val="center"/>
              <w:textAlignment w:val="baseline"/>
              <w:rPr>
                <w:b/>
                <w:color w:val="000000" w:themeColor="text1"/>
                <w:kern w:val="24"/>
                <w:szCs w:val="20"/>
                <w14:textFill>
                  <w14:solidFill>
                    <w14:schemeClr w14:val="tx1"/>
                  </w14:solidFill>
                </w14:textFill>
              </w:rPr>
            </w:pPr>
            <w:r>
              <w:rPr>
                <w:rFonts w:hint="eastAsia"/>
                <w:b/>
                <w:color w:val="000000" w:themeColor="text1"/>
                <w:kern w:val="24"/>
                <w:szCs w:val="20"/>
                <w14:textFill>
                  <w14:solidFill>
                    <w14:schemeClr w14:val="tx1"/>
                  </w14:solidFill>
                </w14:textFill>
              </w:rPr>
              <w:t>表4-</w:t>
            </w:r>
            <w:r>
              <w:rPr>
                <w:rFonts w:hint="eastAsia"/>
                <w:b/>
                <w:color w:val="000000" w:themeColor="text1"/>
                <w:kern w:val="24"/>
                <w:szCs w:val="20"/>
                <w:lang w:val="en-US" w:eastAsia="zh-CN"/>
                <w14:textFill>
                  <w14:solidFill>
                    <w14:schemeClr w14:val="tx1"/>
                  </w14:solidFill>
                </w14:textFill>
              </w:rPr>
              <w:t>20</w:t>
            </w:r>
            <w:r>
              <w:rPr>
                <w:rFonts w:hint="eastAsia"/>
                <w:b/>
                <w:color w:val="000000" w:themeColor="text1"/>
                <w:kern w:val="24"/>
                <w:szCs w:val="20"/>
                <w14:textFill>
                  <w14:solidFill>
                    <w14:schemeClr w14:val="tx1"/>
                  </w14:solidFill>
                </w14:textFill>
              </w:rPr>
              <w:t xml:space="preserve"> 项目噪声预测结果一览表 单位：dB(A)</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421"/>
              <w:gridCol w:w="1005"/>
              <w:gridCol w:w="1005"/>
              <w:gridCol w:w="1"/>
              <w:gridCol w:w="1004"/>
              <w:gridCol w:w="1013"/>
              <w:gridCol w:w="997"/>
              <w:gridCol w:w="1005"/>
              <w:gridCol w:w="3"/>
              <w:gridCol w:w="1002"/>
              <w:gridCol w:w="1009"/>
            </w:tblGrid>
            <w:tr w14:paraId="50B68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vMerge w:val="restart"/>
                  <w:tcBorders>
                    <w:tl2br w:val="nil"/>
                    <w:tr2bl w:val="nil"/>
                  </w:tcBorders>
                  <w:vAlign w:val="center"/>
                </w:tcPr>
                <w:p w14:paraId="7B458407">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噪声源</w:t>
                  </w:r>
                </w:p>
              </w:tc>
              <w:tc>
                <w:tcPr>
                  <w:tcW w:w="8044" w:type="dxa"/>
                  <w:gridSpan w:val="10"/>
                  <w:tcBorders>
                    <w:tl2br w:val="nil"/>
                    <w:tr2bl w:val="nil"/>
                  </w:tcBorders>
                  <w:vAlign w:val="center"/>
                </w:tcPr>
                <w:p w14:paraId="62661821">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厂界噪声贡献值</w:t>
                  </w:r>
                </w:p>
              </w:tc>
            </w:tr>
            <w:tr w14:paraId="07114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vMerge w:val="continue"/>
                  <w:tcBorders>
                    <w:tl2br w:val="nil"/>
                    <w:tr2bl w:val="nil"/>
                  </w:tcBorders>
                  <w:vAlign w:val="center"/>
                </w:tcPr>
                <w:p w14:paraId="21D629E5">
                  <w:pPr>
                    <w:adjustRightInd w:val="0"/>
                    <w:snapToGrid w:val="0"/>
                    <w:spacing w:line="240" w:lineRule="auto"/>
                    <w:jc w:val="center"/>
                    <w:rPr>
                      <w:b/>
                      <w:bCs/>
                      <w:color w:val="000000" w:themeColor="text1"/>
                      <w:kern w:val="0"/>
                      <w:sz w:val="21"/>
                      <w:szCs w:val="20"/>
                      <w14:textFill>
                        <w14:solidFill>
                          <w14:schemeClr w14:val="tx1"/>
                        </w14:solidFill>
                      </w14:textFill>
                    </w:rPr>
                  </w:pPr>
                </w:p>
              </w:tc>
              <w:tc>
                <w:tcPr>
                  <w:tcW w:w="2011" w:type="dxa"/>
                  <w:gridSpan w:val="3"/>
                  <w:tcBorders>
                    <w:tl2br w:val="nil"/>
                    <w:tr2bl w:val="nil"/>
                  </w:tcBorders>
                  <w:vAlign w:val="center"/>
                </w:tcPr>
                <w:p w14:paraId="72CB7F03">
                  <w:pPr>
                    <w:adjustRightInd w:val="0"/>
                    <w:snapToGrid w:val="0"/>
                    <w:spacing w:line="240" w:lineRule="auto"/>
                    <w:jc w:val="center"/>
                    <w:rPr>
                      <w:rFonts w:hint="eastAsia" w:eastAsia="宋体"/>
                      <w:b/>
                      <w:bCs/>
                      <w:color w:val="000000" w:themeColor="text1"/>
                      <w:kern w:val="0"/>
                      <w:sz w:val="21"/>
                      <w:szCs w:val="20"/>
                      <w:lang w:eastAsia="zh-CN"/>
                      <w14:textFill>
                        <w14:solidFill>
                          <w14:schemeClr w14:val="tx1"/>
                        </w14:solidFill>
                      </w14:textFill>
                    </w:rPr>
                  </w:pPr>
                  <w:r>
                    <w:rPr>
                      <w:rFonts w:hint="eastAsia"/>
                      <w:b/>
                      <w:bCs/>
                      <w:color w:val="000000" w:themeColor="text1"/>
                      <w:kern w:val="0"/>
                      <w:sz w:val="21"/>
                      <w:szCs w:val="20"/>
                      <w:lang w:eastAsia="zh-CN"/>
                      <w14:textFill>
                        <w14:solidFill>
                          <w14:schemeClr w14:val="tx1"/>
                        </w14:solidFill>
                      </w14:textFill>
                    </w:rPr>
                    <w:t>东</w:t>
                  </w:r>
                </w:p>
              </w:tc>
              <w:tc>
                <w:tcPr>
                  <w:tcW w:w="2017" w:type="dxa"/>
                  <w:gridSpan w:val="2"/>
                  <w:tcBorders>
                    <w:tl2br w:val="nil"/>
                    <w:tr2bl w:val="nil"/>
                  </w:tcBorders>
                  <w:vAlign w:val="center"/>
                </w:tcPr>
                <w:p w14:paraId="409B0ADC">
                  <w:pPr>
                    <w:adjustRightInd w:val="0"/>
                    <w:snapToGrid w:val="0"/>
                    <w:spacing w:line="240" w:lineRule="auto"/>
                    <w:jc w:val="center"/>
                    <w:rPr>
                      <w:rFonts w:hint="eastAsia" w:eastAsia="宋体"/>
                      <w:b/>
                      <w:bCs/>
                      <w:color w:val="000000" w:themeColor="text1"/>
                      <w:kern w:val="0"/>
                      <w:sz w:val="21"/>
                      <w:szCs w:val="20"/>
                      <w:lang w:eastAsia="zh-CN"/>
                      <w14:textFill>
                        <w14:solidFill>
                          <w14:schemeClr w14:val="tx1"/>
                        </w14:solidFill>
                      </w14:textFill>
                    </w:rPr>
                  </w:pPr>
                  <w:r>
                    <w:rPr>
                      <w:rFonts w:hint="eastAsia"/>
                      <w:b/>
                      <w:bCs/>
                      <w:color w:val="000000" w:themeColor="text1"/>
                      <w:kern w:val="0"/>
                      <w:sz w:val="21"/>
                      <w:szCs w:val="20"/>
                      <w:lang w:eastAsia="zh-CN"/>
                      <w14:textFill>
                        <w14:solidFill>
                          <w14:schemeClr w14:val="tx1"/>
                        </w14:solidFill>
                      </w14:textFill>
                    </w:rPr>
                    <w:t>南</w:t>
                  </w:r>
                </w:p>
              </w:tc>
              <w:tc>
                <w:tcPr>
                  <w:tcW w:w="2005" w:type="dxa"/>
                  <w:gridSpan w:val="3"/>
                  <w:tcBorders>
                    <w:tl2br w:val="nil"/>
                    <w:tr2bl w:val="nil"/>
                  </w:tcBorders>
                  <w:vAlign w:val="center"/>
                </w:tcPr>
                <w:p w14:paraId="2BDC782F">
                  <w:pPr>
                    <w:adjustRightInd w:val="0"/>
                    <w:snapToGrid w:val="0"/>
                    <w:spacing w:line="240" w:lineRule="auto"/>
                    <w:jc w:val="center"/>
                    <w:rPr>
                      <w:rFonts w:hint="eastAsia" w:eastAsia="宋体"/>
                      <w:b/>
                      <w:bCs/>
                      <w:color w:val="000000" w:themeColor="text1"/>
                      <w:kern w:val="0"/>
                      <w:sz w:val="21"/>
                      <w:szCs w:val="20"/>
                      <w:lang w:eastAsia="zh-CN"/>
                      <w14:textFill>
                        <w14:solidFill>
                          <w14:schemeClr w14:val="tx1"/>
                        </w14:solidFill>
                      </w14:textFill>
                    </w:rPr>
                  </w:pPr>
                  <w:r>
                    <w:rPr>
                      <w:rFonts w:hint="eastAsia"/>
                      <w:b/>
                      <w:bCs/>
                      <w:color w:val="000000" w:themeColor="text1"/>
                      <w:kern w:val="0"/>
                      <w:sz w:val="21"/>
                      <w:szCs w:val="20"/>
                      <w:lang w:eastAsia="zh-CN"/>
                      <w14:textFill>
                        <w14:solidFill>
                          <w14:schemeClr w14:val="tx1"/>
                        </w14:solidFill>
                      </w14:textFill>
                    </w:rPr>
                    <w:t>西</w:t>
                  </w:r>
                </w:p>
              </w:tc>
              <w:tc>
                <w:tcPr>
                  <w:tcW w:w="2011" w:type="dxa"/>
                  <w:gridSpan w:val="2"/>
                  <w:tcBorders>
                    <w:tl2br w:val="nil"/>
                    <w:tr2bl w:val="nil"/>
                  </w:tcBorders>
                  <w:vAlign w:val="center"/>
                </w:tcPr>
                <w:p w14:paraId="2113EE66">
                  <w:pPr>
                    <w:adjustRightInd w:val="0"/>
                    <w:snapToGrid w:val="0"/>
                    <w:spacing w:line="240" w:lineRule="auto"/>
                    <w:jc w:val="center"/>
                    <w:rPr>
                      <w:rFonts w:hint="eastAsia" w:eastAsia="宋体"/>
                      <w:b/>
                      <w:bCs/>
                      <w:color w:val="000000" w:themeColor="text1"/>
                      <w:kern w:val="0"/>
                      <w:sz w:val="21"/>
                      <w:szCs w:val="20"/>
                      <w:lang w:eastAsia="zh-CN"/>
                      <w14:textFill>
                        <w14:solidFill>
                          <w14:schemeClr w14:val="tx1"/>
                        </w14:solidFill>
                      </w14:textFill>
                    </w:rPr>
                  </w:pPr>
                  <w:r>
                    <w:rPr>
                      <w:rFonts w:hint="eastAsia"/>
                      <w:b/>
                      <w:bCs/>
                      <w:color w:val="000000" w:themeColor="text1"/>
                      <w:kern w:val="0"/>
                      <w:sz w:val="21"/>
                      <w:szCs w:val="20"/>
                      <w:lang w:eastAsia="zh-CN"/>
                      <w14:textFill>
                        <w14:solidFill>
                          <w14:schemeClr w14:val="tx1"/>
                        </w14:solidFill>
                      </w14:textFill>
                    </w:rPr>
                    <w:t>北</w:t>
                  </w:r>
                </w:p>
              </w:tc>
            </w:tr>
            <w:tr w14:paraId="7BD86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vMerge w:val="continue"/>
                  <w:tcBorders>
                    <w:tl2br w:val="nil"/>
                    <w:tr2bl w:val="nil"/>
                  </w:tcBorders>
                  <w:vAlign w:val="center"/>
                </w:tcPr>
                <w:p w14:paraId="40BC38C1">
                  <w:pPr>
                    <w:adjustRightInd w:val="0"/>
                    <w:snapToGrid w:val="0"/>
                    <w:spacing w:line="240" w:lineRule="auto"/>
                    <w:jc w:val="center"/>
                    <w:rPr>
                      <w:color w:val="000000" w:themeColor="text1"/>
                      <w14:textFill>
                        <w14:solidFill>
                          <w14:schemeClr w14:val="tx1"/>
                        </w14:solidFill>
                      </w14:textFill>
                    </w:rPr>
                  </w:pPr>
                </w:p>
              </w:tc>
              <w:tc>
                <w:tcPr>
                  <w:tcW w:w="1005" w:type="dxa"/>
                  <w:tcBorders>
                    <w:tl2br w:val="nil"/>
                    <w:tr2bl w:val="nil"/>
                  </w:tcBorders>
                  <w:vAlign w:val="center"/>
                </w:tcPr>
                <w:p w14:paraId="19CD30EF">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距离/m</w:t>
                  </w:r>
                </w:p>
              </w:tc>
              <w:tc>
                <w:tcPr>
                  <w:tcW w:w="1005" w:type="dxa"/>
                  <w:tcBorders>
                    <w:tl2br w:val="nil"/>
                    <w:tr2bl w:val="nil"/>
                  </w:tcBorders>
                  <w:shd w:val="clear" w:color="auto" w:fill="auto"/>
                  <w:vAlign w:val="center"/>
                </w:tcPr>
                <w:p w14:paraId="0415B915">
                  <w:pPr>
                    <w:adjustRightInd w:val="0"/>
                    <w:snapToGrid w:val="0"/>
                    <w:spacing w:line="240" w:lineRule="auto"/>
                    <w:jc w:val="center"/>
                    <w:rPr>
                      <w:rFonts w:hint="eastAsia" w:ascii="Times New Roman" w:hAnsi="Times New Roman" w:eastAsia="宋体" w:cs="Times New Roman"/>
                      <w:b/>
                      <w:bCs/>
                      <w:color w:val="000000" w:themeColor="text1"/>
                      <w:kern w:val="0"/>
                      <w:sz w:val="21"/>
                      <w:szCs w:val="20"/>
                      <w:lang w:val="en-US" w:eastAsia="zh-CN" w:bidi="ar-SA"/>
                      <w14:textFill>
                        <w14:solidFill>
                          <w14:schemeClr w14:val="tx1"/>
                        </w14:solidFill>
                      </w14:textFill>
                    </w:rPr>
                  </w:pPr>
                  <w:r>
                    <w:rPr>
                      <w:rFonts w:hint="eastAsia"/>
                      <w:b/>
                      <w:bCs/>
                      <w:color w:val="000000" w:themeColor="text1"/>
                      <w:kern w:val="0"/>
                      <w:sz w:val="21"/>
                      <w:szCs w:val="20"/>
                      <w14:textFill>
                        <w14:solidFill>
                          <w14:schemeClr w14:val="tx1"/>
                        </w14:solidFill>
                      </w14:textFill>
                    </w:rPr>
                    <w:t>贡献值</w:t>
                  </w:r>
                </w:p>
              </w:tc>
              <w:tc>
                <w:tcPr>
                  <w:tcW w:w="1005" w:type="dxa"/>
                  <w:gridSpan w:val="2"/>
                  <w:tcBorders>
                    <w:tl2br w:val="nil"/>
                    <w:tr2bl w:val="nil"/>
                  </w:tcBorders>
                  <w:vAlign w:val="center"/>
                </w:tcPr>
                <w:p w14:paraId="288DC702">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距离/m</w:t>
                  </w:r>
                </w:p>
              </w:tc>
              <w:tc>
                <w:tcPr>
                  <w:tcW w:w="1013" w:type="dxa"/>
                  <w:tcBorders>
                    <w:tl2br w:val="nil"/>
                    <w:tr2bl w:val="nil"/>
                  </w:tcBorders>
                  <w:vAlign w:val="center"/>
                </w:tcPr>
                <w:p w14:paraId="0B5B7972">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贡献值</w:t>
                  </w:r>
                </w:p>
              </w:tc>
              <w:tc>
                <w:tcPr>
                  <w:tcW w:w="997" w:type="dxa"/>
                  <w:tcBorders>
                    <w:tl2br w:val="nil"/>
                    <w:tr2bl w:val="nil"/>
                  </w:tcBorders>
                  <w:vAlign w:val="center"/>
                </w:tcPr>
                <w:p w14:paraId="2C6769B1">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距离/m</w:t>
                  </w:r>
                </w:p>
              </w:tc>
              <w:tc>
                <w:tcPr>
                  <w:tcW w:w="1005" w:type="dxa"/>
                  <w:tcBorders>
                    <w:tl2br w:val="nil"/>
                    <w:tr2bl w:val="nil"/>
                  </w:tcBorders>
                  <w:vAlign w:val="center"/>
                </w:tcPr>
                <w:p w14:paraId="56A6ECAF">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贡献值</w:t>
                  </w:r>
                </w:p>
              </w:tc>
              <w:tc>
                <w:tcPr>
                  <w:tcW w:w="1005" w:type="dxa"/>
                  <w:gridSpan w:val="2"/>
                  <w:tcBorders>
                    <w:tl2br w:val="nil"/>
                    <w:tr2bl w:val="nil"/>
                  </w:tcBorders>
                  <w:vAlign w:val="center"/>
                </w:tcPr>
                <w:p w14:paraId="72BD6DC5">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距离/m</w:t>
                  </w:r>
                </w:p>
              </w:tc>
              <w:tc>
                <w:tcPr>
                  <w:tcW w:w="1009" w:type="dxa"/>
                  <w:tcBorders>
                    <w:tl2br w:val="nil"/>
                    <w:tr2bl w:val="nil"/>
                  </w:tcBorders>
                  <w:vAlign w:val="center"/>
                </w:tcPr>
                <w:p w14:paraId="1A9E6839">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贡献值</w:t>
                  </w:r>
                </w:p>
              </w:tc>
            </w:tr>
            <w:tr w14:paraId="25399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tcBorders>
                    <w:tl2br w:val="nil"/>
                    <w:tr2bl w:val="nil"/>
                  </w:tcBorders>
                  <w:vAlign w:val="center"/>
                </w:tcPr>
                <w:p w14:paraId="5341AAEC">
                  <w:pPr>
                    <w:adjustRightInd w:val="0"/>
                    <w:snapToGrid w:val="0"/>
                    <w:spacing w:line="240" w:lineRule="auto"/>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eastAsia="zh-CN"/>
                      <w14:textFill>
                        <w14:solidFill>
                          <w14:schemeClr w14:val="tx1"/>
                        </w14:solidFill>
                      </w14:textFill>
                    </w:rPr>
                    <w:t>厂区</w:t>
                  </w:r>
                </w:p>
              </w:tc>
              <w:tc>
                <w:tcPr>
                  <w:tcW w:w="1005" w:type="dxa"/>
                  <w:tcBorders>
                    <w:tl2br w:val="nil"/>
                    <w:tr2bl w:val="nil"/>
                  </w:tcBorders>
                  <w:vAlign w:val="center"/>
                </w:tcPr>
                <w:p w14:paraId="56F5C843">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w:t>
                  </w:r>
                </w:p>
              </w:tc>
              <w:tc>
                <w:tcPr>
                  <w:tcW w:w="1005" w:type="dxa"/>
                  <w:tcBorders>
                    <w:tl2br w:val="nil"/>
                    <w:tr2bl w:val="nil"/>
                  </w:tcBorders>
                  <w:shd w:val="clear" w:color="auto" w:fill="auto"/>
                  <w:vAlign w:val="center"/>
                </w:tcPr>
                <w:p w14:paraId="33F67329">
                  <w:pPr>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lang w:val="en-US" w:eastAsia="zh-CN"/>
                    </w:rPr>
                    <w:t>34.94</w:t>
                  </w:r>
                </w:p>
              </w:tc>
              <w:tc>
                <w:tcPr>
                  <w:tcW w:w="1005" w:type="dxa"/>
                  <w:gridSpan w:val="2"/>
                  <w:tcBorders>
                    <w:tl2br w:val="nil"/>
                    <w:tr2bl w:val="nil"/>
                  </w:tcBorders>
                  <w:vAlign w:val="center"/>
                </w:tcPr>
                <w:p w14:paraId="3F2F912A">
                  <w:pPr>
                    <w:adjustRightInd w:val="0"/>
                    <w:snapToGrid w:val="0"/>
                    <w:spacing w:line="240" w:lineRule="auto"/>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w:t>
                  </w:r>
                </w:p>
              </w:tc>
              <w:tc>
                <w:tcPr>
                  <w:tcW w:w="1013" w:type="dxa"/>
                  <w:tcBorders>
                    <w:tl2br w:val="nil"/>
                    <w:tr2bl w:val="nil"/>
                  </w:tcBorders>
                  <w:vAlign w:val="center"/>
                </w:tcPr>
                <w:p w14:paraId="2D6E6E00">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lang w:val="en-US" w:eastAsia="zh-CN"/>
                    </w:rPr>
                    <w:t>38.66</w:t>
                  </w:r>
                </w:p>
              </w:tc>
              <w:tc>
                <w:tcPr>
                  <w:tcW w:w="997" w:type="dxa"/>
                  <w:tcBorders>
                    <w:tl2br w:val="nil"/>
                    <w:tr2bl w:val="nil"/>
                  </w:tcBorders>
                  <w:vAlign w:val="center"/>
                </w:tcPr>
                <w:p w14:paraId="4550DA84">
                  <w:pPr>
                    <w:pStyle w:val="14"/>
                    <w:bidi w:val="0"/>
                    <w:rPr>
                      <w:rFonts w:hint="default"/>
                      <w:lang w:val="en-US" w:eastAsia="zh-CN"/>
                    </w:rPr>
                  </w:pPr>
                  <w:r>
                    <w:rPr>
                      <w:rFonts w:hint="eastAsia"/>
                      <w:lang w:val="en-US" w:eastAsia="zh-CN"/>
                    </w:rPr>
                    <w:t xml:space="preserve"> 1</w:t>
                  </w:r>
                </w:p>
              </w:tc>
              <w:tc>
                <w:tcPr>
                  <w:tcW w:w="1005" w:type="dxa"/>
                  <w:tcBorders>
                    <w:tl2br w:val="nil"/>
                    <w:tr2bl w:val="nil"/>
                  </w:tcBorders>
                  <w:vAlign w:val="center"/>
                </w:tcPr>
                <w:p w14:paraId="54256B9D">
                  <w:pPr>
                    <w:pStyle w:val="14"/>
                    <w:bidi w:val="0"/>
                    <w:rPr>
                      <w:rFonts w:hint="default"/>
                      <w:lang w:val="en-US" w:eastAsia="zh-CN"/>
                    </w:rPr>
                  </w:pPr>
                  <w:r>
                    <w:rPr>
                      <w:rFonts w:hint="eastAsia"/>
                      <w:lang w:val="en-US" w:eastAsia="zh-CN"/>
                    </w:rPr>
                    <w:t xml:space="preserve"> 40.13</w:t>
                  </w:r>
                </w:p>
              </w:tc>
              <w:tc>
                <w:tcPr>
                  <w:tcW w:w="1005" w:type="dxa"/>
                  <w:gridSpan w:val="2"/>
                  <w:tcBorders>
                    <w:tl2br w:val="nil"/>
                    <w:tr2bl w:val="nil"/>
                  </w:tcBorders>
                  <w:vAlign w:val="center"/>
                </w:tcPr>
                <w:p w14:paraId="6AC85132">
                  <w:pPr>
                    <w:pStyle w:val="14"/>
                    <w:bidi w:val="0"/>
                    <w:rPr>
                      <w:rFonts w:hint="eastAsia"/>
                      <w:lang w:eastAsia="zh-CN"/>
                    </w:rPr>
                  </w:pPr>
                  <w:r>
                    <w:rPr>
                      <w:rFonts w:hint="eastAsia"/>
                      <w:lang w:val="en-US" w:eastAsia="zh-CN"/>
                    </w:rPr>
                    <w:t xml:space="preserve">1 </w:t>
                  </w:r>
                </w:p>
              </w:tc>
              <w:tc>
                <w:tcPr>
                  <w:tcW w:w="1009" w:type="dxa"/>
                  <w:tcBorders>
                    <w:tl2br w:val="nil"/>
                    <w:tr2bl w:val="nil"/>
                  </w:tcBorders>
                  <w:vAlign w:val="center"/>
                </w:tcPr>
                <w:p w14:paraId="434D9598">
                  <w:pPr>
                    <w:pStyle w:val="14"/>
                    <w:bidi w:val="0"/>
                  </w:pPr>
                  <w:r>
                    <w:rPr>
                      <w:rFonts w:hint="eastAsia"/>
                      <w:lang w:val="en-US" w:eastAsia="zh-CN"/>
                    </w:rPr>
                    <w:t xml:space="preserve">40.65 </w:t>
                  </w:r>
                </w:p>
              </w:tc>
            </w:tr>
            <w:tr w14:paraId="7912A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vMerge w:val="restart"/>
                  <w:tcBorders>
                    <w:tl2br w:val="nil"/>
                    <w:tr2bl w:val="nil"/>
                  </w:tcBorders>
                  <w:vAlign w:val="center"/>
                </w:tcPr>
                <w:p w14:paraId="674DA427">
                  <w:pPr>
                    <w:pStyle w:val="15"/>
                    <w:bidi w:val="0"/>
                    <w:rPr>
                      <w:b/>
                      <w:bCs/>
                      <w:sz w:val="21"/>
                      <w:szCs w:val="21"/>
                    </w:rPr>
                  </w:pPr>
                  <w:r>
                    <w:rPr>
                      <w:rFonts w:hint="eastAsia"/>
                      <w:b/>
                      <w:bCs/>
                      <w:color w:val="000000" w:themeColor="text1"/>
                      <w:kern w:val="0"/>
                      <w:sz w:val="21"/>
                      <w:szCs w:val="21"/>
                      <w14:textFill>
                        <w14:solidFill>
                          <w14:schemeClr w14:val="tx1"/>
                        </w14:solidFill>
                      </w14:textFill>
                    </w:rPr>
                    <w:t>标准值</w:t>
                  </w:r>
                </w:p>
              </w:tc>
              <w:tc>
                <w:tcPr>
                  <w:tcW w:w="1005" w:type="dxa"/>
                  <w:tcBorders>
                    <w:tl2br w:val="nil"/>
                    <w:tr2bl w:val="nil"/>
                  </w:tcBorders>
                  <w:vAlign w:val="center"/>
                </w:tcPr>
                <w:p w14:paraId="2DDFBD6E">
                  <w:pPr>
                    <w:pStyle w:val="15"/>
                    <w:bidi w:val="0"/>
                    <w:rPr>
                      <w:sz w:val="21"/>
                      <w:szCs w:val="21"/>
                    </w:rPr>
                  </w:pPr>
                  <w:r>
                    <w:rPr>
                      <w:rFonts w:hint="eastAsia"/>
                      <w:sz w:val="21"/>
                      <w:szCs w:val="21"/>
                    </w:rPr>
                    <w:t>昼间</w:t>
                  </w:r>
                </w:p>
              </w:tc>
              <w:tc>
                <w:tcPr>
                  <w:tcW w:w="1005" w:type="dxa"/>
                  <w:tcBorders>
                    <w:tl2br w:val="nil"/>
                    <w:tr2bl w:val="nil"/>
                  </w:tcBorders>
                  <w:vAlign w:val="center"/>
                </w:tcPr>
                <w:p w14:paraId="404159DB">
                  <w:pPr>
                    <w:pStyle w:val="15"/>
                    <w:bidi w:val="0"/>
                    <w:rPr>
                      <w:rFonts w:hint="eastAsia"/>
                      <w:sz w:val="21"/>
                      <w:szCs w:val="21"/>
                      <w:lang w:eastAsia="zh-CN"/>
                    </w:rPr>
                  </w:pPr>
                  <w:r>
                    <w:rPr>
                      <w:rFonts w:hint="eastAsia"/>
                      <w:sz w:val="21"/>
                      <w:szCs w:val="21"/>
                      <w:lang w:eastAsia="zh-CN"/>
                    </w:rPr>
                    <w:t>夜间</w:t>
                  </w:r>
                </w:p>
              </w:tc>
              <w:tc>
                <w:tcPr>
                  <w:tcW w:w="1005" w:type="dxa"/>
                  <w:gridSpan w:val="2"/>
                  <w:tcBorders>
                    <w:tl2br w:val="nil"/>
                    <w:tr2bl w:val="nil"/>
                  </w:tcBorders>
                  <w:vAlign w:val="center"/>
                </w:tcPr>
                <w:p w14:paraId="62D59272">
                  <w:pPr>
                    <w:pStyle w:val="15"/>
                    <w:bidi w:val="0"/>
                    <w:rPr>
                      <w:sz w:val="21"/>
                      <w:szCs w:val="21"/>
                    </w:rPr>
                  </w:pPr>
                  <w:r>
                    <w:rPr>
                      <w:rFonts w:hint="eastAsia"/>
                      <w:sz w:val="21"/>
                      <w:szCs w:val="21"/>
                    </w:rPr>
                    <w:t>昼间</w:t>
                  </w:r>
                </w:p>
              </w:tc>
              <w:tc>
                <w:tcPr>
                  <w:tcW w:w="1013" w:type="dxa"/>
                  <w:tcBorders>
                    <w:tl2br w:val="nil"/>
                    <w:tr2bl w:val="nil"/>
                  </w:tcBorders>
                  <w:vAlign w:val="center"/>
                </w:tcPr>
                <w:p w14:paraId="521E7F94">
                  <w:pPr>
                    <w:pStyle w:val="15"/>
                    <w:bidi w:val="0"/>
                    <w:rPr>
                      <w:sz w:val="21"/>
                      <w:szCs w:val="21"/>
                    </w:rPr>
                  </w:pPr>
                  <w:r>
                    <w:rPr>
                      <w:rFonts w:hint="eastAsia"/>
                      <w:sz w:val="21"/>
                      <w:szCs w:val="21"/>
                      <w:lang w:eastAsia="zh-CN"/>
                    </w:rPr>
                    <w:t>夜间</w:t>
                  </w:r>
                </w:p>
              </w:tc>
              <w:tc>
                <w:tcPr>
                  <w:tcW w:w="997" w:type="dxa"/>
                  <w:tcBorders>
                    <w:tl2br w:val="nil"/>
                    <w:tr2bl w:val="nil"/>
                  </w:tcBorders>
                  <w:vAlign w:val="center"/>
                </w:tcPr>
                <w:p w14:paraId="5BF5D93E">
                  <w:pPr>
                    <w:pStyle w:val="15"/>
                    <w:bidi w:val="0"/>
                    <w:rPr>
                      <w:sz w:val="21"/>
                      <w:szCs w:val="21"/>
                    </w:rPr>
                  </w:pPr>
                  <w:r>
                    <w:rPr>
                      <w:rFonts w:hint="eastAsia"/>
                      <w:sz w:val="21"/>
                      <w:szCs w:val="21"/>
                    </w:rPr>
                    <w:t>昼间</w:t>
                  </w:r>
                </w:p>
              </w:tc>
              <w:tc>
                <w:tcPr>
                  <w:tcW w:w="1005" w:type="dxa"/>
                  <w:tcBorders>
                    <w:tl2br w:val="nil"/>
                    <w:tr2bl w:val="nil"/>
                  </w:tcBorders>
                  <w:vAlign w:val="center"/>
                </w:tcPr>
                <w:p w14:paraId="7FBB081B">
                  <w:pPr>
                    <w:pStyle w:val="15"/>
                    <w:bidi w:val="0"/>
                    <w:rPr>
                      <w:sz w:val="21"/>
                      <w:szCs w:val="21"/>
                    </w:rPr>
                  </w:pPr>
                  <w:r>
                    <w:rPr>
                      <w:rFonts w:hint="eastAsia"/>
                      <w:sz w:val="21"/>
                      <w:szCs w:val="21"/>
                      <w:lang w:eastAsia="zh-CN"/>
                    </w:rPr>
                    <w:t>夜间</w:t>
                  </w:r>
                </w:p>
              </w:tc>
              <w:tc>
                <w:tcPr>
                  <w:tcW w:w="1005" w:type="dxa"/>
                  <w:gridSpan w:val="2"/>
                  <w:tcBorders>
                    <w:tl2br w:val="nil"/>
                    <w:tr2bl w:val="nil"/>
                  </w:tcBorders>
                  <w:vAlign w:val="center"/>
                </w:tcPr>
                <w:p w14:paraId="760D035A">
                  <w:pPr>
                    <w:pStyle w:val="15"/>
                    <w:bidi w:val="0"/>
                    <w:rPr>
                      <w:sz w:val="21"/>
                      <w:szCs w:val="21"/>
                    </w:rPr>
                  </w:pPr>
                  <w:r>
                    <w:rPr>
                      <w:rFonts w:hint="eastAsia"/>
                      <w:sz w:val="21"/>
                      <w:szCs w:val="21"/>
                    </w:rPr>
                    <w:t>昼间</w:t>
                  </w:r>
                </w:p>
              </w:tc>
              <w:tc>
                <w:tcPr>
                  <w:tcW w:w="1009" w:type="dxa"/>
                  <w:tcBorders>
                    <w:tl2br w:val="nil"/>
                    <w:tr2bl w:val="nil"/>
                  </w:tcBorders>
                  <w:vAlign w:val="center"/>
                </w:tcPr>
                <w:p w14:paraId="02ACC481">
                  <w:pPr>
                    <w:pStyle w:val="15"/>
                    <w:bidi w:val="0"/>
                    <w:rPr>
                      <w:sz w:val="21"/>
                      <w:szCs w:val="21"/>
                    </w:rPr>
                  </w:pPr>
                  <w:r>
                    <w:rPr>
                      <w:rFonts w:hint="eastAsia"/>
                      <w:sz w:val="21"/>
                      <w:szCs w:val="21"/>
                      <w:lang w:eastAsia="zh-CN"/>
                    </w:rPr>
                    <w:t>夜间</w:t>
                  </w:r>
                </w:p>
              </w:tc>
            </w:tr>
            <w:tr w14:paraId="70A64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vMerge w:val="continue"/>
                  <w:tcBorders>
                    <w:tl2br w:val="nil"/>
                    <w:tr2bl w:val="nil"/>
                  </w:tcBorders>
                  <w:vAlign w:val="center"/>
                </w:tcPr>
                <w:p w14:paraId="40248247">
                  <w:pPr>
                    <w:adjustRightInd w:val="0"/>
                    <w:snapToGrid w:val="0"/>
                    <w:spacing w:line="240" w:lineRule="auto"/>
                    <w:jc w:val="center"/>
                    <w:rPr>
                      <w:b/>
                      <w:bCs/>
                      <w:color w:val="000000" w:themeColor="text1"/>
                      <w:kern w:val="0"/>
                      <w:sz w:val="21"/>
                      <w:szCs w:val="20"/>
                      <w14:textFill>
                        <w14:solidFill>
                          <w14:schemeClr w14:val="tx1"/>
                        </w14:solidFill>
                      </w14:textFill>
                    </w:rPr>
                  </w:pPr>
                </w:p>
              </w:tc>
              <w:tc>
                <w:tcPr>
                  <w:tcW w:w="1005" w:type="dxa"/>
                  <w:tcBorders>
                    <w:tl2br w:val="nil"/>
                    <w:tr2bl w:val="nil"/>
                  </w:tcBorders>
                  <w:vAlign w:val="center"/>
                </w:tcPr>
                <w:p w14:paraId="59EA6FA5">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kern w:val="0"/>
                      <w:sz w:val="21"/>
                      <w:szCs w:val="20"/>
                      <w14:textFill>
                        <w14:solidFill>
                          <w14:schemeClr w14:val="tx1"/>
                        </w14:solidFill>
                      </w14:textFill>
                    </w:rPr>
                    <w:t>65</w:t>
                  </w:r>
                </w:p>
              </w:tc>
              <w:tc>
                <w:tcPr>
                  <w:tcW w:w="1005" w:type="dxa"/>
                  <w:tcBorders>
                    <w:tl2br w:val="nil"/>
                    <w:tr2bl w:val="nil"/>
                  </w:tcBorders>
                  <w:vAlign w:val="center"/>
                </w:tcPr>
                <w:p w14:paraId="58F14426">
                  <w:pPr>
                    <w:adjustRightInd w:val="0"/>
                    <w:snapToGrid w:val="0"/>
                    <w:spacing w:line="240" w:lineRule="auto"/>
                    <w:jc w:val="center"/>
                    <w:rPr>
                      <w:rFonts w:hint="default" w:eastAsia="宋体"/>
                      <w:color w:val="000000" w:themeColor="text1"/>
                      <w:kern w:val="0"/>
                      <w:sz w:val="21"/>
                      <w:szCs w:val="20"/>
                      <w:lang w:val="en-US" w:eastAsia="zh-CN"/>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50</w:t>
                  </w:r>
                </w:p>
              </w:tc>
              <w:tc>
                <w:tcPr>
                  <w:tcW w:w="1005" w:type="dxa"/>
                  <w:gridSpan w:val="2"/>
                  <w:tcBorders>
                    <w:tl2br w:val="nil"/>
                    <w:tr2bl w:val="nil"/>
                  </w:tcBorders>
                  <w:vAlign w:val="center"/>
                </w:tcPr>
                <w:p w14:paraId="7CE624A2">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65</w:t>
                  </w:r>
                </w:p>
              </w:tc>
              <w:tc>
                <w:tcPr>
                  <w:tcW w:w="1013" w:type="dxa"/>
                  <w:tcBorders>
                    <w:tl2br w:val="nil"/>
                    <w:tr2bl w:val="nil"/>
                  </w:tcBorders>
                  <w:vAlign w:val="center"/>
                </w:tcPr>
                <w:p w14:paraId="79906E91">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50</w:t>
                  </w:r>
                </w:p>
              </w:tc>
              <w:tc>
                <w:tcPr>
                  <w:tcW w:w="997" w:type="dxa"/>
                  <w:tcBorders>
                    <w:tl2br w:val="nil"/>
                    <w:tr2bl w:val="nil"/>
                  </w:tcBorders>
                  <w:vAlign w:val="center"/>
                </w:tcPr>
                <w:p w14:paraId="43CF7A07">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65</w:t>
                  </w:r>
                </w:p>
              </w:tc>
              <w:tc>
                <w:tcPr>
                  <w:tcW w:w="1005" w:type="dxa"/>
                  <w:tcBorders>
                    <w:tl2br w:val="nil"/>
                    <w:tr2bl w:val="nil"/>
                  </w:tcBorders>
                  <w:vAlign w:val="center"/>
                </w:tcPr>
                <w:p w14:paraId="11035790">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50</w:t>
                  </w:r>
                </w:p>
              </w:tc>
              <w:tc>
                <w:tcPr>
                  <w:tcW w:w="1005" w:type="dxa"/>
                  <w:gridSpan w:val="2"/>
                  <w:tcBorders>
                    <w:tl2br w:val="nil"/>
                    <w:tr2bl w:val="nil"/>
                  </w:tcBorders>
                  <w:vAlign w:val="center"/>
                </w:tcPr>
                <w:p w14:paraId="2D0B6EBB">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65</w:t>
                  </w:r>
                </w:p>
              </w:tc>
              <w:tc>
                <w:tcPr>
                  <w:tcW w:w="1009" w:type="dxa"/>
                  <w:tcBorders>
                    <w:tl2br w:val="nil"/>
                    <w:tr2bl w:val="nil"/>
                  </w:tcBorders>
                  <w:vAlign w:val="center"/>
                </w:tcPr>
                <w:p w14:paraId="09286B92">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lang w:val="en-US" w:eastAsia="zh-CN"/>
                      <w14:textFill>
                        <w14:solidFill>
                          <w14:schemeClr w14:val="tx1"/>
                        </w14:solidFill>
                      </w14:textFill>
                    </w:rPr>
                    <w:t>50</w:t>
                  </w:r>
                </w:p>
              </w:tc>
            </w:tr>
            <w:tr w14:paraId="325E0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jc w:val="center"/>
              </w:trPr>
              <w:tc>
                <w:tcPr>
                  <w:tcW w:w="1421" w:type="dxa"/>
                  <w:tcBorders>
                    <w:tl2br w:val="nil"/>
                    <w:tr2bl w:val="nil"/>
                  </w:tcBorders>
                  <w:vAlign w:val="center"/>
                </w:tcPr>
                <w:p w14:paraId="6A01C9BF">
                  <w:pPr>
                    <w:adjustRightInd w:val="0"/>
                    <w:snapToGrid w:val="0"/>
                    <w:spacing w:line="240" w:lineRule="auto"/>
                    <w:jc w:val="center"/>
                    <w:rPr>
                      <w:b/>
                      <w:bCs/>
                      <w:color w:val="000000" w:themeColor="text1"/>
                      <w:kern w:val="0"/>
                      <w:sz w:val="21"/>
                      <w:szCs w:val="20"/>
                      <w14:textFill>
                        <w14:solidFill>
                          <w14:schemeClr w14:val="tx1"/>
                        </w14:solidFill>
                      </w14:textFill>
                    </w:rPr>
                  </w:pPr>
                  <w:r>
                    <w:rPr>
                      <w:rFonts w:hint="eastAsia"/>
                      <w:b/>
                      <w:bCs/>
                      <w:color w:val="000000" w:themeColor="text1"/>
                      <w:kern w:val="0"/>
                      <w:sz w:val="21"/>
                      <w:szCs w:val="20"/>
                      <w14:textFill>
                        <w14:solidFill>
                          <w14:schemeClr w14:val="tx1"/>
                        </w14:solidFill>
                      </w14:textFill>
                    </w:rPr>
                    <w:t>达标情况</w:t>
                  </w:r>
                </w:p>
              </w:tc>
              <w:tc>
                <w:tcPr>
                  <w:tcW w:w="1005" w:type="dxa"/>
                  <w:tcBorders>
                    <w:tl2br w:val="nil"/>
                    <w:tr2bl w:val="nil"/>
                  </w:tcBorders>
                  <w:vAlign w:val="center"/>
                </w:tcPr>
                <w:p w14:paraId="5891548B">
                  <w:pPr>
                    <w:adjustRightInd w:val="0"/>
                    <w:snapToGrid w:val="0"/>
                    <w:spacing w:line="240" w:lineRule="auto"/>
                    <w:jc w:val="center"/>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达标</w:t>
                  </w:r>
                </w:p>
              </w:tc>
              <w:tc>
                <w:tcPr>
                  <w:tcW w:w="1005" w:type="dxa"/>
                  <w:tcBorders>
                    <w:tl2br w:val="nil"/>
                    <w:tr2bl w:val="nil"/>
                  </w:tcBorders>
                  <w:vAlign w:val="center"/>
                </w:tcPr>
                <w:p w14:paraId="6AD207FC">
                  <w:pPr>
                    <w:adjustRightInd w:val="0"/>
                    <w:snapToGrid w:val="0"/>
                    <w:spacing w:line="240" w:lineRule="auto"/>
                    <w:jc w:val="center"/>
                    <w:rPr>
                      <w:rFonts w:hint="eastAsia" w:eastAsia="宋体"/>
                      <w:color w:val="000000" w:themeColor="text1"/>
                      <w:kern w:val="0"/>
                      <w:sz w:val="21"/>
                      <w:szCs w:val="20"/>
                      <w:lang w:eastAsia="zh-CN"/>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达标</w:t>
                  </w:r>
                </w:p>
              </w:tc>
              <w:tc>
                <w:tcPr>
                  <w:tcW w:w="1005" w:type="dxa"/>
                  <w:gridSpan w:val="2"/>
                  <w:tcBorders>
                    <w:tl2br w:val="nil"/>
                    <w:tr2bl w:val="nil"/>
                  </w:tcBorders>
                  <w:vAlign w:val="center"/>
                </w:tcPr>
                <w:p w14:paraId="7A32DE09">
                  <w:pPr>
                    <w:adjustRightInd w:val="0"/>
                    <w:snapToGrid w:val="0"/>
                    <w:spacing w:line="240" w:lineRule="auto"/>
                    <w:jc w:val="center"/>
                    <w:rPr>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达标</w:t>
                  </w:r>
                </w:p>
              </w:tc>
              <w:tc>
                <w:tcPr>
                  <w:tcW w:w="1013" w:type="dxa"/>
                  <w:tcBorders>
                    <w:tl2br w:val="nil"/>
                    <w:tr2bl w:val="nil"/>
                  </w:tcBorders>
                  <w:vAlign w:val="center"/>
                </w:tcPr>
                <w:p w14:paraId="601A49E6">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达标</w:t>
                  </w:r>
                </w:p>
              </w:tc>
              <w:tc>
                <w:tcPr>
                  <w:tcW w:w="997" w:type="dxa"/>
                  <w:tcBorders>
                    <w:tl2br w:val="nil"/>
                    <w:tr2bl w:val="nil"/>
                  </w:tcBorders>
                  <w:vAlign w:val="center"/>
                </w:tcPr>
                <w:p w14:paraId="45F9470C">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达标</w:t>
                  </w:r>
                </w:p>
              </w:tc>
              <w:tc>
                <w:tcPr>
                  <w:tcW w:w="1005" w:type="dxa"/>
                  <w:tcBorders>
                    <w:tl2br w:val="nil"/>
                    <w:tr2bl w:val="nil"/>
                  </w:tcBorders>
                  <w:vAlign w:val="center"/>
                </w:tcPr>
                <w:p w14:paraId="4DCCFCF0">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lang w:eastAsia="zh-CN"/>
                      <w14:textFill>
                        <w14:solidFill>
                          <w14:schemeClr w14:val="tx1"/>
                        </w14:solidFill>
                      </w14:textFill>
                    </w:rPr>
                    <w:t>达标</w:t>
                  </w:r>
                </w:p>
              </w:tc>
              <w:tc>
                <w:tcPr>
                  <w:tcW w:w="1005" w:type="dxa"/>
                  <w:gridSpan w:val="2"/>
                  <w:tcBorders>
                    <w:tl2br w:val="nil"/>
                    <w:tr2bl w:val="nil"/>
                  </w:tcBorders>
                  <w:vAlign w:val="center"/>
                </w:tcPr>
                <w:p w14:paraId="4CC3B7C4">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color w:val="000000" w:themeColor="text1"/>
                      <w:kern w:val="0"/>
                      <w:sz w:val="21"/>
                      <w:szCs w:val="20"/>
                      <w14:textFill>
                        <w14:solidFill>
                          <w14:schemeClr w14:val="tx1"/>
                        </w14:solidFill>
                      </w14:textFill>
                    </w:rPr>
                    <w:t>达标</w:t>
                  </w:r>
                </w:p>
              </w:tc>
              <w:tc>
                <w:tcPr>
                  <w:tcW w:w="1009" w:type="dxa"/>
                  <w:tcBorders>
                    <w:tl2br w:val="nil"/>
                    <w:tr2bl w:val="nil"/>
                  </w:tcBorders>
                  <w:vAlign w:val="center"/>
                </w:tcPr>
                <w:p w14:paraId="6E79D2AD">
                  <w:pPr>
                    <w:adjustRightInd w:val="0"/>
                    <w:snapToGrid w:val="0"/>
                    <w:spacing w:line="240" w:lineRule="auto"/>
                    <w:jc w:val="center"/>
                    <w:rPr>
                      <w:rFonts w:hint="eastAsia"/>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达标</w:t>
                  </w:r>
                </w:p>
              </w:tc>
            </w:tr>
          </w:tbl>
          <w:p w14:paraId="452250F2">
            <w:pPr>
              <w:autoSpaceDE w:val="0"/>
              <w:autoSpaceDN w:val="0"/>
              <w:adjustRightInd w:val="0"/>
              <w:snapToGrid w:val="0"/>
              <w:spacing w:line="240" w:lineRule="auto"/>
              <w:textAlignment w:val="baseline"/>
              <w:rPr>
                <w:b/>
                <w:kern w:val="24"/>
                <w:szCs w:val="20"/>
              </w:rPr>
            </w:pPr>
          </w:p>
          <w:p w14:paraId="5118F640">
            <w:pPr>
              <w:adjustRightInd w:val="0"/>
              <w:snapToGrid w:val="0"/>
              <w:ind w:firstLine="480" w:firstLineChars="200"/>
            </w:pPr>
            <w:r>
              <w:rPr>
                <w:rFonts w:hint="eastAsia"/>
              </w:rPr>
              <w:t>由以上预测可知，通过采取降噪措施，</w:t>
            </w:r>
            <w:r>
              <w:rPr>
                <w:rFonts w:hint="eastAsia"/>
                <w:color w:val="000000" w:themeColor="text1"/>
                <w14:textFill>
                  <w14:solidFill>
                    <w14:schemeClr w14:val="tx1"/>
                  </w14:solidFill>
                </w14:textFill>
              </w:rPr>
              <w:t>项目厂界噪声最大贡献值为</w:t>
            </w:r>
            <w:r>
              <w:rPr>
                <w:rFonts w:hint="eastAsia"/>
                <w:color w:val="000000" w:themeColor="text1"/>
                <w:lang w:val="en-US" w:eastAsia="zh-CN"/>
                <w14:textFill>
                  <w14:solidFill>
                    <w14:schemeClr w14:val="tx1"/>
                  </w14:solidFill>
                </w14:textFill>
              </w:rPr>
              <w:t>40.65</w:t>
            </w:r>
            <w:r>
              <w:rPr>
                <w:rFonts w:hint="eastAsia"/>
                <w:color w:val="000000" w:themeColor="text1"/>
                <w14:textFill>
                  <w14:solidFill>
                    <w14:schemeClr w14:val="tx1"/>
                  </w14:solidFill>
                </w14:textFill>
              </w:rPr>
              <w:t>dB(A)，本项目运营期厂界噪声排放满足《声环境质量标准》（GB3096-2008）中3类标准[昼间≤65dB（A）、夜间≤55dB（A）]。周边距离本项目最近的敏感点为道城洞，距离约为430m，通过对设备采取降噪措施，对项目周边的敏感目标的影响较小。</w:t>
            </w:r>
          </w:p>
          <w:p w14:paraId="1B82DD3B">
            <w:pPr>
              <w:adjustRightInd w:val="0"/>
              <w:snapToGrid w:val="0"/>
              <w:ind w:firstLine="480" w:firstLineChars="200"/>
            </w:pPr>
            <w:r>
              <w:rPr>
                <w:rFonts w:hint="eastAsia"/>
              </w:rPr>
              <w:t>本项目噪声主要来源于固定源，主要为吸氨器、工艺水泵、尾气吸收塔、吸收循环泵、凉水塔、软水器和纯水泵等设备噪声，各噪声源的声级为</w:t>
            </w:r>
            <w:r>
              <w:rPr>
                <w:rFonts w:hint="eastAsia"/>
                <w:lang w:val="en-US" w:eastAsia="zh-CN"/>
              </w:rPr>
              <w:t>6</w:t>
            </w:r>
            <w:r>
              <w:rPr>
                <w:rFonts w:hint="eastAsia"/>
              </w:rPr>
              <w:t>5~8</w:t>
            </w:r>
            <w:r>
              <w:rPr>
                <w:rFonts w:hint="eastAsia"/>
                <w:lang w:val="en-US" w:eastAsia="zh-CN"/>
              </w:rPr>
              <w:t>5</w:t>
            </w:r>
            <w:r>
              <w:rPr>
                <w:rFonts w:hint="eastAsia"/>
              </w:rPr>
              <w:t>dB（A）。本项目拟采取以下噪声污染防治措施：</w:t>
            </w:r>
          </w:p>
          <w:p w14:paraId="18B838D1">
            <w:pPr>
              <w:adjustRightInd w:val="0"/>
              <w:snapToGrid w:val="0"/>
              <w:ind w:firstLine="480" w:firstLineChars="200"/>
            </w:pPr>
            <w:r>
              <w:rPr>
                <w:rFonts w:hint="eastAsia"/>
              </w:rPr>
              <w:t>①合理布局：设备尽量远离</w:t>
            </w:r>
            <w:r>
              <w:rPr>
                <w:rFonts w:hint="eastAsia"/>
                <w:color w:val="000000" w:themeColor="text1"/>
                <w14:textFill>
                  <w14:solidFill>
                    <w14:schemeClr w14:val="tx1"/>
                  </w14:solidFill>
                </w14:textFill>
              </w:rPr>
              <w:t>敏感点</w:t>
            </w:r>
            <w:r>
              <w:rPr>
                <w:rFonts w:hint="eastAsia"/>
              </w:rPr>
              <w:t>，并利用厂房墙体进行隔声。</w:t>
            </w:r>
          </w:p>
          <w:p w14:paraId="22ACBBB7">
            <w:pPr>
              <w:adjustRightInd w:val="0"/>
              <w:snapToGrid w:val="0"/>
              <w:ind w:firstLine="480" w:firstLineChars="200"/>
            </w:pPr>
            <w:r>
              <w:rPr>
                <w:rFonts w:hint="eastAsia"/>
              </w:rPr>
              <w:t>②选用低噪设备：充分选用先进的低噪设备，从声源上降低设备本身噪声。</w:t>
            </w:r>
          </w:p>
          <w:p w14:paraId="7766D64E">
            <w:pPr>
              <w:adjustRightInd w:val="0"/>
              <w:snapToGrid w:val="0"/>
              <w:ind w:firstLine="480" w:firstLineChars="200"/>
            </w:pPr>
            <w:r>
              <w:rPr>
                <w:rFonts w:hint="eastAsia"/>
              </w:rPr>
              <w:t>③运营期加强设备维护，确保设备处于良好的运转状态，杜绝因设备不正常运转时产生的高噪声现象。</w:t>
            </w:r>
          </w:p>
          <w:p w14:paraId="7D24847B">
            <w:pPr>
              <w:adjustRightInd w:val="0"/>
              <w:snapToGrid w:val="0"/>
              <w:ind w:firstLine="480" w:firstLineChars="200"/>
            </w:pPr>
            <w:r>
              <w:rPr>
                <w:rFonts w:hint="eastAsia"/>
              </w:rPr>
              <w:t>④所有高噪声的设备安装减震橡胶垫进行减震。</w:t>
            </w:r>
          </w:p>
          <w:p w14:paraId="07177E7D">
            <w:pPr>
              <w:adjustRightInd w:val="0"/>
              <w:snapToGrid w:val="0"/>
              <w:ind w:firstLine="480" w:firstLineChars="200"/>
            </w:pPr>
            <w:r>
              <w:rPr>
                <w:rFonts w:hint="eastAsia"/>
              </w:rPr>
              <w:t>⑤本项目各主要产生噪声房间日常紧闭门窗，能有效阻隔噪声的传播。</w:t>
            </w:r>
          </w:p>
          <w:p w14:paraId="73CB066D">
            <w:pPr>
              <w:adjustRightInd w:val="0"/>
              <w:snapToGrid w:val="0"/>
              <w:ind w:firstLine="480" w:firstLineChars="200"/>
            </w:pPr>
            <w:r>
              <w:t>本项目产生的噪声经以上措施处理后，各生产及辅助设备的噪声可以得到有效的削减，</w:t>
            </w:r>
            <w:r>
              <w:rPr>
                <w:rFonts w:hint="eastAsia"/>
              </w:rPr>
              <w:t>本项目运营期厂界噪声排放执行《声环境质量标准》（GB3096-2008）中</w:t>
            </w:r>
            <w:r>
              <w:rPr>
                <w:rFonts w:hint="eastAsia"/>
                <w:color w:val="000000" w:themeColor="text1"/>
                <w14:textFill>
                  <w14:solidFill>
                    <w14:schemeClr w14:val="tx1"/>
                  </w14:solidFill>
                </w14:textFill>
              </w:rPr>
              <w:t>3类</w:t>
            </w:r>
            <w:r>
              <w:rPr>
                <w:rFonts w:hint="eastAsia"/>
              </w:rPr>
              <w:t>标准[昼间≤65dB（A）</w:t>
            </w:r>
            <w:r>
              <w:rPr>
                <w:rFonts w:hint="eastAsia"/>
                <w:lang w:eastAsia="zh-CN"/>
              </w:rPr>
              <w:t>、夜间≤55dB（A）</w:t>
            </w:r>
            <w:r>
              <w:rPr>
                <w:rFonts w:hint="eastAsia"/>
              </w:rPr>
              <w:t>]，</w:t>
            </w:r>
            <w:r>
              <w:t>不会对周围声环境产生明显的不利影响。</w:t>
            </w:r>
          </w:p>
          <w:p w14:paraId="2EA827DF">
            <w:pPr>
              <w:ind w:firstLine="480" w:firstLineChars="200"/>
            </w:pPr>
            <w:r>
              <w:rPr>
                <w:rFonts w:hint="eastAsia"/>
              </w:rPr>
              <w:t>综上所述，本项目噪声治理措施相对简单容易实施，且所需费用较少，在经济上是可行的，其防治措施也是切实可行。</w:t>
            </w:r>
          </w:p>
          <w:p w14:paraId="19099722">
            <w:pPr>
              <w:ind w:firstLine="482" w:firstLineChars="200"/>
              <w:rPr>
                <w:b/>
                <w:bCs/>
              </w:rPr>
            </w:pPr>
            <w:r>
              <w:rPr>
                <w:rFonts w:hint="eastAsia"/>
                <w:b/>
                <w:bCs/>
              </w:rPr>
              <w:t>四、固体废弃物</w:t>
            </w:r>
          </w:p>
          <w:p w14:paraId="2E265FF2">
            <w:pPr>
              <w:adjustRightInd w:val="0"/>
              <w:snapToGrid w:val="0"/>
              <w:ind w:firstLine="480" w:firstLineChars="200"/>
            </w:pPr>
            <w:r>
              <w:rPr>
                <w:rFonts w:hint="eastAsia"/>
              </w:rPr>
              <w:t>本项目固体废物主要包括生活垃圾、</w:t>
            </w:r>
            <w:r>
              <w:rPr>
                <w:rFonts w:hint="eastAsia"/>
                <w:lang w:eastAsia="zh-CN"/>
              </w:rPr>
              <w:t>废树脂和废机油及含油抹布、手套</w:t>
            </w:r>
            <w:r>
              <w:rPr>
                <w:rFonts w:hint="eastAsia"/>
              </w:rPr>
              <w:t>。</w:t>
            </w:r>
          </w:p>
          <w:p w14:paraId="38D24DA0">
            <w:pPr>
              <w:adjustRightInd w:val="0"/>
              <w:snapToGrid w:val="0"/>
              <w:ind w:firstLine="480" w:firstLineChars="200"/>
            </w:pPr>
            <w:r>
              <w:rPr>
                <w:rFonts w:hint="eastAsia"/>
              </w:rPr>
              <w:t>（1）生活垃圾</w:t>
            </w:r>
          </w:p>
          <w:p w14:paraId="369F3C9E">
            <w:pPr>
              <w:adjustRightInd w:val="0"/>
              <w:snapToGrid w:val="0"/>
              <w:ind w:firstLine="480" w:firstLineChars="200"/>
            </w:pPr>
            <w:r>
              <w:rPr>
                <w:rFonts w:hint="eastAsia"/>
              </w:rPr>
              <w:t>根据建设单位提供的资料，本项目职工</w:t>
            </w:r>
            <w:r>
              <w:rPr>
                <w:rFonts w:hint="eastAsia"/>
                <w:lang w:val="en-US" w:eastAsia="zh-CN"/>
              </w:rPr>
              <w:t>47</w:t>
            </w:r>
            <w:r>
              <w:rPr>
                <w:rFonts w:hint="eastAsia"/>
              </w:rPr>
              <w:t>人，按每人每天产生0.5kg生活垃圾计，年工作天数为3</w:t>
            </w:r>
            <w:r>
              <w:rPr>
                <w:rFonts w:hint="eastAsia"/>
                <w:lang w:val="en-US" w:eastAsia="zh-CN"/>
              </w:rPr>
              <w:t>00</w:t>
            </w:r>
            <w:r>
              <w:rPr>
                <w:rFonts w:hint="eastAsia"/>
              </w:rPr>
              <w:t>天，垃圾产生量为</w:t>
            </w:r>
            <w:r>
              <w:rPr>
                <w:rFonts w:hint="eastAsia"/>
                <w:lang w:val="en-US" w:eastAsia="zh-CN"/>
              </w:rPr>
              <w:t>7.05</w:t>
            </w:r>
            <w:r>
              <w:rPr>
                <w:rFonts w:hint="eastAsia"/>
              </w:rPr>
              <w:t>t/a，生活垃圾收集于垃圾桶，交由当地环卫部门清运处理。</w:t>
            </w:r>
          </w:p>
          <w:p w14:paraId="7D1F3565">
            <w:pPr>
              <w:adjustRightInd w:val="0"/>
              <w:snapToGrid w:val="0"/>
              <w:ind w:firstLine="480" w:firstLineChars="200"/>
              <w:rPr>
                <w:rFonts w:hint="eastAsia" w:ascii="Times New Roman" w:hAnsi="Times New Roman" w:eastAsia="宋体" w:cs="Times New Roman"/>
                <w:lang w:eastAsia="zh-CN"/>
              </w:rPr>
            </w:pPr>
            <w:r>
              <w:rPr>
                <w:rFonts w:hint="eastAsia"/>
              </w:rPr>
              <w:t>（2）</w:t>
            </w:r>
            <w:r>
              <w:rPr>
                <w:rFonts w:hint="eastAsia" w:ascii="Times New Roman" w:hAnsi="Times New Roman" w:eastAsia="宋体" w:cs="Times New Roman"/>
                <w:lang w:eastAsia="zh-CN"/>
              </w:rPr>
              <w:t>废树脂</w:t>
            </w:r>
          </w:p>
          <w:p w14:paraId="33A52936">
            <w:pPr>
              <w:bidi w:val="0"/>
              <w:adjustRightInd w:val="0"/>
              <w:snapToGrid w:val="0"/>
              <w:ind w:firstLine="48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软水制备设备以自来水为原水，离子交换树脂理论上可以永久循环使用，仅需要定期对处理能力下降的离子交换树脂进行反冲洗即可使离子交换树脂恢复离子交换能力，为保障软水制备设备长期稳定运行，本项目离子交换树脂每年更换两次，废离子交换树脂产生量约为</w:t>
            </w:r>
            <w:r>
              <w:rPr>
                <w:rFonts w:hint="eastAsia" w:cs="Times New Roman"/>
                <w:lang w:val="en-US" w:eastAsia="zh-CN"/>
              </w:rPr>
              <w:t>0.8</w:t>
            </w:r>
            <w:r>
              <w:rPr>
                <w:rFonts w:hint="eastAsia" w:ascii="Times New Roman" w:hAnsi="Times New Roman" w:eastAsia="宋体" w:cs="Times New Roman"/>
                <w:lang w:eastAsia="zh-CN"/>
              </w:rPr>
              <w:t>t/a。</w:t>
            </w:r>
          </w:p>
          <w:p w14:paraId="6A2326CA">
            <w:pPr>
              <w:bidi w:val="0"/>
              <w:adjustRightInd w:val="0"/>
              <w:snapToGrid w:val="0"/>
              <w:ind w:firstLine="480" w:firstLineChars="200"/>
              <w:rPr>
                <w:rFonts w:hint="eastAsia"/>
              </w:rPr>
            </w:pPr>
            <w:r>
              <w:rPr>
                <w:rFonts w:hint="eastAsia" w:ascii="Times New Roman" w:hAnsi="Times New Roman" w:eastAsia="宋体" w:cs="Times New Roman"/>
                <w:lang w:eastAsia="zh-CN"/>
              </w:rPr>
              <w:t>根据广东省生态环境厅2019年10月13日在广东省生态环境厅网站的“互动交流”页面中的回复（网址链接：http://gdee.gd.gov.cn/hdjlpt/detail?pid=113081），详见附件10，纯水制备系统以自来水为原水，运作产生的废活性炭未含有或沾染毒性、感染性危险废物的过滤吸附介质，不建议按危险废物管理。综上所述，本项目纯水制备系统产生的</w:t>
            </w:r>
            <w:r>
              <w:rPr>
                <w:rFonts w:hint="eastAsia" w:cs="Times New Roman"/>
                <w:lang w:eastAsia="zh-CN"/>
              </w:rPr>
              <w:t>废树脂</w:t>
            </w:r>
            <w:r>
              <w:rPr>
                <w:rFonts w:hint="eastAsia" w:ascii="Times New Roman" w:hAnsi="Times New Roman" w:eastAsia="宋体" w:cs="Times New Roman"/>
                <w:lang w:eastAsia="zh-CN"/>
              </w:rPr>
              <w:t>不属于危险废物，可由设备厂家回收处理。</w:t>
            </w:r>
          </w:p>
          <w:p w14:paraId="4F7DDAFE">
            <w:pPr>
              <w:adjustRightInd w:val="0"/>
              <w:snapToGrid w:val="0"/>
              <w:ind w:firstLine="480" w:firstLineChars="200"/>
              <w:rPr>
                <w:rFonts w:hint="eastAsia" w:eastAsia="宋体"/>
                <w:b w:val="0"/>
                <w:bCs w:val="0"/>
                <w:color w:val="000000"/>
                <w:lang w:eastAsia="zh-CN"/>
              </w:rPr>
            </w:pPr>
            <w:r>
              <w:rPr>
                <w:rFonts w:hint="eastAsia"/>
                <w:b w:val="0"/>
                <w:bCs w:val="0"/>
              </w:rPr>
              <w:t>（3）</w:t>
            </w:r>
            <w:r>
              <w:rPr>
                <w:rFonts w:eastAsia="宋体"/>
                <w:b w:val="0"/>
                <w:bCs w:val="0"/>
                <w:color w:val="000000"/>
              </w:rPr>
              <w:t>废</w:t>
            </w:r>
            <w:r>
              <w:rPr>
                <w:rFonts w:hint="eastAsia" w:eastAsia="宋体"/>
                <w:b w:val="0"/>
                <w:bCs w:val="0"/>
                <w:color w:val="000000"/>
              </w:rPr>
              <w:t>机油及含油抹布</w:t>
            </w:r>
            <w:r>
              <w:rPr>
                <w:rFonts w:hint="eastAsia" w:eastAsia="宋体"/>
                <w:b w:val="0"/>
                <w:bCs w:val="0"/>
                <w:color w:val="000000"/>
                <w:lang w:eastAsia="zh-CN"/>
              </w:rPr>
              <w:t>、手套</w:t>
            </w:r>
          </w:p>
          <w:p w14:paraId="63CDA26B">
            <w:pPr>
              <w:adjustRightInd w:val="0"/>
              <w:snapToGrid w:val="0"/>
              <w:ind w:firstLine="480" w:firstLineChars="200"/>
            </w:pPr>
            <w:r>
              <w:rPr>
                <w:rFonts w:hint="eastAsia" w:eastAsia="宋体"/>
                <w:color w:val="000000"/>
              </w:rPr>
              <w:t>本项目生产运营期间需对生产设备进行机械维护，生产设备机械维护过程中会产生废机油，根据建设单位提供的资料，机械设备维修期间产生废机油约0.</w:t>
            </w:r>
            <w:r>
              <w:rPr>
                <w:rFonts w:hint="eastAsia" w:eastAsia="宋体"/>
                <w:color w:val="000000"/>
                <w:lang w:val="en-US" w:eastAsia="zh-CN"/>
              </w:rPr>
              <w:t>1</w:t>
            </w:r>
            <w:r>
              <w:rPr>
                <w:rFonts w:eastAsia="宋体"/>
                <w:color w:val="000000"/>
              </w:rPr>
              <w:t>t/a</w:t>
            </w:r>
            <w:r>
              <w:rPr>
                <w:rFonts w:hint="eastAsia" w:eastAsia="宋体"/>
                <w:color w:val="000000"/>
              </w:rPr>
              <w:t>，含油抹布、手套约0.0</w:t>
            </w:r>
            <w:r>
              <w:rPr>
                <w:rFonts w:hint="eastAsia" w:eastAsia="宋体"/>
                <w:color w:val="000000"/>
                <w:lang w:val="en-US" w:eastAsia="zh-CN"/>
              </w:rPr>
              <w:t>5</w:t>
            </w:r>
            <w:r>
              <w:rPr>
                <w:rFonts w:hint="eastAsia" w:eastAsia="宋体"/>
                <w:color w:val="000000"/>
              </w:rPr>
              <w:t>t/a，根据《国家危险废物名录（</w:t>
            </w:r>
            <w:r>
              <w:rPr>
                <w:rFonts w:eastAsia="宋体"/>
                <w:color w:val="000000"/>
              </w:rPr>
              <w:t>2021</w:t>
            </w:r>
            <w:r>
              <w:rPr>
                <w:rFonts w:hint="eastAsia" w:eastAsia="宋体"/>
                <w:color w:val="000000"/>
              </w:rPr>
              <w:t>年版）》，废机油属于危险废物，危险废物类别为</w:t>
            </w:r>
            <w:r>
              <w:rPr>
                <w:rFonts w:eastAsia="宋体"/>
                <w:color w:val="000000"/>
              </w:rPr>
              <w:t>HW08</w:t>
            </w:r>
            <w:r>
              <w:rPr>
                <w:rFonts w:hint="eastAsia" w:eastAsia="宋体"/>
                <w:color w:val="000000"/>
              </w:rPr>
              <w:t>废矿物油与含矿物油废物（废物代码：</w:t>
            </w:r>
            <w:r>
              <w:rPr>
                <w:rFonts w:eastAsia="宋体"/>
                <w:color w:val="000000"/>
              </w:rPr>
              <w:t>900-249-08</w:t>
            </w:r>
            <w:r>
              <w:rPr>
                <w:rFonts w:hint="eastAsia" w:eastAsia="宋体"/>
                <w:color w:val="000000"/>
              </w:rPr>
              <w:t>），含油抹布属于危险废物，危险废物类别为HW49其他废物 非特定行业（废物代码：900-041-49），建设单位收集后交由具有危险废物资质的单位处理。</w:t>
            </w:r>
          </w:p>
          <w:p w14:paraId="1E88D6D7">
            <w:pPr>
              <w:adjustRightInd w:val="0"/>
              <w:snapToGrid w:val="0"/>
              <w:ind w:firstLine="480" w:firstLineChars="200"/>
            </w:pPr>
            <w:r>
              <w:rPr>
                <w:rFonts w:hint="eastAsia"/>
              </w:rPr>
              <w:t>本项目生产运营期间固体废物产生情见下表：</w:t>
            </w:r>
          </w:p>
          <w:p w14:paraId="1CA3ABBC">
            <w:pPr>
              <w:autoSpaceDE w:val="0"/>
              <w:autoSpaceDN w:val="0"/>
              <w:adjustRightInd w:val="0"/>
              <w:snapToGrid w:val="0"/>
              <w:spacing w:line="240" w:lineRule="auto"/>
              <w:jc w:val="center"/>
              <w:textAlignment w:val="baseline"/>
              <w:rPr>
                <w:b/>
                <w:kern w:val="24"/>
                <w:szCs w:val="20"/>
              </w:rPr>
            </w:pPr>
            <w:r>
              <w:rPr>
                <w:rFonts w:hint="eastAsia"/>
                <w:b/>
                <w:kern w:val="24"/>
                <w:szCs w:val="20"/>
              </w:rPr>
              <w:t>表4-</w:t>
            </w:r>
            <w:r>
              <w:rPr>
                <w:rFonts w:hint="eastAsia"/>
                <w:b/>
                <w:kern w:val="24"/>
                <w:szCs w:val="20"/>
                <w:lang w:val="en-US" w:eastAsia="zh-CN"/>
              </w:rPr>
              <w:t>21</w:t>
            </w:r>
            <w:r>
              <w:rPr>
                <w:rFonts w:hint="eastAsia"/>
                <w:b/>
                <w:kern w:val="24"/>
                <w:szCs w:val="20"/>
              </w:rPr>
              <w:t xml:space="preserve"> 本项目固体废物产生情况一览表</w:t>
            </w:r>
          </w:p>
          <w:tbl>
            <w:tblPr>
              <w:tblStyle w:val="11"/>
              <w:tblW w:w="94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Layout w:type="fixed"/>
              <w:tblCellMar>
                <w:top w:w="28" w:type="dxa"/>
                <w:left w:w="57" w:type="dxa"/>
                <w:bottom w:w="28" w:type="dxa"/>
                <w:right w:w="57" w:type="dxa"/>
              </w:tblCellMar>
            </w:tblPr>
            <w:tblGrid>
              <w:gridCol w:w="1009"/>
              <w:gridCol w:w="1746"/>
              <w:gridCol w:w="2500"/>
              <w:gridCol w:w="1185"/>
              <w:gridCol w:w="1473"/>
              <w:gridCol w:w="1583"/>
            </w:tblGrid>
            <w:tr w14:paraId="0DFA4D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312" w:hRule="atLeast"/>
                <w:tblHeader/>
                <w:jc w:val="center"/>
              </w:trPr>
              <w:tc>
                <w:tcPr>
                  <w:tcW w:w="1009" w:type="dxa"/>
                  <w:tcBorders>
                    <w:tl2br w:val="nil"/>
                    <w:tr2bl w:val="nil"/>
                  </w:tcBorders>
                  <w:shd w:val="clear" w:color="auto" w:fill="FFFFFF"/>
                  <w:vAlign w:val="center"/>
                </w:tcPr>
                <w:p w14:paraId="22571508">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产生环节</w:t>
                  </w:r>
                </w:p>
              </w:tc>
              <w:tc>
                <w:tcPr>
                  <w:tcW w:w="1746" w:type="dxa"/>
                  <w:tcBorders>
                    <w:tl2br w:val="nil"/>
                    <w:tr2bl w:val="nil"/>
                  </w:tcBorders>
                  <w:shd w:val="clear" w:color="auto" w:fill="FFFFFF"/>
                  <w:vAlign w:val="center"/>
                </w:tcPr>
                <w:p w14:paraId="03C66D98">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废物名称</w:t>
                  </w:r>
                </w:p>
              </w:tc>
              <w:tc>
                <w:tcPr>
                  <w:tcW w:w="2500" w:type="dxa"/>
                  <w:tcBorders>
                    <w:tl2br w:val="nil"/>
                    <w:tr2bl w:val="nil"/>
                  </w:tcBorders>
                  <w:shd w:val="clear" w:color="auto" w:fill="FFFFFF"/>
                  <w:vAlign w:val="center"/>
                </w:tcPr>
                <w:p w14:paraId="3B5E667A">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属性</w:t>
                  </w:r>
                </w:p>
              </w:tc>
              <w:tc>
                <w:tcPr>
                  <w:tcW w:w="1185" w:type="dxa"/>
                  <w:tcBorders>
                    <w:tl2br w:val="nil"/>
                    <w:tr2bl w:val="nil"/>
                  </w:tcBorders>
                  <w:shd w:val="clear" w:color="auto" w:fill="FFFFFF"/>
                  <w:vAlign w:val="center"/>
                </w:tcPr>
                <w:p w14:paraId="5B31E892">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产生量t/a</w:t>
                  </w:r>
                </w:p>
              </w:tc>
              <w:tc>
                <w:tcPr>
                  <w:tcW w:w="1473" w:type="dxa"/>
                  <w:tcBorders>
                    <w:tl2br w:val="nil"/>
                    <w:tr2bl w:val="nil"/>
                  </w:tcBorders>
                  <w:shd w:val="clear" w:color="auto" w:fill="FFFFFF"/>
                  <w:vAlign w:val="center"/>
                </w:tcPr>
                <w:p w14:paraId="1339E11F">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物理性状</w:t>
                  </w:r>
                </w:p>
              </w:tc>
              <w:tc>
                <w:tcPr>
                  <w:tcW w:w="1583" w:type="dxa"/>
                  <w:tcBorders>
                    <w:tl2br w:val="nil"/>
                    <w:tr2bl w:val="nil"/>
                  </w:tcBorders>
                  <w:shd w:val="clear" w:color="auto" w:fill="FFFFFF"/>
                  <w:vAlign w:val="center"/>
                </w:tcPr>
                <w:p w14:paraId="43EA1F75">
                  <w:pPr>
                    <w:adjustRightInd w:val="0"/>
                    <w:snapToGrid w:val="0"/>
                    <w:spacing w:line="24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环境危险特性</w:t>
                  </w:r>
                </w:p>
              </w:tc>
            </w:tr>
            <w:tr w14:paraId="1C47A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133" w:hRule="atLeast"/>
                <w:jc w:val="center"/>
              </w:trPr>
              <w:tc>
                <w:tcPr>
                  <w:tcW w:w="1009" w:type="dxa"/>
                  <w:tcBorders>
                    <w:tl2br w:val="nil"/>
                    <w:tr2bl w:val="nil"/>
                  </w:tcBorders>
                  <w:shd w:val="clear" w:color="auto" w:fill="FFFFFF"/>
                  <w:vAlign w:val="center"/>
                </w:tcPr>
                <w:p w14:paraId="43E573AB">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办公生活</w:t>
                  </w:r>
                </w:p>
              </w:tc>
              <w:tc>
                <w:tcPr>
                  <w:tcW w:w="1746" w:type="dxa"/>
                  <w:tcBorders>
                    <w:tl2br w:val="nil"/>
                    <w:tr2bl w:val="nil"/>
                  </w:tcBorders>
                  <w:shd w:val="clear" w:color="auto" w:fill="FFFFFF"/>
                  <w:vAlign w:val="center"/>
                </w:tcPr>
                <w:p w14:paraId="1BE61044">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2500" w:type="dxa"/>
                  <w:tcBorders>
                    <w:tl2br w:val="nil"/>
                    <w:tr2bl w:val="nil"/>
                  </w:tcBorders>
                  <w:shd w:val="clear" w:color="auto" w:fill="FFFFFF"/>
                  <w:vAlign w:val="center"/>
                </w:tcPr>
                <w:p w14:paraId="6C228AF8">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185" w:type="dxa"/>
                  <w:tcBorders>
                    <w:tl2br w:val="nil"/>
                    <w:tr2bl w:val="nil"/>
                  </w:tcBorders>
                  <w:shd w:val="clear" w:color="auto" w:fill="FFFFFF"/>
                  <w:vAlign w:val="center"/>
                </w:tcPr>
                <w:p w14:paraId="65B590A5">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7.05</w:t>
                  </w:r>
                </w:p>
              </w:tc>
              <w:tc>
                <w:tcPr>
                  <w:tcW w:w="1473" w:type="dxa"/>
                  <w:tcBorders>
                    <w:tl2br w:val="nil"/>
                    <w:tr2bl w:val="nil"/>
                  </w:tcBorders>
                  <w:shd w:val="clear" w:color="auto" w:fill="FFFFFF"/>
                  <w:vAlign w:val="center"/>
                </w:tcPr>
                <w:p w14:paraId="73263C7F">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固态</w:t>
                  </w:r>
                </w:p>
              </w:tc>
              <w:tc>
                <w:tcPr>
                  <w:tcW w:w="1583" w:type="dxa"/>
                  <w:tcBorders>
                    <w:tl2br w:val="nil"/>
                    <w:tr2bl w:val="nil"/>
                  </w:tcBorders>
                  <w:shd w:val="clear" w:color="auto" w:fill="FFFFFF"/>
                  <w:vAlign w:val="center"/>
                </w:tcPr>
                <w:p w14:paraId="4AC2DC19">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14:paraId="4FB26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243" w:hRule="atLeast"/>
                <w:jc w:val="center"/>
              </w:trPr>
              <w:tc>
                <w:tcPr>
                  <w:tcW w:w="1009" w:type="dxa"/>
                  <w:vMerge w:val="restart"/>
                  <w:tcBorders>
                    <w:tl2br w:val="nil"/>
                    <w:tr2bl w:val="nil"/>
                  </w:tcBorders>
                  <w:shd w:val="clear" w:color="auto" w:fill="FFFFFF"/>
                  <w:vAlign w:val="center"/>
                </w:tcPr>
                <w:p w14:paraId="06329E30">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w:t>
                  </w:r>
                </w:p>
              </w:tc>
              <w:tc>
                <w:tcPr>
                  <w:tcW w:w="1746" w:type="dxa"/>
                  <w:tcBorders>
                    <w:tl2br w:val="nil"/>
                    <w:tr2bl w:val="nil"/>
                  </w:tcBorders>
                  <w:shd w:val="clear" w:color="auto" w:fill="FFFFFF"/>
                  <w:vAlign w:val="center"/>
                </w:tcPr>
                <w:p w14:paraId="4803FF14">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废树脂</w:t>
                  </w:r>
                </w:p>
              </w:tc>
              <w:tc>
                <w:tcPr>
                  <w:tcW w:w="2500" w:type="dxa"/>
                  <w:tcBorders>
                    <w:tl2br w:val="nil"/>
                    <w:tr2bl w:val="nil"/>
                  </w:tcBorders>
                  <w:shd w:val="clear" w:color="auto" w:fill="FFFFFF"/>
                  <w:vAlign w:val="center"/>
                </w:tcPr>
                <w:p w14:paraId="55A1FEFF">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一般固废</w:t>
                  </w:r>
                </w:p>
              </w:tc>
              <w:tc>
                <w:tcPr>
                  <w:tcW w:w="1185" w:type="dxa"/>
                  <w:tcBorders>
                    <w:tl2br w:val="nil"/>
                    <w:tr2bl w:val="nil"/>
                  </w:tcBorders>
                  <w:shd w:val="clear" w:color="auto" w:fill="FFFFFF"/>
                  <w:vAlign w:val="center"/>
                </w:tcPr>
                <w:p w14:paraId="44ADA60B">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0.8</w:t>
                  </w:r>
                </w:p>
              </w:tc>
              <w:tc>
                <w:tcPr>
                  <w:tcW w:w="1473" w:type="dxa"/>
                  <w:tcBorders>
                    <w:tl2br w:val="nil"/>
                    <w:tr2bl w:val="nil"/>
                  </w:tcBorders>
                  <w:shd w:val="clear" w:color="auto" w:fill="FFFFFF"/>
                  <w:vAlign w:val="center"/>
                </w:tcPr>
                <w:p w14:paraId="63DC2D04">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固态</w:t>
                  </w:r>
                </w:p>
              </w:tc>
              <w:tc>
                <w:tcPr>
                  <w:tcW w:w="1583" w:type="dxa"/>
                  <w:tcBorders>
                    <w:tl2br w:val="nil"/>
                    <w:tr2bl w:val="nil"/>
                  </w:tcBorders>
                  <w:shd w:val="clear" w:color="auto" w:fill="FFFFFF"/>
                  <w:vAlign w:val="center"/>
                </w:tcPr>
                <w:p w14:paraId="0D7EB7D6">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14:paraId="336144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243" w:hRule="atLeast"/>
                <w:jc w:val="center"/>
              </w:trPr>
              <w:tc>
                <w:tcPr>
                  <w:tcW w:w="1009" w:type="dxa"/>
                  <w:vMerge w:val="continue"/>
                  <w:tcBorders>
                    <w:tl2br w:val="nil"/>
                    <w:tr2bl w:val="nil"/>
                  </w:tcBorders>
                  <w:shd w:val="clear" w:color="auto" w:fill="FFFFFF"/>
                  <w:vAlign w:val="center"/>
                </w:tcPr>
                <w:p w14:paraId="19489B3A">
                  <w:pPr>
                    <w:adjustRightInd w:val="0"/>
                    <w:snapToGrid w:val="0"/>
                    <w:spacing w:line="240" w:lineRule="auto"/>
                    <w:jc w:val="center"/>
                    <w:rPr>
                      <w:color w:val="000000" w:themeColor="text1"/>
                      <w:sz w:val="21"/>
                      <w14:textFill>
                        <w14:solidFill>
                          <w14:schemeClr w14:val="tx1"/>
                        </w14:solidFill>
                      </w14:textFill>
                    </w:rPr>
                  </w:pPr>
                </w:p>
              </w:tc>
              <w:tc>
                <w:tcPr>
                  <w:tcW w:w="1746" w:type="dxa"/>
                  <w:tcBorders>
                    <w:tl2br w:val="nil"/>
                    <w:tr2bl w:val="nil"/>
                  </w:tcBorders>
                  <w:shd w:val="clear" w:color="auto" w:fill="FFFFFF"/>
                  <w:vAlign w:val="center"/>
                </w:tcPr>
                <w:p w14:paraId="68DFC365">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废机油</w:t>
                  </w:r>
                </w:p>
              </w:tc>
              <w:tc>
                <w:tcPr>
                  <w:tcW w:w="2500" w:type="dxa"/>
                  <w:tcBorders>
                    <w:tl2br w:val="nil"/>
                    <w:tr2bl w:val="nil"/>
                  </w:tcBorders>
                  <w:shd w:val="clear" w:color="auto" w:fill="FFFFFF"/>
                  <w:vAlign w:val="center"/>
                </w:tcPr>
                <w:p w14:paraId="7953487E">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危险废物（900-249-08）</w:t>
                  </w:r>
                </w:p>
              </w:tc>
              <w:tc>
                <w:tcPr>
                  <w:tcW w:w="1185" w:type="dxa"/>
                  <w:tcBorders>
                    <w:tl2br w:val="nil"/>
                    <w:tr2bl w:val="nil"/>
                  </w:tcBorders>
                  <w:shd w:val="clear" w:color="auto" w:fill="FFFFFF"/>
                  <w:vAlign w:val="center"/>
                </w:tcPr>
                <w:p w14:paraId="55DBA784">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0.1</w:t>
                  </w:r>
                </w:p>
              </w:tc>
              <w:tc>
                <w:tcPr>
                  <w:tcW w:w="1473" w:type="dxa"/>
                  <w:tcBorders>
                    <w:tl2br w:val="nil"/>
                    <w:tr2bl w:val="nil"/>
                  </w:tcBorders>
                  <w:shd w:val="clear" w:color="auto" w:fill="FFFFFF"/>
                  <w:vAlign w:val="center"/>
                </w:tcPr>
                <w:p w14:paraId="3DD07296">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lang w:eastAsia="zh-CN"/>
                      <w14:textFill>
                        <w14:solidFill>
                          <w14:schemeClr w14:val="tx1"/>
                        </w14:solidFill>
                      </w14:textFill>
                    </w:rPr>
                    <w:t>液</w:t>
                  </w:r>
                  <w:r>
                    <w:rPr>
                      <w:rFonts w:hint="eastAsia"/>
                      <w:color w:val="000000" w:themeColor="text1"/>
                      <w:sz w:val="21"/>
                      <w14:textFill>
                        <w14:solidFill>
                          <w14:schemeClr w14:val="tx1"/>
                        </w14:solidFill>
                      </w14:textFill>
                    </w:rPr>
                    <w:t>态</w:t>
                  </w:r>
                </w:p>
              </w:tc>
              <w:tc>
                <w:tcPr>
                  <w:tcW w:w="1583" w:type="dxa"/>
                  <w:tcBorders>
                    <w:tl2br w:val="nil"/>
                    <w:tr2bl w:val="nil"/>
                  </w:tcBorders>
                  <w:shd w:val="clear" w:color="auto" w:fill="FFFFFF"/>
                  <w:vAlign w:val="center"/>
                </w:tcPr>
                <w:p w14:paraId="4F7CA7C7">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283583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FFFFFF"/>
                <w:tblCellMar>
                  <w:top w:w="28" w:type="dxa"/>
                  <w:left w:w="57" w:type="dxa"/>
                  <w:bottom w:w="28" w:type="dxa"/>
                  <w:right w:w="57" w:type="dxa"/>
                </w:tblCellMar>
              </w:tblPrEx>
              <w:trPr>
                <w:trHeight w:val="129" w:hRule="atLeast"/>
                <w:jc w:val="center"/>
              </w:trPr>
              <w:tc>
                <w:tcPr>
                  <w:tcW w:w="1009" w:type="dxa"/>
                  <w:vMerge w:val="continue"/>
                  <w:tcBorders>
                    <w:tl2br w:val="nil"/>
                    <w:tr2bl w:val="nil"/>
                  </w:tcBorders>
                  <w:shd w:val="clear" w:color="auto" w:fill="FFFFFF"/>
                  <w:vAlign w:val="center"/>
                </w:tcPr>
                <w:p w14:paraId="731CE19A">
                  <w:pPr>
                    <w:adjustRightInd w:val="0"/>
                    <w:snapToGrid w:val="0"/>
                    <w:spacing w:line="240" w:lineRule="auto"/>
                    <w:jc w:val="center"/>
                    <w:rPr>
                      <w:color w:val="000000" w:themeColor="text1"/>
                      <w:sz w:val="21"/>
                      <w14:textFill>
                        <w14:solidFill>
                          <w14:schemeClr w14:val="tx1"/>
                        </w14:solidFill>
                      </w14:textFill>
                    </w:rPr>
                  </w:pPr>
                </w:p>
              </w:tc>
              <w:tc>
                <w:tcPr>
                  <w:tcW w:w="1746" w:type="dxa"/>
                  <w:tcBorders>
                    <w:tl2br w:val="nil"/>
                    <w:tr2bl w:val="nil"/>
                  </w:tcBorders>
                  <w:shd w:val="clear" w:color="auto" w:fill="FFFFFF"/>
                  <w:vAlign w:val="center"/>
                </w:tcPr>
                <w:p w14:paraId="56F927D8">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含油抹布、手套</w:t>
                  </w:r>
                </w:p>
              </w:tc>
              <w:tc>
                <w:tcPr>
                  <w:tcW w:w="2500" w:type="dxa"/>
                  <w:tcBorders>
                    <w:tl2br w:val="nil"/>
                    <w:tr2bl w:val="nil"/>
                  </w:tcBorders>
                  <w:shd w:val="clear" w:color="auto" w:fill="FFFFFF"/>
                  <w:vAlign w:val="center"/>
                </w:tcPr>
                <w:p w14:paraId="3CAB0F7D">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危险废物（900-041-49）</w:t>
                  </w:r>
                </w:p>
              </w:tc>
              <w:tc>
                <w:tcPr>
                  <w:tcW w:w="1185" w:type="dxa"/>
                  <w:tcBorders>
                    <w:tl2br w:val="nil"/>
                    <w:tr2bl w:val="nil"/>
                  </w:tcBorders>
                  <w:shd w:val="clear" w:color="auto" w:fill="FFFFFF"/>
                  <w:vAlign w:val="center"/>
                </w:tcPr>
                <w:p w14:paraId="4CD01081">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0.05</w:t>
                  </w:r>
                </w:p>
              </w:tc>
              <w:tc>
                <w:tcPr>
                  <w:tcW w:w="1473" w:type="dxa"/>
                  <w:tcBorders>
                    <w:tl2br w:val="nil"/>
                    <w:tr2bl w:val="nil"/>
                  </w:tcBorders>
                  <w:shd w:val="clear" w:color="auto" w:fill="FFFFFF"/>
                  <w:vAlign w:val="center"/>
                </w:tcPr>
                <w:p w14:paraId="51673AC0">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固态</w:t>
                  </w:r>
                </w:p>
              </w:tc>
              <w:tc>
                <w:tcPr>
                  <w:tcW w:w="1583" w:type="dxa"/>
                  <w:tcBorders>
                    <w:tl2br w:val="nil"/>
                    <w:tr2bl w:val="nil"/>
                  </w:tcBorders>
                  <w:shd w:val="clear" w:color="auto" w:fill="FFFFFF"/>
                  <w:vAlign w:val="center"/>
                </w:tcPr>
                <w:p w14:paraId="29A4A4BD">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bl>
          <w:p w14:paraId="72B427EF">
            <w:pPr>
              <w:pStyle w:val="14"/>
              <w:bidi w:val="0"/>
              <w:jc w:val="both"/>
            </w:pPr>
          </w:p>
        </w:tc>
      </w:tr>
    </w:tbl>
    <w:p w14:paraId="3C4E65E3">
      <w:pPr>
        <w:tabs>
          <w:tab w:val="left" w:pos="649"/>
        </w:tabs>
        <w:adjustRightInd w:val="0"/>
        <w:snapToGrid w:val="0"/>
        <w:rPr>
          <w:rFonts w:cs="宋体"/>
        </w:rPr>
        <w:sectPr>
          <w:pgSz w:w="11907" w:h="16840"/>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155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4860"/>
      </w:tblGrid>
      <w:tr w14:paraId="6326A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6" w:hRule="atLeast"/>
          <w:jc w:val="center"/>
        </w:trPr>
        <w:tc>
          <w:tcPr>
            <w:tcW w:w="649" w:type="dxa"/>
            <w:tcMar>
              <w:left w:w="28" w:type="dxa"/>
              <w:right w:w="28" w:type="dxa"/>
            </w:tcMar>
            <w:vAlign w:val="center"/>
          </w:tcPr>
          <w:p w14:paraId="1C87E837">
            <w:pPr>
              <w:adjustRightInd w:val="0"/>
              <w:snapToGrid w:val="0"/>
              <w:spacing w:line="240" w:lineRule="auto"/>
              <w:jc w:val="center"/>
              <w:rPr>
                <w:rFonts w:cs="宋体"/>
              </w:rPr>
            </w:pPr>
          </w:p>
        </w:tc>
        <w:tc>
          <w:tcPr>
            <w:tcW w:w="14860" w:type="dxa"/>
          </w:tcPr>
          <w:p w14:paraId="0D2608D0">
            <w:pPr>
              <w:autoSpaceDE w:val="0"/>
              <w:autoSpaceDN w:val="0"/>
              <w:adjustRightInd w:val="0"/>
              <w:snapToGrid w:val="0"/>
              <w:spacing w:line="240" w:lineRule="auto"/>
              <w:jc w:val="center"/>
              <w:textAlignment w:val="baseline"/>
              <w:rPr>
                <w:b/>
                <w:kern w:val="24"/>
                <w:szCs w:val="20"/>
              </w:rPr>
            </w:pPr>
            <w:r>
              <w:rPr>
                <w:b/>
                <w:kern w:val="24"/>
                <w:szCs w:val="20"/>
              </w:rPr>
              <w:t>表</w:t>
            </w:r>
            <w:r>
              <w:rPr>
                <w:rFonts w:hint="eastAsia"/>
                <w:b/>
                <w:kern w:val="24"/>
                <w:szCs w:val="20"/>
              </w:rPr>
              <w:t>4-</w:t>
            </w:r>
            <w:r>
              <w:rPr>
                <w:rFonts w:hint="eastAsia"/>
                <w:b/>
                <w:kern w:val="24"/>
                <w:szCs w:val="20"/>
                <w:lang w:val="en-US" w:eastAsia="zh-CN"/>
              </w:rPr>
              <w:t>22</w:t>
            </w:r>
            <w:r>
              <w:rPr>
                <w:b/>
                <w:kern w:val="24"/>
                <w:szCs w:val="20"/>
              </w:rPr>
              <w:t xml:space="preserve"> 项目危险废物</w:t>
            </w:r>
            <w:r>
              <w:rPr>
                <w:rFonts w:hint="eastAsia"/>
                <w:b/>
                <w:kern w:val="24"/>
                <w:szCs w:val="20"/>
              </w:rPr>
              <w:t>产</w:t>
            </w:r>
            <w:r>
              <w:rPr>
                <w:b/>
                <w:kern w:val="24"/>
                <w:szCs w:val="20"/>
              </w:rPr>
              <w:t>排放情况一览表</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381"/>
              <w:gridCol w:w="953"/>
              <w:gridCol w:w="745"/>
              <w:gridCol w:w="1304"/>
              <w:gridCol w:w="778"/>
              <w:gridCol w:w="1063"/>
              <w:gridCol w:w="707"/>
              <w:gridCol w:w="1024"/>
              <w:gridCol w:w="988"/>
              <w:gridCol w:w="602"/>
              <w:gridCol w:w="1001"/>
              <w:gridCol w:w="5098"/>
            </w:tblGrid>
            <w:tr w14:paraId="5E1B79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8" w:hRule="atLeast"/>
                <w:jc w:val="center"/>
              </w:trPr>
              <w:tc>
                <w:tcPr>
                  <w:tcW w:w="381" w:type="dxa"/>
                  <w:tcBorders>
                    <w:tl2br w:val="nil"/>
                    <w:tr2bl w:val="nil"/>
                  </w:tcBorders>
                  <w:vAlign w:val="center"/>
                </w:tcPr>
                <w:p w14:paraId="705556F5">
                  <w:pPr>
                    <w:adjustRightInd w:val="0"/>
                    <w:snapToGrid w:val="0"/>
                    <w:spacing w:line="240" w:lineRule="auto"/>
                    <w:jc w:val="center"/>
                    <w:rPr>
                      <w:b/>
                      <w:bCs/>
                      <w:sz w:val="21"/>
                    </w:rPr>
                  </w:pPr>
                  <w:r>
                    <w:rPr>
                      <w:b/>
                      <w:bCs/>
                      <w:sz w:val="21"/>
                    </w:rPr>
                    <w:t>序号</w:t>
                  </w:r>
                </w:p>
              </w:tc>
              <w:tc>
                <w:tcPr>
                  <w:tcW w:w="953" w:type="dxa"/>
                  <w:tcBorders>
                    <w:tl2br w:val="nil"/>
                    <w:tr2bl w:val="nil"/>
                  </w:tcBorders>
                  <w:vAlign w:val="center"/>
                </w:tcPr>
                <w:p w14:paraId="5157B111">
                  <w:pPr>
                    <w:adjustRightInd w:val="0"/>
                    <w:snapToGrid w:val="0"/>
                    <w:spacing w:line="240" w:lineRule="auto"/>
                    <w:jc w:val="center"/>
                    <w:rPr>
                      <w:b/>
                      <w:bCs/>
                      <w:sz w:val="21"/>
                    </w:rPr>
                  </w:pPr>
                  <w:r>
                    <w:rPr>
                      <w:b/>
                      <w:bCs/>
                      <w:sz w:val="21"/>
                    </w:rPr>
                    <w:t>危险废物名称</w:t>
                  </w:r>
                </w:p>
              </w:tc>
              <w:tc>
                <w:tcPr>
                  <w:tcW w:w="745" w:type="dxa"/>
                  <w:tcBorders>
                    <w:tl2br w:val="nil"/>
                    <w:tr2bl w:val="nil"/>
                  </w:tcBorders>
                  <w:vAlign w:val="center"/>
                </w:tcPr>
                <w:p w14:paraId="327C3056">
                  <w:pPr>
                    <w:adjustRightInd w:val="0"/>
                    <w:snapToGrid w:val="0"/>
                    <w:spacing w:line="240" w:lineRule="auto"/>
                    <w:jc w:val="center"/>
                    <w:rPr>
                      <w:b/>
                      <w:bCs/>
                      <w:sz w:val="21"/>
                    </w:rPr>
                  </w:pPr>
                  <w:r>
                    <w:rPr>
                      <w:b/>
                      <w:bCs/>
                      <w:sz w:val="21"/>
                    </w:rPr>
                    <w:t>危险废物类别</w:t>
                  </w:r>
                </w:p>
              </w:tc>
              <w:tc>
                <w:tcPr>
                  <w:tcW w:w="1304" w:type="dxa"/>
                  <w:tcBorders>
                    <w:tl2br w:val="nil"/>
                    <w:tr2bl w:val="nil"/>
                  </w:tcBorders>
                  <w:vAlign w:val="center"/>
                </w:tcPr>
                <w:p w14:paraId="111AB1F5">
                  <w:pPr>
                    <w:adjustRightInd w:val="0"/>
                    <w:snapToGrid w:val="0"/>
                    <w:spacing w:line="240" w:lineRule="auto"/>
                    <w:jc w:val="center"/>
                    <w:rPr>
                      <w:b/>
                      <w:bCs/>
                      <w:sz w:val="21"/>
                    </w:rPr>
                  </w:pPr>
                  <w:r>
                    <w:rPr>
                      <w:b/>
                      <w:bCs/>
                      <w:sz w:val="21"/>
                    </w:rPr>
                    <w:t>危险废物代码</w:t>
                  </w:r>
                </w:p>
              </w:tc>
              <w:tc>
                <w:tcPr>
                  <w:tcW w:w="778" w:type="dxa"/>
                  <w:tcBorders>
                    <w:tl2br w:val="nil"/>
                    <w:tr2bl w:val="nil"/>
                  </w:tcBorders>
                  <w:vAlign w:val="center"/>
                </w:tcPr>
                <w:p w14:paraId="76F8C539">
                  <w:pPr>
                    <w:adjustRightInd w:val="0"/>
                    <w:snapToGrid w:val="0"/>
                    <w:spacing w:line="240" w:lineRule="auto"/>
                    <w:jc w:val="center"/>
                    <w:rPr>
                      <w:b/>
                      <w:bCs/>
                      <w:sz w:val="21"/>
                    </w:rPr>
                  </w:pPr>
                  <w:r>
                    <w:rPr>
                      <w:b/>
                      <w:bCs/>
                      <w:sz w:val="21"/>
                    </w:rPr>
                    <w:t>产生量（t/a）</w:t>
                  </w:r>
                </w:p>
              </w:tc>
              <w:tc>
                <w:tcPr>
                  <w:tcW w:w="1063" w:type="dxa"/>
                  <w:tcBorders>
                    <w:tl2br w:val="nil"/>
                    <w:tr2bl w:val="nil"/>
                  </w:tcBorders>
                  <w:vAlign w:val="center"/>
                </w:tcPr>
                <w:p w14:paraId="1CA3B3DB">
                  <w:pPr>
                    <w:adjustRightInd w:val="0"/>
                    <w:snapToGrid w:val="0"/>
                    <w:spacing w:line="240" w:lineRule="auto"/>
                    <w:jc w:val="center"/>
                    <w:rPr>
                      <w:b/>
                      <w:bCs/>
                      <w:sz w:val="21"/>
                    </w:rPr>
                  </w:pPr>
                  <w:r>
                    <w:rPr>
                      <w:b/>
                      <w:bCs/>
                      <w:sz w:val="21"/>
                    </w:rPr>
                    <w:t>产生工序及装置</w:t>
                  </w:r>
                </w:p>
              </w:tc>
              <w:tc>
                <w:tcPr>
                  <w:tcW w:w="707" w:type="dxa"/>
                  <w:tcBorders>
                    <w:tl2br w:val="nil"/>
                    <w:tr2bl w:val="nil"/>
                  </w:tcBorders>
                  <w:vAlign w:val="center"/>
                </w:tcPr>
                <w:p w14:paraId="2E97B375">
                  <w:pPr>
                    <w:adjustRightInd w:val="0"/>
                    <w:snapToGrid w:val="0"/>
                    <w:spacing w:line="240" w:lineRule="auto"/>
                    <w:jc w:val="center"/>
                    <w:rPr>
                      <w:b/>
                      <w:bCs/>
                      <w:sz w:val="21"/>
                    </w:rPr>
                  </w:pPr>
                  <w:r>
                    <w:rPr>
                      <w:b/>
                      <w:bCs/>
                      <w:sz w:val="21"/>
                    </w:rPr>
                    <w:t>形态</w:t>
                  </w:r>
                </w:p>
              </w:tc>
              <w:tc>
                <w:tcPr>
                  <w:tcW w:w="1024" w:type="dxa"/>
                  <w:tcBorders>
                    <w:tl2br w:val="nil"/>
                    <w:tr2bl w:val="nil"/>
                  </w:tcBorders>
                  <w:vAlign w:val="center"/>
                </w:tcPr>
                <w:p w14:paraId="15B9768B">
                  <w:pPr>
                    <w:adjustRightInd w:val="0"/>
                    <w:snapToGrid w:val="0"/>
                    <w:spacing w:line="240" w:lineRule="auto"/>
                    <w:jc w:val="center"/>
                    <w:rPr>
                      <w:b/>
                      <w:bCs/>
                      <w:sz w:val="21"/>
                    </w:rPr>
                  </w:pPr>
                  <w:r>
                    <w:rPr>
                      <w:b/>
                      <w:bCs/>
                      <w:sz w:val="21"/>
                    </w:rPr>
                    <w:t>主要成分</w:t>
                  </w:r>
                </w:p>
              </w:tc>
              <w:tc>
                <w:tcPr>
                  <w:tcW w:w="988" w:type="dxa"/>
                  <w:tcBorders>
                    <w:tl2br w:val="nil"/>
                    <w:tr2bl w:val="nil"/>
                  </w:tcBorders>
                  <w:vAlign w:val="center"/>
                </w:tcPr>
                <w:p w14:paraId="1F1E32BF">
                  <w:pPr>
                    <w:adjustRightInd w:val="0"/>
                    <w:snapToGrid w:val="0"/>
                    <w:spacing w:line="240" w:lineRule="auto"/>
                    <w:jc w:val="center"/>
                    <w:rPr>
                      <w:b/>
                      <w:bCs/>
                      <w:sz w:val="21"/>
                    </w:rPr>
                  </w:pPr>
                  <w:r>
                    <w:rPr>
                      <w:b/>
                      <w:bCs/>
                      <w:sz w:val="21"/>
                    </w:rPr>
                    <w:t>有害成分</w:t>
                  </w:r>
                </w:p>
              </w:tc>
              <w:tc>
                <w:tcPr>
                  <w:tcW w:w="602" w:type="dxa"/>
                  <w:tcBorders>
                    <w:tl2br w:val="nil"/>
                    <w:tr2bl w:val="nil"/>
                  </w:tcBorders>
                  <w:vAlign w:val="center"/>
                </w:tcPr>
                <w:p w14:paraId="3B093AB4">
                  <w:pPr>
                    <w:adjustRightInd w:val="0"/>
                    <w:snapToGrid w:val="0"/>
                    <w:spacing w:line="240" w:lineRule="auto"/>
                    <w:jc w:val="center"/>
                    <w:rPr>
                      <w:b/>
                      <w:bCs/>
                      <w:sz w:val="21"/>
                    </w:rPr>
                  </w:pPr>
                  <w:r>
                    <w:rPr>
                      <w:b/>
                      <w:bCs/>
                      <w:sz w:val="21"/>
                    </w:rPr>
                    <w:t>产废周期</w:t>
                  </w:r>
                </w:p>
              </w:tc>
              <w:tc>
                <w:tcPr>
                  <w:tcW w:w="1001" w:type="dxa"/>
                  <w:tcBorders>
                    <w:tl2br w:val="nil"/>
                    <w:tr2bl w:val="nil"/>
                  </w:tcBorders>
                  <w:vAlign w:val="center"/>
                </w:tcPr>
                <w:p w14:paraId="703159BE">
                  <w:pPr>
                    <w:adjustRightInd w:val="0"/>
                    <w:snapToGrid w:val="0"/>
                    <w:spacing w:line="240" w:lineRule="auto"/>
                    <w:jc w:val="center"/>
                    <w:rPr>
                      <w:b/>
                      <w:bCs/>
                      <w:sz w:val="21"/>
                    </w:rPr>
                  </w:pPr>
                  <w:r>
                    <w:rPr>
                      <w:b/>
                      <w:bCs/>
                      <w:sz w:val="21"/>
                    </w:rPr>
                    <w:t>危险特性</w:t>
                  </w:r>
                </w:p>
              </w:tc>
              <w:tc>
                <w:tcPr>
                  <w:tcW w:w="5098" w:type="dxa"/>
                  <w:tcBorders>
                    <w:tl2br w:val="nil"/>
                    <w:tr2bl w:val="nil"/>
                  </w:tcBorders>
                  <w:vAlign w:val="center"/>
                </w:tcPr>
                <w:p w14:paraId="776426BD">
                  <w:pPr>
                    <w:adjustRightInd w:val="0"/>
                    <w:snapToGrid w:val="0"/>
                    <w:spacing w:line="240" w:lineRule="auto"/>
                    <w:jc w:val="center"/>
                    <w:rPr>
                      <w:b/>
                      <w:bCs/>
                      <w:sz w:val="21"/>
                    </w:rPr>
                  </w:pPr>
                  <w:r>
                    <w:rPr>
                      <w:b/>
                      <w:bCs/>
                      <w:sz w:val="21"/>
                    </w:rPr>
                    <w:t>污染防治措施*</w:t>
                  </w:r>
                </w:p>
              </w:tc>
            </w:tr>
            <w:tr w14:paraId="283A12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97" w:hRule="atLeast"/>
                <w:jc w:val="center"/>
              </w:trPr>
              <w:tc>
                <w:tcPr>
                  <w:tcW w:w="381" w:type="dxa"/>
                  <w:tcBorders>
                    <w:tl2br w:val="nil"/>
                    <w:tr2bl w:val="nil"/>
                  </w:tcBorders>
                  <w:vAlign w:val="center"/>
                </w:tcPr>
                <w:p w14:paraId="7CAA83D8">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953" w:type="dxa"/>
                  <w:tcBorders>
                    <w:tl2br w:val="nil"/>
                    <w:tr2bl w:val="nil"/>
                  </w:tcBorders>
                  <w:vAlign w:val="center"/>
                </w:tcPr>
                <w:p w14:paraId="751FD95F">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废机油</w:t>
                  </w:r>
                </w:p>
              </w:tc>
              <w:tc>
                <w:tcPr>
                  <w:tcW w:w="745" w:type="dxa"/>
                  <w:tcBorders>
                    <w:tl2br w:val="nil"/>
                    <w:tr2bl w:val="nil"/>
                  </w:tcBorders>
                  <w:vAlign w:val="center"/>
                </w:tcPr>
                <w:p w14:paraId="67F6B79E">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HW</w:t>
                  </w:r>
                  <w:r>
                    <w:rPr>
                      <w:rFonts w:hint="eastAsia"/>
                      <w:color w:val="000000" w:themeColor="text1"/>
                      <w:sz w:val="21"/>
                      <w:lang w:val="en-US" w:eastAsia="zh-CN"/>
                      <w14:textFill>
                        <w14:solidFill>
                          <w14:schemeClr w14:val="tx1"/>
                        </w14:solidFill>
                      </w14:textFill>
                    </w:rPr>
                    <w:t>08</w:t>
                  </w:r>
                </w:p>
              </w:tc>
              <w:tc>
                <w:tcPr>
                  <w:tcW w:w="1304" w:type="dxa"/>
                  <w:tcBorders>
                    <w:tl2br w:val="nil"/>
                    <w:tr2bl w:val="nil"/>
                  </w:tcBorders>
                  <w:vAlign w:val="center"/>
                </w:tcPr>
                <w:p w14:paraId="6348210C">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900-249-08</w:t>
                  </w:r>
                </w:p>
              </w:tc>
              <w:tc>
                <w:tcPr>
                  <w:tcW w:w="778" w:type="dxa"/>
                  <w:tcBorders>
                    <w:tl2br w:val="nil"/>
                    <w:tr2bl w:val="nil"/>
                  </w:tcBorders>
                  <w:vAlign w:val="center"/>
                </w:tcPr>
                <w:p w14:paraId="230DC67A">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14:textFill>
                        <w14:solidFill>
                          <w14:schemeClr w14:val="tx1"/>
                        </w14:solidFill>
                      </w14:textFill>
                    </w:rPr>
                    <w:t>0.</w:t>
                  </w:r>
                  <w:r>
                    <w:rPr>
                      <w:rFonts w:hint="eastAsia"/>
                      <w:color w:val="000000" w:themeColor="text1"/>
                      <w:sz w:val="21"/>
                      <w:lang w:val="en-US" w:eastAsia="zh-CN"/>
                      <w14:textFill>
                        <w14:solidFill>
                          <w14:schemeClr w14:val="tx1"/>
                        </w14:solidFill>
                      </w14:textFill>
                    </w:rPr>
                    <w:t>1</w:t>
                  </w:r>
                </w:p>
              </w:tc>
              <w:tc>
                <w:tcPr>
                  <w:tcW w:w="1063" w:type="dxa"/>
                  <w:tcBorders>
                    <w:tl2br w:val="nil"/>
                    <w:tr2bl w:val="nil"/>
                  </w:tcBorders>
                  <w:vAlign w:val="center"/>
                </w:tcPr>
                <w:p w14:paraId="3C07A219">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设备维护</w:t>
                  </w:r>
                </w:p>
              </w:tc>
              <w:tc>
                <w:tcPr>
                  <w:tcW w:w="707" w:type="dxa"/>
                  <w:tcBorders>
                    <w:tl2br w:val="nil"/>
                    <w:tr2bl w:val="nil"/>
                  </w:tcBorders>
                  <w:vAlign w:val="center"/>
                </w:tcPr>
                <w:p w14:paraId="25B001B5">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固态</w:t>
                  </w:r>
                </w:p>
              </w:tc>
              <w:tc>
                <w:tcPr>
                  <w:tcW w:w="1024" w:type="dxa"/>
                  <w:tcBorders>
                    <w:tl2br w:val="nil"/>
                    <w:tr2bl w:val="nil"/>
                  </w:tcBorders>
                  <w:vAlign w:val="center"/>
                </w:tcPr>
                <w:p w14:paraId="1EBCCB38">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矿物油</w:t>
                  </w:r>
                </w:p>
              </w:tc>
              <w:tc>
                <w:tcPr>
                  <w:tcW w:w="988" w:type="dxa"/>
                  <w:tcBorders>
                    <w:tl2br w:val="nil"/>
                    <w:tr2bl w:val="nil"/>
                  </w:tcBorders>
                  <w:vAlign w:val="center"/>
                </w:tcPr>
                <w:p w14:paraId="2B61A1DD">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lang w:eastAsia="zh-CN"/>
                      <w14:textFill>
                        <w14:solidFill>
                          <w14:schemeClr w14:val="tx1"/>
                        </w14:solidFill>
                      </w14:textFill>
                    </w:rPr>
                    <w:t>矿物油</w:t>
                  </w:r>
                </w:p>
              </w:tc>
              <w:tc>
                <w:tcPr>
                  <w:tcW w:w="602" w:type="dxa"/>
                  <w:tcBorders>
                    <w:tl2br w:val="nil"/>
                    <w:tr2bl w:val="nil"/>
                  </w:tcBorders>
                  <w:vAlign w:val="center"/>
                </w:tcPr>
                <w:p w14:paraId="4EED306F">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1年</w:t>
                  </w:r>
                </w:p>
              </w:tc>
              <w:tc>
                <w:tcPr>
                  <w:tcW w:w="1001" w:type="dxa"/>
                  <w:tcBorders>
                    <w:tl2br w:val="nil"/>
                    <w:tr2bl w:val="nil"/>
                  </w:tcBorders>
                  <w:vAlign w:val="center"/>
                </w:tcPr>
                <w:p w14:paraId="4A62CB0F">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T</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I</w:t>
                  </w:r>
                </w:p>
              </w:tc>
              <w:tc>
                <w:tcPr>
                  <w:tcW w:w="5098" w:type="dxa"/>
                  <w:vMerge w:val="restart"/>
                  <w:tcBorders>
                    <w:tl2br w:val="nil"/>
                    <w:tr2bl w:val="nil"/>
                  </w:tcBorders>
                  <w:vAlign w:val="center"/>
                </w:tcPr>
                <w:p w14:paraId="6305F0B3">
                  <w:pPr>
                    <w:adjustRightInd w:val="0"/>
                    <w:snapToGrid w:val="0"/>
                    <w:spacing w:line="240" w:lineRule="auto"/>
                    <w:jc w:val="center"/>
                    <w:rPr>
                      <w:sz w:val="21"/>
                    </w:rPr>
                  </w:pPr>
                  <w:r>
                    <w:rPr>
                      <w:sz w:val="21"/>
                    </w:rPr>
                    <w:t>1、贮存方式：危险废物分类存放于不同的</w:t>
                  </w:r>
                  <w:r>
                    <w:rPr>
                      <w:rFonts w:hint="eastAsia"/>
                      <w:color w:val="000000" w:themeColor="text1"/>
                      <w:sz w:val="21"/>
                      <w14:textFill>
                        <w14:solidFill>
                          <w14:schemeClr w14:val="tx1"/>
                        </w14:solidFill>
                      </w14:textFill>
                    </w:rPr>
                    <w:t>分区</w:t>
                  </w:r>
                  <w:r>
                    <w:rPr>
                      <w:sz w:val="21"/>
                    </w:rPr>
                    <w:t>中</w:t>
                  </w:r>
                  <w:r>
                    <w:rPr>
                      <w:rFonts w:hint="eastAsia"/>
                      <w:sz w:val="21"/>
                    </w:rPr>
                    <w:t>，</w:t>
                  </w:r>
                  <w:r>
                    <w:rPr>
                      <w:rFonts w:hint="eastAsia"/>
                      <w:color w:val="000000" w:themeColor="text1"/>
                      <w:sz w:val="21"/>
                      <w14:textFill>
                        <w14:solidFill>
                          <w14:schemeClr w14:val="tx1"/>
                        </w14:solidFill>
                      </w14:textFill>
                    </w:rPr>
                    <w:t>废活性炭使用密封袋封装，密封袋和</w:t>
                  </w:r>
                  <w:r>
                    <w:rPr>
                      <w:color w:val="000000" w:themeColor="text1"/>
                      <w:sz w:val="21"/>
                      <w14:textFill>
                        <w14:solidFill>
                          <w14:schemeClr w14:val="tx1"/>
                        </w14:solidFill>
                      </w14:textFill>
                    </w:rPr>
                    <w:t>塑料桶</w:t>
                  </w:r>
                  <w:r>
                    <w:rPr>
                      <w:sz w:val="21"/>
                    </w:rPr>
                    <w:t>上粘贴危险废物类别、代码、特性等标签。危废间底部为混凝土结构，具有防渗作用。危废间设置为密闭车间，起到防雨和防晒作用。2、处置方式：在项目危废间暂存到一定量时交由相应处理类别的资质单位外运处理</w:t>
                  </w:r>
                </w:p>
              </w:tc>
            </w:tr>
            <w:tr w14:paraId="679947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51" w:hRule="atLeast"/>
                <w:jc w:val="center"/>
              </w:trPr>
              <w:tc>
                <w:tcPr>
                  <w:tcW w:w="381" w:type="dxa"/>
                  <w:tcBorders>
                    <w:tl2br w:val="nil"/>
                    <w:tr2bl w:val="nil"/>
                  </w:tcBorders>
                  <w:vAlign w:val="center"/>
                </w:tcPr>
                <w:p w14:paraId="5CC22A6D">
                  <w:pPr>
                    <w:adjustRightInd w:val="0"/>
                    <w:snapToGrid w:val="0"/>
                    <w:spacing w:line="240" w:lineRule="auto"/>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953" w:type="dxa"/>
                  <w:tcBorders>
                    <w:tl2br w:val="nil"/>
                    <w:tr2bl w:val="nil"/>
                  </w:tcBorders>
                  <w:vAlign w:val="center"/>
                </w:tcPr>
                <w:p w14:paraId="5880851D">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14:textFill>
                        <w14:solidFill>
                          <w14:schemeClr w14:val="tx1"/>
                        </w14:solidFill>
                      </w14:textFill>
                    </w:rPr>
                    <w:t>含油抹布、手套</w:t>
                  </w:r>
                </w:p>
              </w:tc>
              <w:tc>
                <w:tcPr>
                  <w:tcW w:w="745" w:type="dxa"/>
                  <w:tcBorders>
                    <w:tl2br w:val="nil"/>
                    <w:tr2bl w:val="nil"/>
                  </w:tcBorders>
                  <w:vAlign w:val="center"/>
                </w:tcPr>
                <w:p w14:paraId="5A3AC8B1">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HW49</w:t>
                  </w:r>
                </w:p>
              </w:tc>
              <w:tc>
                <w:tcPr>
                  <w:tcW w:w="1304" w:type="dxa"/>
                  <w:tcBorders>
                    <w:tl2br w:val="nil"/>
                    <w:tr2bl w:val="nil"/>
                  </w:tcBorders>
                  <w:vAlign w:val="center"/>
                </w:tcPr>
                <w:p w14:paraId="551FD9E0">
                  <w:pPr>
                    <w:adjustRightInd w:val="0"/>
                    <w:snapToGrid w:val="0"/>
                    <w:spacing w:line="240" w:lineRule="auto"/>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900-041-49</w:t>
                  </w:r>
                </w:p>
              </w:tc>
              <w:tc>
                <w:tcPr>
                  <w:tcW w:w="778" w:type="dxa"/>
                  <w:tcBorders>
                    <w:tl2br w:val="nil"/>
                    <w:tr2bl w:val="nil"/>
                  </w:tcBorders>
                  <w:vAlign w:val="center"/>
                </w:tcPr>
                <w:p w14:paraId="52B54F83">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0</w:t>
                  </w:r>
                  <w:r>
                    <w:rPr>
                      <w:rFonts w:hint="eastAsia"/>
                      <w:color w:val="000000" w:themeColor="text1"/>
                      <w:sz w:val="21"/>
                      <w:lang w:val="en-US" w:eastAsia="zh-CN"/>
                      <w14:textFill>
                        <w14:solidFill>
                          <w14:schemeClr w14:val="tx1"/>
                        </w14:solidFill>
                      </w14:textFill>
                    </w:rPr>
                    <w:t>.05</w:t>
                  </w:r>
                </w:p>
              </w:tc>
              <w:tc>
                <w:tcPr>
                  <w:tcW w:w="1063" w:type="dxa"/>
                  <w:tcBorders>
                    <w:tl2br w:val="nil"/>
                    <w:tr2bl w:val="nil"/>
                  </w:tcBorders>
                  <w:vAlign w:val="center"/>
                </w:tcPr>
                <w:p w14:paraId="589D1D9F">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设备维护</w:t>
                  </w:r>
                </w:p>
              </w:tc>
              <w:tc>
                <w:tcPr>
                  <w:tcW w:w="707" w:type="dxa"/>
                  <w:tcBorders>
                    <w:tl2br w:val="nil"/>
                    <w:tr2bl w:val="nil"/>
                  </w:tcBorders>
                  <w:vAlign w:val="center"/>
                </w:tcPr>
                <w:p w14:paraId="47076C72">
                  <w:pPr>
                    <w:adjustRightInd w:val="0"/>
                    <w:snapToGrid w:val="0"/>
                    <w:spacing w:line="240" w:lineRule="auto"/>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固态</w:t>
                  </w:r>
                </w:p>
              </w:tc>
              <w:tc>
                <w:tcPr>
                  <w:tcW w:w="1024" w:type="dxa"/>
                  <w:tcBorders>
                    <w:tl2br w:val="nil"/>
                    <w:tr2bl w:val="nil"/>
                  </w:tcBorders>
                  <w:vAlign w:val="center"/>
                </w:tcPr>
                <w:p w14:paraId="61ED5189">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矿物油</w:t>
                  </w:r>
                </w:p>
              </w:tc>
              <w:tc>
                <w:tcPr>
                  <w:tcW w:w="988" w:type="dxa"/>
                  <w:tcBorders>
                    <w:tl2br w:val="nil"/>
                    <w:tr2bl w:val="nil"/>
                  </w:tcBorders>
                  <w:vAlign w:val="center"/>
                </w:tcPr>
                <w:p w14:paraId="126BD2D2">
                  <w:pPr>
                    <w:adjustRightInd w:val="0"/>
                    <w:snapToGrid w:val="0"/>
                    <w:spacing w:line="240" w:lineRule="auto"/>
                    <w:jc w:val="center"/>
                    <w:rPr>
                      <w:rFonts w:hint="eastAsia"/>
                      <w:color w:val="000000" w:themeColor="text1"/>
                      <w:sz w:val="21"/>
                      <w14:textFill>
                        <w14:solidFill>
                          <w14:schemeClr w14:val="tx1"/>
                        </w14:solidFill>
                      </w14:textFill>
                    </w:rPr>
                  </w:pPr>
                  <w:r>
                    <w:rPr>
                      <w:rFonts w:hint="eastAsia"/>
                      <w:color w:val="000000" w:themeColor="text1"/>
                      <w:sz w:val="21"/>
                      <w:lang w:eastAsia="zh-CN"/>
                      <w14:textFill>
                        <w14:solidFill>
                          <w14:schemeClr w14:val="tx1"/>
                        </w14:solidFill>
                      </w14:textFill>
                    </w:rPr>
                    <w:t>矿物油</w:t>
                  </w:r>
                </w:p>
              </w:tc>
              <w:tc>
                <w:tcPr>
                  <w:tcW w:w="602" w:type="dxa"/>
                  <w:tcBorders>
                    <w:tl2br w:val="nil"/>
                    <w:tr2bl w:val="nil"/>
                  </w:tcBorders>
                  <w:vAlign w:val="center"/>
                </w:tcPr>
                <w:p w14:paraId="4958F2D9">
                  <w:pPr>
                    <w:adjustRightInd w:val="0"/>
                    <w:snapToGrid w:val="0"/>
                    <w:spacing w:line="240" w:lineRule="auto"/>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1年</w:t>
                  </w:r>
                </w:p>
              </w:tc>
              <w:tc>
                <w:tcPr>
                  <w:tcW w:w="1001" w:type="dxa"/>
                  <w:tcBorders>
                    <w:tl2br w:val="nil"/>
                    <w:tr2bl w:val="nil"/>
                  </w:tcBorders>
                  <w:vAlign w:val="center"/>
                </w:tcPr>
                <w:p w14:paraId="7ABAD16F">
                  <w:pPr>
                    <w:adjustRightInd w:val="0"/>
                    <w:snapToGrid w:val="0"/>
                    <w:spacing w:line="240" w:lineRule="auto"/>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T/In</w:t>
                  </w:r>
                </w:p>
              </w:tc>
              <w:tc>
                <w:tcPr>
                  <w:tcW w:w="5098" w:type="dxa"/>
                  <w:vMerge w:val="continue"/>
                  <w:tcBorders>
                    <w:tl2br w:val="nil"/>
                    <w:tr2bl w:val="nil"/>
                  </w:tcBorders>
                  <w:vAlign w:val="center"/>
                </w:tcPr>
                <w:p w14:paraId="4A33B7A5">
                  <w:pPr>
                    <w:adjustRightInd w:val="0"/>
                    <w:snapToGrid w:val="0"/>
                    <w:spacing w:line="240" w:lineRule="auto"/>
                    <w:jc w:val="center"/>
                    <w:rPr>
                      <w:sz w:val="21"/>
                    </w:rPr>
                  </w:pPr>
                </w:p>
              </w:tc>
            </w:tr>
          </w:tbl>
          <w:p w14:paraId="4068E157">
            <w:pPr>
              <w:pStyle w:val="14"/>
            </w:pPr>
          </w:p>
          <w:p w14:paraId="30E62D9C">
            <w:pPr>
              <w:autoSpaceDE w:val="0"/>
              <w:autoSpaceDN w:val="0"/>
              <w:adjustRightInd w:val="0"/>
              <w:snapToGrid w:val="0"/>
              <w:spacing w:line="240" w:lineRule="auto"/>
              <w:jc w:val="center"/>
              <w:textAlignment w:val="baseline"/>
              <w:rPr>
                <w:b/>
                <w:kern w:val="24"/>
                <w:szCs w:val="20"/>
              </w:rPr>
            </w:pPr>
            <w:r>
              <w:rPr>
                <w:b/>
                <w:kern w:val="24"/>
                <w:szCs w:val="20"/>
              </w:rPr>
              <w:t>表</w:t>
            </w:r>
            <w:r>
              <w:rPr>
                <w:rFonts w:hint="eastAsia"/>
                <w:b/>
                <w:kern w:val="24"/>
                <w:szCs w:val="20"/>
              </w:rPr>
              <w:t>4-</w:t>
            </w:r>
            <w:r>
              <w:rPr>
                <w:rFonts w:hint="eastAsia"/>
                <w:b/>
                <w:kern w:val="24"/>
                <w:szCs w:val="20"/>
                <w:lang w:val="en-US" w:eastAsia="zh-CN"/>
              </w:rPr>
              <w:t>23</w:t>
            </w:r>
            <w:r>
              <w:rPr>
                <w:b/>
                <w:kern w:val="24"/>
                <w:szCs w:val="20"/>
              </w:rPr>
              <w:t xml:space="preserve"> </w:t>
            </w:r>
            <w:r>
              <w:rPr>
                <w:rFonts w:hint="eastAsia"/>
                <w:b/>
                <w:kern w:val="24"/>
                <w:szCs w:val="20"/>
              </w:rPr>
              <w:t>本</w:t>
            </w:r>
            <w:r>
              <w:rPr>
                <w:b/>
                <w:kern w:val="24"/>
                <w:szCs w:val="20"/>
              </w:rPr>
              <w:t>项目</w:t>
            </w:r>
            <w:r>
              <w:rPr>
                <w:rFonts w:hint="eastAsia"/>
                <w:b/>
                <w:kern w:val="24"/>
                <w:szCs w:val="20"/>
              </w:rPr>
              <w:t>一般</w:t>
            </w:r>
            <w:r>
              <w:rPr>
                <w:b/>
                <w:kern w:val="24"/>
                <w:szCs w:val="20"/>
              </w:rPr>
              <w:t>固体废弃物排放情况</w:t>
            </w:r>
          </w:p>
          <w:tbl>
            <w:tblPr>
              <w:tblStyle w:val="11"/>
              <w:tblW w:w="143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28" w:type="dxa"/>
                <w:left w:w="57" w:type="dxa"/>
                <w:bottom w:w="28" w:type="dxa"/>
                <w:right w:w="57" w:type="dxa"/>
              </w:tblCellMar>
            </w:tblPr>
            <w:tblGrid>
              <w:gridCol w:w="545"/>
              <w:gridCol w:w="1050"/>
              <w:gridCol w:w="1664"/>
              <w:gridCol w:w="1565"/>
              <w:gridCol w:w="1474"/>
              <w:gridCol w:w="1908"/>
              <w:gridCol w:w="1711"/>
              <w:gridCol w:w="4439"/>
            </w:tblGrid>
            <w:tr w14:paraId="48B8E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278" w:hRule="atLeast"/>
                <w:tblHeader/>
                <w:jc w:val="center"/>
              </w:trPr>
              <w:tc>
                <w:tcPr>
                  <w:tcW w:w="545" w:type="dxa"/>
                  <w:tcBorders>
                    <w:tl2br w:val="nil"/>
                    <w:tr2bl w:val="nil"/>
                  </w:tcBorders>
                  <w:vAlign w:val="center"/>
                </w:tcPr>
                <w:p w14:paraId="1BBE557F">
                  <w:pPr>
                    <w:adjustRightInd w:val="0"/>
                    <w:snapToGrid w:val="0"/>
                    <w:spacing w:line="240" w:lineRule="auto"/>
                    <w:jc w:val="center"/>
                    <w:rPr>
                      <w:b/>
                      <w:bCs/>
                      <w:sz w:val="21"/>
                    </w:rPr>
                  </w:pPr>
                  <w:r>
                    <w:rPr>
                      <w:b/>
                      <w:bCs/>
                      <w:sz w:val="21"/>
                    </w:rPr>
                    <w:t>序号</w:t>
                  </w:r>
                </w:p>
              </w:tc>
              <w:tc>
                <w:tcPr>
                  <w:tcW w:w="1050" w:type="dxa"/>
                  <w:tcBorders>
                    <w:tl2br w:val="nil"/>
                    <w:tr2bl w:val="nil"/>
                  </w:tcBorders>
                  <w:vAlign w:val="center"/>
                </w:tcPr>
                <w:p w14:paraId="37FAA2A9">
                  <w:pPr>
                    <w:adjustRightInd w:val="0"/>
                    <w:snapToGrid w:val="0"/>
                    <w:spacing w:line="240" w:lineRule="auto"/>
                    <w:jc w:val="center"/>
                    <w:rPr>
                      <w:b/>
                      <w:bCs/>
                      <w:sz w:val="21"/>
                    </w:rPr>
                  </w:pPr>
                  <w:r>
                    <w:rPr>
                      <w:b/>
                      <w:bCs/>
                      <w:sz w:val="21"/>
                    </w:rPr>
                    <w:t>类型</w:t>
                  </w:r>
                </w:p>
              </w:tc>
              <w:tc>
                <w:tcPr>
                  <w:tcW w:w="1664" w:type="dxa"/>
                  <w:tcBorders>
                    <w:tl2br w:val="nil"/>
                    <w:tr2bl w:val="nil"/>
                  </w:tcBorders>
                  <w:vAlign w:val="center"/>
                </w:tcPr>
                <w:p w14:paraId="3B90266E">
                  <w:pPr>
                    <w:adjustRightInd w:val="0"/>
                    <w:snapToGrid w:val="0"/>
                    <w:spacing w:line="240" w:lineRule="auto"/>
                    <w:jc w:val="center"/>
                    <w:rPr>
                      <w:b/>
                      <w:bCs/>
                      <w:sz w:val="21"/>
                    </w:rPr>
                  </w:pPr>
                  <w:r>
                    <w:rPr>
                      <w:b/>
                      <w:bCs/>
                      <w:sz w:val="21"/>
                    </w:rPr>
                    <w:t>名称</w:t>
                  </w:r>
                </w:p>
              </w:tc>
              <w:tc>
                <w:tcPr>
                  <w:tcW w:w="1565" w:type="dxa"/>
                  <w:tcBorders>
                    <w:tl2br w:val="nil"/>
                    <w:tr2bl w:val="nil"/>
                  </w:tcBorders>
                  <w:vAlign w:val="center"/>
                </w:tcPr>
                <w:p w14:paraId="5A676082">
                  <w:pPr>
                    <w:adjustRightInd w:val="0"/>
                    <w:snapToGrid w:val="0"/>
                    <w:spacing w:line="240" w:lineRule="auto"/>
                    <w:jc w:val="center"/>
                    <w:rPr>
                      <w:b/>
                      <w:bCs/>
                      <w:sz w:val="21"/>
                    </w:rPr>
                  </w:pPr>
                  <w:r>
                    <w:rPr>
                      <w:rFonts w:hint="eastAsia"/>
                      <w:b/>
                      <w:bCs/>
                      <w:sz w:val="21"/>
                    </w:rPr>
                    <w:t>核算方法</w:t>
                  </w:r>
                </w:p>
              </w:tc>
              <w:tc>
                <w:tcPr>
                  <w:tcW w:w="1474" w:type="dxa"/>
                  <w:tcBorders>
                    <w:tl2br w:val="nil"/>
                    <w:tr2bl w:val="nil"/>
                  </w:tcBorders>
                  <w:vAlign w:val="center"/>
                </w:tcPr>
                <w:p w14:paraId="2E5CC6C4">
                  <w:pPr>
                    <w:adjustRightInd w:val="0"/>
                    <w:snapToGrid w:val="0"/>
                    <w:spacing w:line="240" w:lineRule="auto"/>
                    <w:jc w:val="center"/>
                    <w:rPr>
                      <w:b/>
                      <w:bCs/>
                      <w:sz w:val="21"/>
                    </w:rPr>
                  </w:pPr>
                  <w:r>
                    <w:rPr>
                      <w:rFonts w:hint="eastAsia"/>
                      <w:b/>
                      <w:bCs/>
                      <w:sz w:val="21"/>
                    </w:rPr>
                    <w:t>产生量（</w:t>
                  </w:r>
                  <w:r>
                    <w:rPr>
                      <w:b/>
                      <w:bCs/>
                      <w:sz w:val="21"/>
                    </w:rPr>
                    <w:t>t/a</w:t>
                  </w:r>
                  <w:r>
                    <w:rPr>
                      <w:rFonts w:hint="eastAsia"/>
                      <w:b/>
                      <w:bCs/>
                      <w:sz w:val="21"/>
                    </w:rPr>
                    <w:t>）</w:t>
                  </w:r>
                </w:p>
              </w:tc>
              <w:tc>
                <w:tcPr>
                  <w:tcW w:w="1908" w:type="dxa"/>
                  <w:tcBorders>
                    <w:tl2br w:val="nil"/>
                    <w:tr2bl w:val="nil"/>
                  </w:tcBorders>
                  <w:vAlign w:val="center"/>
                </w:tcPr>
                <w:p w14:paraId="703378BA">
                  <w:pPr>
                    <w:adjustRightInd w:val="0"/>
                    <w:snapToGrid w:val="0"/>
                    <w:spacing w:line="240" w:lineRule="auto"/>
                    <w:jc w:val="center"/>
                    <w:rPr>
                      <w:b/>
                      <w:bCs/>
                      <w:sz w:val="21"/>
                    </w:rPr>
                  </w:pPr>
                  <w:r>
                    <w:rPr>
                      <w:rFonts w:hint="eastAsia"/>
                      <w:b/>
                      <w:bCs/>
                      <w:sz w:val="21"/>
                    </w:rPr>
                    <w:t>工艺</w:t>
                  </w:r>
                </w:p>
              </w:tc>
              <w:tc>
                <w:tcPr>
                  <w:tcW w:w="1711" w:type="dxa"/>
                  <w:tcBorders>
                    <w:tl2br w:val="nil"/>
                    <w:tr2bl w:val="nil"/>
                  </w:tcBorders>
                  <w:vAlign w:val="center"/>
                </w:tcPr>
                <w:p w14:paraId="6EF01F2A">
                  <w:pPr>
                    <w:adjustRightInd w:val="0"/>
                    <w:snapToGrid w:val="0"/>
                    <w:spacing w:line="240" w:lineRule="auto"/>
                    <w:jc w:val="center"/>
                    <w:rPr>
                      <w:b/>
                      <w:bCs/>
                      <w:sz w:val="21"/>
                    </w:rPr>
                  </w:pPr>
                  <w:r>
                    <w:rPr>
                      <w:rFonts w:hint="eastAsia"/>
                      <w:b/>
                      <w:bCs/>
                      <w:sz w:val="21"/>
                    </w:rPr>
                    <w:t>处置量（</w:t>
                  </w:r>
                  <w:r>
                    <w:rPr>
                      <w:b/>
                      <w:bCs/>
                      <w:sz w:val="21"/>
                    </w:rPr>
                    <w:t>t/a</w:t>
                  </w:r>
                  <w:r>
                    <w:rPr>
                      <w:rFonts w:hint="eastAsia"/>
                      <w:b/>
                      <w:bCs/>
                      <w:sz w:val="21"/>
                    </w:rPr>
                    <w:t>）</w:t>
                  </w:r>
                </w:p>
              </w:tc>
              <w:tc>
                <w:tcPr>
                  <w:tcW w:w="4439" w:type="dxa"/>
                  <w:tcBorders>
                    <w:tl2br w:val="nil"/>
                    <w:tr2bl w:val="nil"/>
                  </w:tcBorders>
                  <w:vAlign w:val="center"/>
                </w:tcPr>
                <w:p w14:paraId="0A3F195E">
                  <w:pPr>
                    <w:adjustRightInd w:val="0"/>
                    <w:snapToGrid w:val="0"/>
                    <w:spacing w:line="240" w:lineRule="auto"/>
                    <w:jc w:val="center"/>
                    <w:rPr>
                      <w:b/>
                      <w:bCs/>
                      <w:sz w:val="21"/>
                    </w:rPr>
                  </w:pPr>
                  <w:r>
                    <w:rPr>
                      <w:b/>
                      <w:bCs/>
                      <w:sz w:val="21"/>
                    </w:rPr>
                    <w:t>处置方式</w:t>
                  </w:r>
                  <w:r>
                    <w:rPr>
                      <w:rFonts w:hint="eastAsia"/>
                      <w:b/>
                      <w:bCs/>
                      <w:sz w:val="21"/>
                    </w:rPr>
                    <w:t>（去向）</w:t>
                  </w:r>
                </w:p>
              </w:tc>
            </w:tr>
            <w:tr w14:paraId="50F19C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jc w:val="center"/>
              </w:trPr>
              <w:tc>
                <w:tcPr>
                  <w:tcW w:w="545" w:type="dxa"/>
                  <w:tcBorders>
                    <w:tl2br w:val="nil"/>
                    <w:tr2bl w:val="nil"/>
                  </w:tcBorders>
                  <w:vAlign w:val="center"/>
                </w:tcPr>
                <w:p w14:paraId="1D80A261">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050" w:type="dxa"/>
                  <w:tcBorders>
                    <w:tl2br w:val="nil"/>
                    <w:tr2bl w:val="nil"/>
                  </w:tcBorders>
                  <w:vAlign w:val="center"/>
                </w:tcPr>
                <w:p w14:paraId="02107666">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664" w:type="dxa"/>
                  <w:tcBorders>
                    <w:tl2br w:val="nil"/>
                    <w:tr2bl w:val="nil"/>
                  </w:tcBorders>
                  <w:vAlign w:val="center"/>
                </w:tcPr>
                <w:p w14:paraId="2599E367">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生活垃圾</w:t>
                  </w:r>
                </w:p>
              </w:tc>
              <w:tc>
                <w:tcPr>
                  <w:tcW w:w="1565" w:type="dxa"/>
                  <w:tcBorders>
                    <w:tl2br w:val="nil"/>
                    <w:tr2bl w:val="nil"/>
                  </w:tcBorders>
                  <w:vAlign w:val="center"/>
                </w:tcPr>
                <w:p w14:paraId="6F480C27">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产污系数法</w:t>
                  </w:r>
                </w:p>
              </w:tc>
              <w:tc>
                <w:tcPr>
                  <w:tcW w:w="1474" w:type="dxa"/>
                  <w:tcBorders>
                    <w:tl2br w:val="nil"/>
                    <w:tr2bl w:val="nil"/>
                  </w:tcBorders>
                  <w:vAlign w:val="center"/>
                </w:tcPr>
                <w:p w14:paraId="61F5EB7E">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7.05</w:t>
                  </w:r>
                </w:p>
              </w:tc>
              <w:tc>
                <w:tcPr>
                  <w:tcW w:w="1908" w:type="dxa"/>
                  <w:tcBorders>
                    <w:tl2br w:val="nil"/>
                    <w:tr2bl w:val="nil"/>
                  </w:tcBorders>
                  <w:vAlign w:val="center"/>
                </w:tcPr>
                <w:p w14:paraId="473A15EE">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垃圾桶</w:t>
                  </w:r>
                </w:p>
              </w:tc>
              <w:tc>
                <w:tcPr>
                  <w:tcW w:w="1711" w:type="dxa"/>
                  <w:tcBorders>
                    <w:tl2br w:val="nil"/>
                    <w:tr2bl w:val="nil"/>
                  </w:tcBorders>
                  <w:vAlign w:val="center"/>
                </w:tcPr>
                <w:p w14:paraId="365E405F">
                  <w:pPr>
                    <w:adjustRightInd w:val="0"/>
                    <w:snapToGrid w:val="0"/>
                    <w:spacing w:line="240" w:lineRule="auto"/>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7.05</w:t>
                  </w:r>
                </w:p>
              </w:tc>
              <w:tc>
                <w:tcPr>
                  <w:tcW w:w="4439" w:type="dxa"/>
                  <w:tcBorders>
                    <w:tl2br w:val="nil"/>
                    <w:tr2bl w:val="nil"/>
                  </w:tcBorders>
                  <w:vAlign w:val="center"/>
                </w:tcPr>
                <w:p w14:paraId="403005B9">
                  <w:pPr>
                    <w:adjustRightInd w:val="0"/>
                    <w:snapToGrid w:val="0"/>
                    <w:spacing w:line="240" w:lineRule="auto"/>
                    <w:jc w:val="center"/>
                    <w:rPr>
                      <w:sz w:val="21"/>
                    </w:rPr>
                  </w:pPr>
                  <w:r>
                    <w:rPr>
                      <w:sz w:val="21"/>
                    </w:rPr>
                    <w:t>交环卫部门收集清运</w:t>
                  </w:r>
                </w:p>
              </w:tc>
            </w:tr>
            <w:tr w14:paraId="29A5FD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57" w:type="dxa"/>
                  <w:bottom w:w="28" w:type="dxa"/>
                  <w:right w:w="57" w:type="dxa"/>
                </w:tblCellMar>
              </w:tblPrEx>
              <w:trPr>
                <w:trHeight w:val="267" w:hRule="atLeast"/>
                <w:jc w:val="center"/>
              </w:trPr>
              <w:tc>
                <w:tcPr>
                  <w:tcW w:w="545" w:type="dxa"/>
                  <w:tcBorders>
                    <w:tl2br w:val="nil"/>
                    <w:tr2bl w:val="nil"/>
                  </w:tcBorders>
                  <w:vAlign w:val="center"/>
                </w:tcPr>
                <w:p w14:paraId="49D3942F">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2</w:t>
                  </w:r>
                </w:p>
              </w:tc>
              <w:tc>
                <w:tcPr>
                  <w:tcW w:w="1050" w:type="dxa"/>
                  <w:tcBorders>
                    <w:tl2br w:val="nil"/>
                    <w:tr2bl w:val="nil"/>
                  </w:tcBorders>
                  <w:vAlign w:val="center"/>
                </w:tcPr>
                <w:p w14:paraId="06BE2071">
                  <w:pPr>
                    <w:adjustRightInd w:val="0"/>
                    <w:snapToGrid w:val="0"/>
                    <w:spacing w:line="240" w:lineRule="auto"/>
                    <w:jc w:val="center"/>
                    <w:rPr>
                      <w:color w:val="000000" w:themeColor="text1"/>
                      <w:kern w:val="0"/>
                      <w:sz w:val="21"/>
                      <w:szCs w:val="20"/>
                      <w14:textFill>
                        <w14:solidFill>
                          <w14:schemeClr w14:val="tx1"/>
                        </w14:solidFill>
                      </w14:textFill>
                    </w:rPr>
                  </w:pPr>
                  <w:r>
                    <w:rPr>
                      <w:rFonts w:hint="eastAsia"/>
                      <w:color w:val="000000" w:themeColor="text1"/>
                      <w:kern w:val="0"/>
                      <w:sz w:val="21"/>
                      <w:szCs w:val="20"/>
                      <w14:textFill>
                        <w14:solidFill>
                          <w14:schemeClr w14:val="tx1"/>
                        </w14:solidFill>
                      </w14:textFill>
                    </w:rPr>
                    <w:t>一般固废</w:t>
                  </w:r>
                </w:p>
              </w:tc>
              <w:tc>
                <w:tcPr>
                  <w:tcW w:w="1664" w:type="dxa"/>
                  <w:tcBorders>
                    <w:tl2br w:val="nil"/>
                    <w:tr2bl w:val="nil"/>
                  </w:tcBorders>
                  <w:vAlign w:val="center"/>
                </w:tcPr>
                <w:p w14:paraId="5993DD1E">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废树脂</w:t>
                  </w:r>
                </w:p>
              </w:tc>
              <w:tc>
                <w:tcPr>
                  <w:tcW w:w="1565" w:type="dxa"/>
                  <w:tcBorders>
                    <w:tl2br w:val="nil"/>
                    <w:tr2bl w:val="nil"/>
                  </w:tcBorders>
                  <w:vAlign w:val="center"/>
                </w:tcPr>
                <w:p w14:paraId="53201A3C">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物料衡算法</w:t>
                  </w:r>
                </w:p>
              </w:tc>
              <w:tc>
                <w:tcPr>
                  <w:tcW w:w="1474" w:type="dxa"/>
                  <w:tcBorders>
                    <w:tl2br w:val="nil"/>
                    <w:tr2bl w:val="nil"/>
                  </w:tcBorders>
                  <w:vAlign w:val="center"/>
                </w:tcPr>
                <w:p w14:paraId="62EAC16F">
                  <w:pPr>
                    <w:adjustRightInd w:val="0"/>
                    <w:snapToGrid w:val="0"/>
                    <w:spacing w:line="240" w:lineRule="auto"/>
                    <w:jc w:val="center"/>
                    <w:rPr>
                      <w:rFonts w:hint="default" w:eastAsia="宋体"/>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0.8</w:t>
                  </w:r>
                </w:p>
              </w:tc>
              <w:tc>
                <w:tcPr>
                  <w:tcW w:w="1908" w:type="dxa"/>
                  <w:tcBorders>
                    <w:tl2br w:val="nil"/>
                    <w:tr2bl w:val="nil"/>
                  </w:tcBorders>
                  <w:vAlign w:val="center"/>
                </w:tcPr>
                <w:p w14:paraId="2D431856">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直接外运，不暂存</w:t>
                  </w:r>
                </w:p>
              </w:tc>
              <w:tc>
                <w:tcPr>
                  <w:tcW w:w="1711" w:type="dxa"/>
                  <w:tcBorders>
                    <w:tl2br w:val="nil"/>
                    <w:tr2bl w:val="nil"/>
                  </w:tcBorders>
                  <w:vAlign w:val="center"/>
                </w:tcPr>
                <w:p w14:paraId="3DD4421C">
                  <w:pPr>
                    <w:adjustRightInd w:val="0"/>
                    <w:snapToGrid w:val="0"/>
                    <w:spacing w:line="240" w:lineRule="auto"/>
                    <w:jc w:val="center"/>
                    <w:rPr>
                      <w:rFonts w:hint="default" w:eastAsia="宋体"/>
                      <w:color w:val="000000" w:themeColor="text1"/>
                      <w:kern w:val="0"/>
                      <w:sz w:val="21"/>
                      <w:szCs w:val="20"/>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0.8</w:t>
                  </w:r>
                </w:p>
              </w:tc>
              <w:tc>
                <w:tcPr>
                  <w:tcW w:w="4439" w:type="dxa"/>
                  <w:tcBorders>
                    <w:tl2br w:val="nil"/>
                    <w:tr2bl w:val="nil"/>
                  </w:tcBorders>
                  <w:vAlign w:val="center"/>
                </w:tcPr>
                <w:p w14:paraId="6C64861E">
                  <w:pPr>
                    <w:adjustRightInd w:val="0"/>
                    <w:snapToGrid w:val="0"/>
                    <w:spacing w:line="240" w:lineRule="auto"/>
                    <w:jc w:val="center"/>
                    <w:rPr>
                      <w:sz w:val="21"/>
                    </w:rPr>
                  </w:pPr>
                  <w:r>
                    <w:rPr>
                      <w:rFonts w:hint="eastAsia"/>
                      <w:sz w:val="21"/>
                    </w:rPr>
                    <w:t>更换的组件由设备厂商带走回收再生利用</w:t>
                  </w:r>
                </w:p>
              </w:tc>
            </w:tr>
          </w:tbl>
          <w:p w14:paraId="0AC0B716">
            <w:pPr>
              <w:pStyle w:val="14"/>
              <w:bidi w:val="0"/>
              <w:rPr>
                <w:rFonts w:hint="eastAsia"/>
              </w:rPr>
            </w:pPr>
          </w:p>
          <w:p w14:paraId="4C6CC000">
            <w:pPr>
              <w:bidi w:val="0"/>
              <w:ind w:firstLine="480" w:firstLineChars="200"/>
              <w:rPr>
                <w:rFonts w:hint="eastAsia"/>
              </w:rPr>
            </w:pPr>
            <w:r>
              <w:rPr>
                <w:rFonts w:hint="eastAsia"/>
              </w:rPr>
              <w:t>综上所述，本项目运营期间产生的固体废物主要有生活垃圾、废树脂、废机油和含油抹布、手套。其中生活垃圾统一收集后，定期交由环卫部门统一清运；本项目纯水制备系统产生的废树脂不属于危险废物，更换的软水器组件时，由设备厂商带走回收再生利用，不在项目内暂存；废机油和含油抹布、手套暂存至项目内危废暂存间，定期交由有资质单位进行处理。</w:t>
            </w:r>
          </w:p>
          <w:p w14:paraId="5C270CF1">
            <w:pPr>
              <w:bidi w:val="0"/>
              <w:ind w:firstLine="480" w:firstLineChars="200"/>
              <w:rPr>
                <w:rFonts w:ascii="宋体" w:hAnsi="宋体" w:cs="宋体"/>
                <w:bCs/>
                <w:spacing w:val="-10"/>
                <w:szCs w:val="21"/>
              </w:rPr>
            </w:pPr>
            <w:r>
              <w:rPr>
                <w:rFonts w:hint="eastAsia"/>
              </w:rPr>
              <w:t>对于危险废物，建设单位应按照《危险废物贮存污染控制标准》（GB18597-2023）的相关要求进行贮存，贮存设施或场所、容器和包装物应按HJ 1276要求设置危险废物贮存设施或场所标志、危险废物贮存分区标志和危险废物标签等危险废物识别标志等，防止造成二次污染。同时，建设单位要定期检查存放危险废物的容器是否有损坏，防止危险废物泄露，然后定期将危险废物交由有危废处理资质的单位回收处理，运输转移时装载危险废物的车辆必须做好防渗、防漏的措施，按《危险废物转移联单管理办法》做好申报转移记录。本项目固废的产生以及处理情况汇总详见上表，采取分类收集，分类处置措施后，项目产生的固废基本不会对周围环境产生影响。</w:t>
            </w:r>
          </w:p>
        </w:tc>
      </w:tr>
    </w:tbl>
    <w:p w14:paraId="1087024D">
      <w:pPr>
        <w:tabs>
          <w:tab w:val="left" w:pos="414"/>
        </w:tabs>
        <w:adjustRightInd w:val="0"/>
        <w:snapToGrid w:val="0"/>
        <w:ind w:firstLine="480" w:firstLineChars="200"/>
        <w:rPr>
          <w:rFonts w:cs="宋体"/>
        </w:rPr>
        <w:sectPr>
          <w:pgSz w:w="16840" w:h="11907" w:orient="landscape"/>
          <w:pgMar w:top="1020" w:right="1020" w:bottom="1020" w:left="1020" w:header="851" w:footer="567" w:gutter="0"/>
          <w:pgBorders>
            <w:top w:val="none" w:sz="0" w:space="0"/>
            <w:left w:val="none" w:sz="0" w:space="0"/>
            <w:bottom w:val="none" w:sz="0" w:space="0"/>
            <w:right w:val="none" w:sz="0" w:space="0"/>
          </w:pgBorders>
          <w:cols w:space="720" w:num="1"/>
          <w:docGrid w:linePitch="312" w:charSpace="0"/>
        </w:sectPr>
      </w:pPr>
    </w:p>
    <w:tbl>
      <w:tblPr>
        <w:tblStyle w:val="11"/>
        <w:tblW w:w="9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9532"/>
      </w:tblGrid>
      <w:tr w14:paraId="32178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1" w:hRule="atLeast"/>
          <w:jc w:val="center"/>
        </w:trPr>
        <w:tc>
          <w:tcPr>
            <w:tcW w:w="414" w:type="dxa"/>
            <w:tcMar>
              <w:left w:w="28" w:type="dxa"/>
              <w:right w:w="28" w:type="dxa"/>
            </w:tcMar>
            <w:vAlign w:val="center"/>
          </w:tcPr>
          <w:p w14:paraId="32A90D03">
            <w:pPr>
              <w:tabs>
                <w:tab w:val="left" w:pos="414"/>
              </w:tabs>
              <w:adjustRightInd w:val="0"/>
              <w:snapToGrid w:val="0"/>
              <w:rPr>
                <w:rFonts w:ascii="宋体" w:hAnsi="宋体" w:cs="宋体"/>
                <w:bCs/>
                <w:szCs w:val="21"/>
              </w:rPr>
            </w:pPr>
            <w:r>
              <w:rPr>
                <w:rFonts w:hint="eastAsia" w:cs="宋体"/>
              </w:rPr>
              <w:tab/>
            </w:r>
            <w:r>
              <w:rPr>
                <w:rFonts w:hint="eastAsia" w:ascii="宋体" w:hAnsi="宋体" w:cs="宋体"/>
                <w:bCs/>
                <w:szCs w:val="21"/>
              </w:rPr>
              <w:t>运营</w:t>
            </w:r>
          </w:p>
          <w:p w14:paraId="492C5D3E">
            <w:pPr>
              <w:adjustRightInd w:val="0"/>
              <w:snapToGrid w:val="0"/>
              <w:jc w:val="center"/>
              <w:rPr>
                <w:rFonts w:ascii="宋体" w:hAnsi="宋体" w:cs="宋体"/>
                <w:bCs/>
                <w:szCs w:val="21"/>
              </w:rPr>
            </w:pPr>
            <w:r>
              <w:rPr>
                <w:rFonts w:hint="eastAsia" w:ascii="宋体" w:hAnsi="宋体" w:cs="宋体"/>
                <w:bCs/>
                <w:szCs w:val="21"/>
              </w:rPr>
              <w:t>期环</w:t>
            </w:r>
          </w:p>
          <w:p w14:paraId="7EAE8D00">
            <w:pPr>
              <w:adjustRightInd w:val="0"/>
              <w:snapToGrid w:val="0"/>
              <w:jc w:val="center"/>
              <w:rPr>
                <w:rFonts w:ascii="宋体" w:hAnsi="宋体" w:cs="宋体"/>
                <w:bCs/>
                <w:szCs w:val="21"/>
              </w:rPr>
            </w:pPr>
            <w:r>
              <w:rPr>
                <w:rFonts w:hint="eastAsia" w:ascii="宋体" w:hAnsi="宋体" w:cs="宋体"/>
                <w:bCs/>
                <w:szCs w:val="21"/>
              </w:rPr>
              <w:t>境影</w:t>
            </w:r>
          </w:p>
          <w:p w14:paraId="38C663B3">
            <w:pPr>
              <w:adjustRightInd w:val="0"/>
              <w:snapToGrid w:val="0"/>
              <w:jc w:val="center"/>
              <w:rPr>
                <w:rFonts w:ascii="宋体" w:hAnsi="宋体" w:cs="宋体"/>
                <w:bCs/>
                <w:szCs w:val="21"/>
              </w:rPr>
            </w:pPr>
            <w:r>
              <w:rPr>
                <w:rFonts w:hint="eastAsia" w:ascii="宋体" w:hAnsi="宋体" w:cs="宋体"/>
                <w:bCs/>
                <w:szCs w:val="21"/>
              </w:rPr>
              <w:t>响和</w:t>
            </w:r>
          </w:p>
          <w:p w14:paraId="65FB13AF">
            <w:pPr>
              <w:adjustRightInd w:val="0"/>
              <w:snapToGrid w:val="0"/>
              <w:jc w:val="center"/>
              <w:rPr>
                <w:rFonts w:ascii="宋体" w:hAnsi="宋体" w:cs="宋体"/>
                <w:bCs/>
                <w:szCs w:val="21"/>
              </w:rPr>
            </w:pPr>
            <w:r>
              <w:rPr>
                <w:rFonts w:hint="eastAsia" w:ascii="宋体" w:hAnsi="宋体" w:cs="宋体"/>
                <w:bCs/>
                <w:szCs w:val="21"/>
              </w:rPr>
              <w:t>保护</w:t>
            </w:r>
          </w:p>
          <w:p w14:paraId="106FDE71">
            <w:pPr>
              <w:adjustRightInd w:val="0"/>
              <w:snapToGrid w:val="0"/>
              <w:jc w:val="center"/>
              <w:rPr>
                <w:rFonts w:ascii="宋体" w:hAnsi="宋体" w:cs="宋体"/>
                <w:bCs/>
                <w:szCs w:val="21"/>
              </w:rPr>
            </w:pPr>
            <w:r>
              <w:rPr>
                <w:rFonts w:hint="eastAsia" w:ascii="宋体" w:hAnsi="宋体" w:cs="宋体"/>
                <w:bCs/>
                <w:szCs w:val="21"/>
              </w:rPr>
              <w:t>措施</w:t>
            </w:r>
          </w:p>
        </w:tc>
        <w:tc>
          <w:tcPr>
            <w:tcW w:w="9532" w:type="dxa"/>
            <w:vAlign w:val="center"/>
          </w:tcPr>
          <w:p w14:paraId="1A790C47">
            <w:pPr>
              <w:adjustRightInd w:val="0"/>
              <w:snapToGrid w:val="0"/>
              <w:ind w:firstLine="482" w:firstLineChars="200"/>
              <w:rPr>
                <w:b/>
                <w:bCs/>
              </w:rPr>
            </w:pPr>
            <w:r>
              <w:rPr>
                <w:rFonts w:hint="eastAsia"/>
                <w:b/>
                <w:bCs/>
              </w:rPr>
              <w:t>4、环境管理要求</w:t>
            </w:r>
          </w:p>
          <w:p w14:paraId="66F82719">
            <w:pPr>
              <w:adjustRightInd w:val="0"/>
              <w:snapToGrid w:val="0"/>
              <w:ind w:firstLine="482" w:firstLineChars="200"/>
              <w:rPr>
                <w:b/>
                <w:bCs/>
              </w:rPr>
            </w:pPr>
            <w:r>
              <w:rPr>
                <w:b/>
                <w:bCs/>
              </w:rPr>
              <w:t>1</w:t>
            </w:r>
            <w:r>
              <w:rPr>
                <w:rFonts w:hint="eastAsia"/>
                <w:b/>
                <w:bCs/>
              </w:rPr>
              <w:t>）一般固废</w:t>
            </w:r>
          </w:p>
          <w:p w14:paraId="7368D9E0">
            <w:pPr>
              <w:widowControl/>
              <w:adjustRightInd w:val="0"/>
              <w:snapToGrid w:val="0"/>
              <w:ind w:firstLine="480" w:firstLineChars="200"/>
              <w:jc w:val="left"/>
            </w:pPr>
            <w:r>
              <w:rPr>
                <w:rFonts w:hint="eastAsia" w:ascii="宋体" w:hAnsi="宋体" w:cs="宋体"/>
                <w:kern w:val="0"/>
              </w:rPr>
              <w:t>一般固废暂存区严格按照</w:t>
            </w:r>
            <w:r>
              <w:rPr>
                <w:rFonts w:hint="eastAsia"/>
              </w:rPr>
              <w:t>《一般工业固体废物贮存和填埋污染控制标准》（GB18599-2020</w:t>
            </w:r>
            <w:r>
              <w:rPr>
                <w:kern w:val="0"/>
              </w:rPr>
              <w:t>)</w:t>
            </w:r>
            <w:r>
              <w:rPr>
                <w:rFonts w:hint="eastAsia" w:ascii="宋体" w:hAnsi="宋体" w:cs="宋体"/>
                <w:kern w:val="0"/>
              </w:rPr>
              <w:t>的要求规范建设和维护使用。根据《中华人民共和国固体废物污染环境防治法》（</w:t>
            </w:r>
            <w:r>
              <w:rPr>
                <w:kern w:val="0"/>
              </w:rPr>
              <w:t>2020</w:t>
            </w:r>
            <w:r>
              <w:rPr>
                <w:rFonts w:hint="eastAsia" w:ascii="宋体" w:hAnsi="宋体" w:cs="宋体"/>
                <w:kern w:val="0"/>
              </w:rPr>
              <w:t>年</w:t>
            </w:r>
            <w:r>
              <w:rPr>
                <w:kern w:val="0"/>
              </w:rPr>
              <w:t>9</w:t>
            </w:r>
            <w:r>
              <w:rPr>
                <w:rFonts w:hint="eastAsia" w:ascii="宋体" w:hAnsi="宋体" w:cs="宋体"/>
                <w:kern w:val="0"/>
              </w:rPr>
              <w:t>月</w:t>
            </w:r>
            <w:r>
              <w:rPr>
                <w:kern w:val="0"/>
              </w:rPr>
              <w:t>1</w:t>
            </w:r>
            <w:r>
              <w:rPr>
                <w:rFonts w:hint="eastAsia" w:ascii="宋体" w:hAnsi="宋体" w:cs="宋体"/>
                <w:kern w:val="0"/>
              </w:rPr>
              <w:t>日起施行），需采取的措施如下：</w:t>
            </w:r>
          </w:p>
          <w:p w14:paraId="0A782436">
            <w:pPr>
              <w:widowControl/>
              <w:adjustRightInd w:val="0"/>
              <w:snapToGrid w:val="0"/>
              <w:ind w:firstLine="480" w:firstLineChars="200"/>
              <w:jc w:val="left"/>
            </w:pPr>
            <w:r>
              <w:rPr>
                <w:rFonts w:hint="eastAsia" w:ascii="宋体" w:hAnsi="宋体" w:cs="宋体"/>
                <w:kern w:val="0"/>
              </w:rPr>
              <w:t>①产生、收集、贮存、运输、利用、处置固体废物的单位和其他生产经营者，应当采取防扬散、防流失、防渗漏或者其他防止污染环境的措施，不得擅自倾倒、堆放、丢弃、遗撒固体废物；</w:t>
            </w:r>
          </w:p>
          <w:p w14:paraId="06684D79">
            <w:pPr>
              <w:widowControl/>
              <w:adjustRightInd w:val="0"/>
              <w:snapToGrid w:val="0"/>
              <w:ind w:firstLine="480" w:firstLineChars="200"/>
              <w:jc w:val="left"/>
            </w:pPr>
            <w:r>
              <w:rPr>
                <w:rFonts w:hint="eastAsia" w:ascii="宋体" w:hAnsi="宋体" w:cs="宋体"/>
                <w:kern w:val="0"/>
              </w:rPr>
              <w:t>②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14:paraId="3847A03C">
            <w:pPr>
              <w:widowControl/>
              <w:adjustRightInd w:val="0"/>
              <w:snapToGrid w:val="0"/>
              <w:ind w:firstLine="480" w:firstLineChars="200"/>
              <w:jc w:val="left"/>
              <w:rPr>
                <w:rFonts w:ascii="宋体" w:hAnsi="宋体" w:cs="宋体"/>
                <w:kern w:val="0"/>
              </w:rPr>
            </w:pPr>
            <w:r>
              <w:rPr>
                <w:rFonts w:hint="eastAsia" w:ascii="宋体" w:hAnsi="宋体" w:cs="宋体"/>
                <w:kern w:val="0"/>
              </w:rPr>
              <w:t>③产生工业固体废物的单位委托他人运输、利用、处置工业固体废物的，应当对受托方的主体资格和技术能力进行核实，依法签订书面合同，在合同中约定污染防治要求。</w:t>
            </w:r>
          </w:p>
          <w:p w14:paraId="28E8DF38">
            <w:pPr>
              <w:widowControl/>
              <w:adjustRightInd w:val="0"/>
              <w:snapToGrid w:val="0"/>
              <w:ind w:firstLine="480" w:firstLineChars="200"/>
              <w:jc w:val="left"/>
              <w:rPr>
                <w:rFonts w:ascii="宋体" w:hAnsi="宋体" w:cs="宋体"/>
                <w:kern w:val="0"/>
              </w:rPr>
            </w:pPr>
            <w:r>
              <w:rPr>
                <w:rFonts w:hint="eastAsia" w:ascii="宋体" w:hAnsi="宋体" w:cs="宋体"/>
                <w:kern w:val="0"/>
              </w:rPr>
              <w:t>④产生工业固体废物的单位应当依法实施清洁生产审核，合理选择和利用原材料、能源和其他资源，采用先进的生产工艺和设备，减少工业固体废物的产生量，降低工业固体废物的危害性。</w:t>
            </w:r>
          </w:p>
          <w:p w14:paraId="3D9B3839">
            <w:pPr>
              <w:widowControl/>
              <w:adjustRightInd w:val="0"/>
              <w:snapToGrid w:val="0"/>
              <w:ind w:firstLine="480" w:firstLineChars="200"/>
              <w:jc w:val="left"/>
              <w:rPr>
                <w:rFonts w:ascii="宋体" w:hAnsi="宋体" w:cs="宋体"/>
                <w:kern w:val="0"/>
              </w:rPr>
            </w:pPr>
            <w:r>
              <w:rPr>
                <w:rFonts w:hint="eastAsia" w:ascii="宋体" w:hAnsi="宋体" w:cs="宋体"/>
                <w:kern w:val="0"/>
              </w:rPr>
              <w:t>⑤禁止向江河、湖泊、运河、渠道、水库及其最高水位线以下的滩地和岸坡以及法律法规规定的其他地点倾倒、堆放、贮存固体废物。</w:t>
            </w:r>
          </w:p>
          <w:p w14:paraId="43F90655">
            <w:pPr>
              <w:widowControl/>
              <w:adjustRightInd w:val="0"/>
              <w:snapToGrid w:val="0"/>
              <w:ind w:firstLine="480" w:firstLineChars="200"/>
              <w:jc w:val="left"/>
              <w:rPr>
                <w:rFonts w:ascii="宋体" w:hAnsi="宋体" w:cs="宋体"/>
                <w:kern w:val="0"/>
              </w:rPr>
            </w:pPr>
            <w:r>
              <w:rPr>
                <w:rFonts w:hint="eastAsia" w:ascii="宋体" w:hAnsi="宋体" w:cs="宋体"/>
                <w:kern w:val="0"/>
              </w:rPr>
              <w:t>⑥产生工业固体废物的单位应当取得排污许可证。</w:t>
            </w:r>
          </w:p>
          <w:p w14:paraId="0072BD5B">
            <w:pPr>
              <w:widowControl/>
              <w:adjustRightInd w:val="0"/>
              <w:snapToGrid w:val="0"/>
              <w:ind w:firstLine="480" w:firstLineChars="200"/>
              <w:jc w:val="left"/>
              <w:rPr>
                <w:rFonts w:ascii="宋体" w:hAnsi="宋体" w:cs="宋体"/>
                <w:kern w:val="0"/>
              </w:rPr>
            </w:pPr>
            <w:r>
              <w:rPr>
                <w:rFonts w:hint="eastAsia" w:ascii="宋体" w:hAnsi="宋体" w:cs="宋体"/>
                <w:kern w:val="0"/>
              </w:rPr>
              <w:t>⑦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447C8122">
            <w:pPr>
              <w:widowControl/>
              <w:adjustRightInd w:val="0"/>
              <w:snapToGrid w:val="0"/>
              <w:ind w:firstLine="480" w:firstLineChars="200"/>
              <w:jc w:val="left"/>
              <w:rPr>
                <w:rFonts w:ascii="宋体" w:hAnsi="宋体" w:cs="宋体"/>
                <w:kern w:val="0"/>
              </w:rPr>
            </w:pPr>
            <w:r>
              <w:rPr>
                <w:rFonts w:hint="eastAsia" w:ascii="宋体" w:hAnsi="宋体" w:cs="宋体"/>
                <w:kern w:val="0"/>
              </w:rPr>
              <w:t>⑧依法履行生活垃圾源头减量和分类投放义务，承担生活垃圾产生者责任。应当依法在指定的地点分类投放生活垃圾。禁止随意倾倒、抛撒、堆放或者焚烧生活垃圾。已经分类投放的生活垃圾，应当按照规定分类收集、分类运输、分类处理。</w:t>
            </w:r>
          </w:p>
          <w:p w14:paraId="3D70370E">
            <w:pPr>
              <w:ind w:firstLine="480" w:firstLineChars="200"/>
            </w:pPr>
            <w:r>
              <w:rPr>
                <w:rFonts w:hint="eastAsia"/>
              </w:rPr>
              <w:t>⑨建设生活垃圾处理设施、场所，应当符合国务院生态环境主管部门和国务院住房城乡建设主管部门规定的环境保护和环境卫生标准。建设单位需严格按照《广东省固体废物污染环境防治条例》、《一般工业固体废物贮存和填埋污染控制标准》（GB18599-2020）对固体废物进行处理处置，不会对周围环境产生明显的影响。</w:t>
            </w:r>
          </w:p>
          <w:p w14:paraId="770683A5">
            <w:pPr>
              <w:widowControl/>
              <w:adjustRightInd w:val="0"/>
              <w:snapToGrid w:val="0"/>
              <w:ind w:firstLine="482" w:firstLineChars="200"/>
              <w:jc w:val="left"/>
              <w:rPr>
                <w:rFonts w:ascii="宋体" w:hAnsi="宋体" w:cs="宋体"/>
                <w:b/>
                <w:bCs/>
                <w:kern w:val="0"/>
              </w:rPr>
            </w:pPr>
            <w:r>
              <w:rPr>
                <w:rFonts w:hint="eastAsia" w:ascii="宋体" w:hAnsi="宋体" w:cs="宋体"/>
                <w:b/>
                <w:bCs/>
                <w:kern w:val="0"/>
              </w:rPr>
              <w:t>2）危险固废</w:t>
            </w:r>
          </w:p>
          <w:p w14:paraId="38F305BF">
            <w:pPr>
              <w:ind w:firstLine="480" w:firstLineChars="200"/>
            </w:pPr>
            <w:r>
              <w:rPr>
                <w:rFonts w:hint="eastAsia"/>
              </w:rPr>
              <w:t>危险固废从生产、收集、贮运、转运、处置等各个环节都可能因管理不善而进入环境，因此在各个环节中，抛落、渗漏、丢弃、等不完善问题都可能存在，为了使各种危险废弃物能更好的达到合法合理处置的目的，本评价按照《危险废物贮存污染控制标准》（GB18597-2023）、《危险废物收集贮存运输技术规范》（HJ2025-2012）的要求，提出治理措施，以进一步规范项目在收集、贮运、处置等操作过程。</w:t>
            </w:r>
          </w:p>
          <w:p w14:paraId="3210B534">
            <w:pPr>
              <w:ind w:firstLine="480" w:firstLineChars="200"/>
            </w:pPr>
            <w:r>
              <w:rPr>
                <w:rFonts w:hint="eastAsia"/>
              </w:rPr>
              <w:t>①收集、贮存：建设单位应根据废物特性设置符合《危险废物贮存污染控制标准》（GB18597-2023）、《危险废物收集贮存运输技术规范》（HJ2025-2012）要求的危险废物暂存场所，暂存场所设置在厂房内，地面采取防渗措施，危险废物收集后分辨临时贮存于废物储罐内；根据生产需要合理设置贮存量，尽量减少厂内的物料贮存量；严禁将危险废物混入生活垃圾；堆放危险废物的地方要有明显的标志，堆放点要防雨、防渗、防漏，应按要求进行包装贮存。</w:t>
            </w:r>
          </w:p>
          <w:p w14:paraId="153EF758">
            <w:pPr>
              <w:widowControl/>
              <w:adjustRightInd w:val="0"/>
              <w:snapToGrid w:val="0"/>
              <w:ind w:firstLine="480" w:firstLineChars="200"/>
              <w:jc w:val="left"/>
              <w:rPr>
                <w:rFonts w:ascii="宋体" w:hAnsi="宋体" w:cs="宋体"/>
                <w:kern w:val="0"/>
              </w:rPr>
            </w:pPr>
            <w:r>
              <w:rPr>
                <w:rFonts w:hint="eastAsia" w:ascii="宋体" w:hAnsi="宋体" w:cs="宋体"/>
                <w:kern w:val="0"/>
              </w:rPr>
              <w:t>②运输：对危险废物的运输要求安全可靠，要严格按照废物运输的管理规定进行危险废物的运输，减少运输过程中的二次污染和可能造成的环境风险，运输车辆需有特殊标志。</w:t>
            </w:r>
          </w:p>
          <w:p w14:paraId="253D1F41">
            <w:pPr>
              <w:ind w:firstLine="480" w:firstLineChars="200"/>
            </w:pPr>
            <w:r>
              <w:rPr>
                <w:rFonts w:hint="eastAsia"/>
              </w:rPr>
              <w:t>③处置：建设单位应将危险废物交由有相应类型危险废物处理资质的单位进行安全处置。建设单位需严格按照《危险废物贮存污染控制标准》（GB18597-2023）、《危险废物收集贮存运输技术规范》（HJ2025-2012）对危险废物进行处置，避免对周围环境产生明显的影响。</w:t>
            </w:r>
          </w:p>
          <w:p w14:paraId="700D7E5D">
            <w:pPr>
              <w:ind w:firstLine="482" w:firstLineChars="200"/>
              <w:rPr>
                <w:b/>
                <w:bCs/>
              </w:rPr>
            </w:pPr>
            <w:r>
              <w:rPr>
                <w:rFonts w:hint="eastAsia"/>
                <w:b/>
                <w:bCs/>
              </w:rPr>
              <w:t>五、生态环境影响分析</w:t>
            </w:r>
          </w:p>
          <w:p w14:paraId="39EC61A1">
            <w:pPr>
              <w:adjustRightInd w:val="0"/>
              <w:snapToGrid w:val="0"/>
              <w:ind w:firstLine="480" w:firstLineChars="200"/>
            </w:pPr>
            <w:r>
              <w:t>本项目</w:t>
            </w:r>
            <w:r>
              <w:rPr>
                <w:rFonts w:hint="eastAsia"/>
                <w:color w:val="000000" w:themeColor="text1"/>
                <w14:textFill>
                  <w14:solidFill>
                    <w14:schemeClr w14:val="tx1"/>
                  </w14:solidFill>
                </w14:textFill>
              </w:rPr>
              <w:t>建成后总</w:t>
            </w:r>
            <w:r>
              <w:t>占地面积为</w:t>
            </w:r>
            <w:r>
              <w:rPr>
                <w:rFonts w:hint="eastAsia"/>
                <w:color w:val="000000" w:themeColor="text1"/>
                <w14:textFill>
                  <w14:solidFill>
                    <w14:schemeClr w14:val="tx1"/>
                  </w14:solidFill>
                </w14:textFill>
              </w:rPr>
              <w:t>21666.86m</w:t>
            </w:r>
            <w:r>
              <w:rPr>
                <w:rFonts w:hint="eastAsia"/>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t>小于2km</w:t>
            </w:r>
            <w:r>
              <w:rPr>
                <w:vertAlign w:val="superscript"/>
              </w:rPr>
              <w:t>2</w:t>
            </w:r>
            <w:r>
              <w:rPr>
                <w:rFonts w:hint="eastAsia"/>
              </w:rPr>
              <w:t>，边界长度小于50km；所在地及附近形成以</w:t>
            </w:r>
            <w:r>
              <w:rPr>
                <w:rFonts w:hint="eastAsia"/>
                <w:lang w:eastAsia="zh-CN"/>
              </w:rPr>
              <w:t>工业厂房、道路、</w:t>
            </w:r>
            <w:r>
              <w:rPr>
                <w:rFonts w:hint="eastAsia"/>
              </w:rPr>
              <w:t>空地和</w:t>
            </w:r>
            <w:r>
              <w:rPr>
                <w:rFonts w:hint="eastAsia"/>
                <w:lang w:eastAsia="zh-CN"/>
              </w:rPr>
              <w:t>山林地</w:t>
            </w:r>
            <w:r>
              <w:rPr>
                <w:rFonts w:hint="eastAsia"/>
              </w:rPr>
              <w:t>等为主的生态景观，因此属于一般区域。</w:t>
            </w:r>
          </w:p>
          <w:p w14:paraId="27B53CAC">
            <w:pPr>
              <w:adjustRightInd w:val="0"/>
              <w:snapToGrid w:val="0"/>
              <w:ind w:firstLine="480" w:firstLineChars="200"/>
            </w:pPr>
            <w:r>
              <w:rPr>
                <w:rFonts w:hint="eastAsia"/>
              </w:rPr>
              <w:t>本项目位于</w:t>
            </w:r>
            <w:r>
              <w:rPr>
                <w:rFonts w:hint="eastAsia"/>
                <w:lang w:eastAsia="zh-CN"/>
              </w:rPr>
              <w:t>云浮市云安区</w:t>
            </w:r>
            <w:r>
              <w:rPr>
                <w:rFonts w:hint="eastAsia"/>
                <w:color w:val="000000" w:themeColor="text1"/>
                <w:lang w:eastAsia="zh-CN"/>
                <w14:textFill>
                  <w14:solidFill>
                    <w14:schemeClr w14:val="tx1"/>
                  </w14:solidFill>
                </w14:textFill>
              </w:rPr>
              <w:t>云浮循环经济工业园</w:t>
            </w:r>
            <w:r>
              <w:rPr>
                <w:rFonts w:hint="eastAsia"/>
              </w:rPr>
              <w:t>，目前周边为</w:t>
            </w:r>
            <w:r>
              <w:rPr>
                <w:rFonts w:hint="eastAsia"/>
                <w:lang w:eastAsia="zh-CN"/>
              </w:rPr>
              <w:t>工业厂房、空地、山地</w:t>
            </w:r>
            <w:r>
              <w:rPr>
                <w:rFonts w:hint="eastAsia"/>
              </w:rPr>
              <w:t>和道路，处于人类活动频繁区，项目用地范围内无法定生态保护区域；重要生态环境以及其他具有重要生态功能、对保护生物多样性具有重要意义的区域。项目用地为工业用地，</w:t>
            </w:r>
            <w:r>
              <w:rPr>
                <w:rFonts w:hint="eastAsia"/>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拟建</w:t>
            </w:r>
            <w:r>
              <w:rPr>
                <w:rFonts w:hint="eastAsia"/>
                <w:color w:val="000000" w:themeColor="text1"/>
                <w14:textFill>
                  <w14:solidFill>
                    <w14:schemeClr w14:val="tx1"/>
                  </w14:solidFill>
                </w14:textFill>
              </w:rPr>
              <w:t>建筑</w:t>
            </w:r>
            <w:r>
              <w:rPr>
                <w:rFonts w:hint="eastAsia"/>
                <w:color w:val="000000" w:themeColor="text1"/>
                <w:lang w:eastAsia="zh-CN"/>
                <w14:textFill>
                  <w14:solidFill>
                    <w14:schemeClr w14:val="tx1"/>
                  </w14:solidFill>
                </w14:textFill>
              </w:rPr>
              <w:t>均在园区内已平整地块进行建设</w:t>
            </w:r>
            <w:r>
              <w:rPr>
                <w:rFonts w:hint="eastAsia"/>
                <w:color w:val="000000" w:themeColor="text1"/>
                <w14:textFill>
                  <w14:solidFill>
                    <w14:schemeClr w14:val="tx1"/>
                  </w14:solidFill>
                </w14:textFill>
              </w:rPr>
              <w:t>，</w:t>
            </w:r>
            <w:r>
              <w:rPr>
                <w:rFonts w:hint="eastAsia"/>
              </w:rPr>
              <w:t>只需要进行小规模的</w:t>
            </w:r>
            <w:r>
              <w:rPr>
                <w:rFonts w:hint="eastAsia"/>
                <w:color w:val="000000" w:themeColor="text1"/>
                <w:lang w:eastAsia="zh-CN"/>
                <w14:textFill>
                  <w14:solidFill>
                    <w14:schemeClr w14:val="tx1"/>
                  </w14:solidFill>
                </w14:textFill>
              </w:rPr>
              <w:t>基础建设和</w:t>
            </w:r>
            <w:r>
              <w:rPr>
                <w:rFonts w:hint="eastAsia"/>
              </w:rPr>
              <w:t>设备安装，不会破坏周边生态环境，项目东面为山林地，南面隔现状空地为青州大道，西面和北面现状为空地，最近环境敏感点为北面430米处道城洞，项目所在地不侵占、不改变周边区域，且已形成以公路、工业厂房等为主的生态景观，因此本项目的建设和运营不改变当地以公路、工业厂房等为主的生态景观，项目对生态环境影响不大。</w:t>
            </w:r>
          </w:p>
          <w:p w14:paraId="4C0197E8">
            <w:pPr>
              <w:adjustRightInd w:val="0"/>
              <w:snapToGrid w:val="0"/>
              <w:ind w:firstLine="482" w:firstLineChars="200"/>
              <w:rPr>
                <w:b/>
                <w:bCs/>
              </w:rPr>
            </w:pPr>
            <w:r>
              <w:rPr>
                <w:rFonts w:hint="eastAsia"/>
                <w:b/>
                <w:bCs/>
              </w:rPr>
              <w:t>六、地下水、土壤</w:t>
            </w:r>
          </w:p>
          <w:p w14:paraId="7B5CB434">
            <w:pPr>
              <w:ind w:firstLine="480" w:firstLineChars="200"/>
              <w:rPr>
                <w:b/>
                <w:kern w:val="24"/>
                <w:szCs w:val="20"/>
              </w:rPr>
            </w:pPr>
            <w:r>
              <w:t>本项目在</w:t>
            </w:r>
            <w:r>
              <w:rPr>
                <w:rFonts w:hint="eastAsia"/>
                <w:lang w:eastAsia="zh-CN"/>
              </w:rPr>
              <w:t>云浮市云安区</w:t>
            </w:r>
            <w:r>
              <w:rPr>
                <w:rFonts w:hint="eastAsia"/>
                <w:color w:val="000000" w:themeColor="text1"/>
                <w:lang w:eastAsia="zh-CN"/>
                <w14:textFill>
                  <w14:solidFill>
                    <w14:schemeClr w14:val="tx1"/>
                  </w14:solidFill>
                </w14:textFill>
              </w:rPr>
              <w:t>云浮循环经济工业园</w:t>
            </w:r>
            <w:r>
              <w:t>，</w:t>
            </w:r>
            <w:r>
              <w:rPr>
                <w:rFonts w:hint="eastAsia"/>
              </w:rPr>
              <w:t>本项目</w:t>
            </w:r>
            <w:r>
              <w:t>内地面</w:t>
            </w:r>
            <w:r>
              <w:rPr>
                <w:rFonts w:hint="eastAsia"/>
                <w:lang w:eastAsia="zh-CN"/>
              </w:rPr>
              <w:t>除绿化区域外</w:t>
            </w:r>
            <w:r>
              <w:rPr>
                <w:rFonts w:hint="eastAsia"/>
              </w:rPr>
              <w:t>全部</w:t>
            </w:r>
            <w:r>
              <w:t>硬底化处理，</w:t>
            </w:r>
            <w:r>
              <w:rPr>
                <w:rFonts w:hint="eastAsia"/>
                <w:lang w:eastAsia="zh-CN"/>
              </w:rPr>
              <w:t>液氨储存于</w:t>
            </w:r>
            <w:r>
              <w:rPr>
                <w:rFonts w:hint="eastAsia"/>
                <w:color w:val="000000" w:themeColor="text1"/>
                <w:lang w:eastAsia="zh-CN"/>
                <w14:textFill>
                  <w14:solidFill>
                    <w14:schemeClr w14:val="tx1"/>
                  </w14:solidFill>
                </w14:textFill>
              </w:rPr>
              <w:t>架空式</w:t>
            </w:r>
            <w:r>
              <w:rPr>
                <w:rFonts w:hint="eastAsia"/>
                <w:lang w:eastAsia="zh-CN"/>
              </w:rPr>
              <w:t>液氨球罐，氨水储存于氨水储罐，液氨球罐区和氨水储存区设置防渗涂层和</w:t>
            </w:r>
            <w:r>
              <w:rPr>
                <w:rFonts w:hint="eastAsia"/>
                <w:lang w:val="en-US" w:eastAsia="zh-CN"/>
              </w:rPr>
              <w:t>0.6m高围堰</w:t>
            </w:r>
            <w:r>
              <w:rPr>
                <w:rFonts w:hint="eastAsia"/>
                <w:lang w:eastAsia="zh-CN"/>
              </w:rPr>
              <w:t>，</w:t>
            </w:r>
            <w:r>
              <w:rPr>
                <w:rFonts w:hint="eastAsia"/>
              </w:rPr>
              <w:t>因此本项目建成后</w:t>
            </w:r>
            <w:r>
              <w:rPr>
                <w:rFonts w:hint="eastAsia"/>
                <w:lang w:eastAsia="zh-CN"/>
              </w:rPr>
              <w:t>基本</w:t>
            </w:r>
            <w:r>
              <w:rPr>
                <w:rFonts w:hint="eastAsia"/>
              </w:rPr>
              <w:t>不具备风险物质泄漏的地下水、土壤污染途径。</w:t>
            </w:r>
            <w:r>
              <w:t>且</w:t>
            </w:r>
            <w:r>
              <w:rPr>
                <w:rFonts w:hint="eastAsia"/>
              </w:rPr>
              <w:t>本项目生活污水经三级化粪池理后，处理后尾水达到《水污染物排放限值》（DB44/26-2001）表4第二类污染物最高允许排放浓度的第二时段三级标准后，经</w:t>
            </w:r>
            <w:r>
              <w:rPr>
                <w:rFonts w:hint="eastAsia"/>
                <w:lang w:eastAsia="zh-CN"/>
              </w:rPr>
              <w:t>园区</w:t>
            </w:r>
            <w:r>
              <w:rPr>
                <w:rFonts w:hint="eastAsia"/>
              </w:rPr>
              <w:t>污水管网排入</w:t>
            </w:r>
            <w:r>
              <w:rPr>
                <w:rFonts w:hint="eastAsia"/>
                <w:lang w:eastAsia="zh-CN"/>
              </w:rPr>
              <w:t>综合园区</w:t>
            </w:r>
            <w:r>
              <w:rPr>
                <w:rFonts w:hint="eastAsia"/>
              </w:rPr>
              <w:t>污水处理厂；项目</w:t>
            </w:r>
            <w:r>
              <w:rPr>
                <w:rFonts w:hint="eastAsia"/>
                <w:lang w:eastAsia="zh-CN"/>
              </w:rPr>
              <w:t>储罐大小呼吸</w:t>
            </w:r>
            <w:r>
              <w:rPr>
                <w:rFonts w:hint="eastAsia"/>
              </w:rPr>
              <w:t>产生的</w:t>
            </w:r>
            <w:r>
              <w:t>废气经</w:t>
            </w:r>
            <w:r>
              <w:rPr>
                <w:rFonts w:hint="eastAsia"/>
                <w:lang w:eastAsia="zh-CN"/>
              </w:rPr>
              <w:t>尾气吸收塔（二级水喷淋）</w:t>
            </w:r>
            <w:r>
              <w:t>处理后经</w:t>
            </w:r>
            <w:r>
              <w:rPr>
                <w:rFonts w:hint="eastAsia"/>
              </w:rPr>
              <w:t>15</w:t>
            </w:r>
            <w:r>
              <w:t>m高排气筒</w:t>
            </w:r>
            <w:r>
              <w:rPr>
                <w:rFonts w:hint="eastAsia"/>
              </w:rPr>
              <w:t>高空排放；</w:t>
            </w:r>
            <w:r>
              <w:t>本项目危险废物</w:t>
            </w:r>
            <w:r>
              <w:rPr>
                <w:rFonts w:hint="eastAsia"/>
              </w:rPr>
              <w:t>为废树</w:t>
            </w:r>
            <w:r>
              <w:rPr>
                <w:rFonts w:hint="eastAsia"/>
                <w:color w:val="000000" w:themeColor="text1"/>
                <w14:textFill>
                  <w14:solidFill>
                    <w14:schemeClr w14:val="tx1"/>
                  </w14:solidFill>
                </w14:textFill>
              </w:rPr>
              <w:t>脂</w:t>
            </w:r>
            <w:r>
              <w:rPr>
                <w:rFonts w:hint="eastAsia"/>
                <w:color w:val="000000" w:themeColor="text1"/>
                <w:lang w:eastAsia="zh-CN"/>
                <w14:textFill>
                  <w14:solidFill>
                    <w14:schemeClr w14:val="tx1"/>
                  </w14:solidFill>
                </w14:textFill>
              </w:rPr>
              <w:t>和含油抹布、手套</w:t>
            </w:r>
            <w:r>
              <w:rPr>
                <w:rFonts w:hint="eastAsia"/>
                <w:color w:val="000000" w:themeColor="text1"/>
                <w14:textFill>
                  <w14:solidFill>
                    <w14:schemeClr w14:val="tx1"/>
                  </w14:solidFill>
                </w14:textFill>
              </w:rPr>
              <w:t>，</w:t>
            </w:r>
            <w:r>
              <w:rPr>
                <w:rFonts w:hint="eastAsia"/>
              </w:rPr>
              <w:t>危废暂存于危险废物暂存间内，危险废物暂存间做好防渗、防雨、放漏措施</w:t>
            </w:r>
            <w:r>
              <w:t>，因此项目基本不存在地下水、土壤环境污染途径。</w:t>
            </w:r>
            <w:r>
              <w:rPr>
                <w:rFonts w:hint="eastAsia"/>
              </w:rPr>
              <w:t>综上所述，</w:t>
            </w:r>
            <w:r>
              <w:t>本次项目不进行土壤、地下水环境影响分析评价。</w:t>
            </w:r>
          </w:p>
          <w:p w14:paraId="5CEBC87B">
            <w:pPr>
              <w:adjustRightInd w:val="0"/>
              <w:snapToGrid w:val="0"/>
              <w:ind w:firstLine="480" w:firstLineChars="200"/>
            </w:pPr>
            <w:r>
              <w:rPr>
                <w:rFonts w:hint="eastAsia"/>
              </w:rPr>
              <w:t>1、地下水及土壤防治处理处置方针</w:t>
            </w:r>
          </w:p>
          <w:p w14:paraId="3EABD78C">
            <w:pPr>
              <w:adjustRightInd w:val="0"/>
              <w:snapToGrid w:val="0"/>
              <w:ind w:firstLine="480" w:firstLineChars="200"/>
            </w:pPr>
            <w:r>
              <w:rPr>
                <w:rFonts w:hint="eastAsia"/>
              </w:rPr>
              <w:t>为防止项目运营期间产生的污染物以及含污介质的下渗对区域地下水和土壤造成污染，针对可能导致地下水和土壤污染的各种情景以及地下水和土壤污染途径和扩散途径，应从项目原料产品的储存、装卸、运输、生产、污染处理措施等各个环节和过程进行有效控制，避免污染物泄/渗漏，同时对可能会泄漏到地表的区域采取一定的防渗措施。从而从源头到末端全方位采取有效控制措施。</w:t>
            </w:r>
          </w:p>
          <w:p w14:paraId="1F4E61D0">
            <w:pPr>
              <w:adjustRightInd w:val="0"/>
              <w:snapToGrid w:val="0"/>
              <w:ind w:firstLine="480" w:firstLineChars="200"/>
            </w:pPr>
            <w:r>
              <w:rPr>
                <w:rFonts w:hint="eastAsia"/>
                <w:color w:val="000000" w:themeColor="text1"/>
                <w14:textFill>
                  <w14:solidFill>
                    <w14:schemeClr w14:val="tx1"/>
                  </w14:solidFill>
                </w14:textFill>
              </w:rPr>
              <w:t>（1）源头控制措施：主要包括在设备、管道、污水处理构筑物、</w:t>
            </w:r>
            <w:r>
              <w:rPr>
                <w:rFonts w:hint="eastAsia"/>
                <w:color w:val="000000" w:themeColor="text1"/>
                <w:lang w:eastAsia="zh-CN"/>
                <w14:textFill>
                  <w14:solidFill>
                    <w14:schemeClr w14:val="tx1"/>
                  </w14:solidFill>
                </w14:textFill>
              </w:rPr>
              <w:t>危险</w:t>
            </w:r>
            <w:r>
              <w:rPr>
                <w:rFonts w:hint="eastAsia"/>
                <w:color w:val="000000" w:themeColor="text1"/>
                <w14:textFill>
                  <w14:solidFill>
                    <w14:schemeClr w14:val="tx1"/>
                  </w14:solidFill>
                </w14:textFill>
              </w:rPr>
              <w:t>废物暂存场所采取相应措施，防止和降低污染物跑、冒、滴、漏，将污染物泄漏的环境风险事故降到最低程度。</w:t>
            </w:r>
          </w:p>
          <w:p w14:paraId="1A01F7B6">
            <w:pPr>
              <w:adjustRightInd w:val="0"/>
              <w:snapToGrid w:val="0"/>
              <w:ind w:firstLine="480" w:firstLineChars="200"/>
            </w:pPr>
            <w:r>
              <w:rPr>
                <w:rFonts w:hint="eastAsia"/>
              </w:rPr>
              <w:t>（2）分区控制措施：主要包括厂内污染区地面的防渗措施和泄漏、渗漏污染物收集措施，即在污染区地面进行防渗处理，防止洒落地面的污染物渗入地下，并把滞留在地面的污染物收集起来；采取分区防渗，重点污染防治区、一般污染防治区和非污染区防渗措施有区别的防渗原则。</w:t>
            </w:r>
          </w:p>
          <w:p w14:paraId="27FED0A9">
            <w:pPr>
              <w:adjustRightInd w:val="0"/>
              <w:snapToGrid w:val="0"/>
              <w:ind w:firstLine="480" w:firstLineChars="200"/>
            </w:pPr>
            <w:r>
              <w:rPr>
                <w:rFonts w:hint="eastAsia"/>
              </w:rPr>
              <w:t>（3）应急响应措施：包括一旦发现地下水或土壤污染事故，立即启动应急预案、采取应急措施控制地下水污染，并使污染得到治理。</w:t>
            </w:r>
          </w:p>
          <w:p w14:paraId="4603E655">
            <w:pPr>
              <w:adjustRightInd w:val="0"/>
              <w:snapToGrid w:val="0"/>
              <w:ind w:firstLine="480" w:firstLineChars="200"/>
            </w:pPr>
            <w:r>
              <w:rPr>
                <w:rFonts w:hint="eastAsia"/>
              </w:rPr>
              <w:t>2、地下水及土壤防治措施</w:t>
            </w:r>
          </w:p>
          <w:p w14:paraId="1C75EB6D">
            <w:pPr>
              <w:adjustRightInd w:val="0"/>
              <w:snapToGrid w:val="0"/>
              <w:ind w:firstLine="480" w:firstLineChars="200"/>
            </w:pPr>
            <w:r>
              <w:rPr>
                <w:rFonts w:hint="eastAsia"/>
              </w:rPr>
              <w:t>（1）污染防治分区</w:t>
            </w:r>
          </w:p>
          <w:p w14:paraId="11B968FE">
            <w:pPr>
              <w:adjustRightInd w:val="0"/>
              <w:snapToGrid w:val="0"/>
              <w:ind w:firstLine="480" w:firstLineChars="200"/>
            </w:pPr>
            <w:r>
              <w:rPr>
                <w:rFonts w:hint="eastAsia"/>
              </w:rPr>
              <w:t>为保护地下水和土壤环境不受污染影响，根据构筑物功能和污染源分布情况，从污染防范角度按分区防渗理念，将场地划分为重点污染防渗区、一般防渗区、简单防渗区，并对上述区域落实相应的防腐防渗措施，具体如下表。</w:t>
            </w:r>
          </w:p>
          <w:p w14:paraId="424BE0F8">
            <w:pPr>
              <w:adjustRightInd w:val="0"/>
              <w:snapToGrid w:val="0"/>
              <w:ind w:firstLine="480" w:firstLineChars="200"/>
            </w:pPr>
            <w:r>
              <w:rPr>
                <w:rFonts w:hint="eastAsia"/>
              </w:rPr>
              <w:t>（2）分区防渗措施</w:t>
            </w:r>
          </w:p>
          <w:p w14:paraId="51EA7C82">
            <w:pPr>
              <w:adjustRightInd w:val="0"/>
              <w:snapToGrid w:val="0"/>
              <w:ind w:firstLine="480" w:firstLineChars="200"/>
            </w:pPr>
            <w:r>
              <w:rPr>
                <w:rFonts w:hint="eastAsia"/>
              </w:rPr>
              <w:t>根据《环境影响评价技术导则 地下水环境》（HJ610-2016），项目一般防渗区、简单防渗区采取不同的防渗技术要求，如下表。</w:t>
            </w:r>
          </w:p>
          <w:p w14:paraId="21CB0CCB">
            <w:pPr>
              <w:autoSpaceDE w:val="0"/>
              <w:autoSpaceDN w:val="0"/>
              <w:adjustRightInd w:val="0"/>
              <w:snapToGrid w:val="0"/>
              <w:spacing w:line="240" w:lineRule="auto"/>
              <w:jc w:val="center"/>
              <w:textAlignment w:val="baseline"/>
              <w:rPr>
                <w:b/>
                <w:kern w:val="24"/>
                <w:szCs w:val="20"/>
              </w:rPr>
            </w:pPr>
            <w:r>
              <w:rPr>
                <w:rFonts w:hint="eastAsia"/>
                <w:b/>
                <w:kern w:val="24"/>
                <w:szCs w:val="20"/>
              </w:rPr>
              <w:t>表4-</w:t>
            </w:r>
            <w:r>
              <w:rPr>
                <w:rFonts w:hint="eastAsia"/>
                <w:b/>
                <w:kern w:val="24"/>
                <w:szCs w:val="20"/>
                <w:lang w:val="en-US" w:eastAsia="zh-CN"/>
              </w:rPr>
              <w:t>24</w:t>
            </w:r>
            <w:r>
              <w:rPr>
                <w:rFonts w:hint="eastAsia"/>
                <w:b/>
                <w:kern w:val="24"/>
                <w:szCs w:val="20"/>
              </w:rPr>
              <w:t xml:space="preserve"> 地下水及土壤分区防治措施表</w:t>
            </w:r>
          </w:p>
          <w:tbl>
            <w:tblPr>
              <w:tblStyle w:val="11"/>
              <w:tblW w:w="906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6"/>
              <w:gridCol w:w="1202"/>
              <w:gridCol w:w="3489"/>
              <w:gridCol w:w="1595"/>
              <w:gridCol w:w="2211"/>
            </w:tblGrid>
            <w:tr w14:paraId="2776ED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566" w:type="dxa"/>
                  <w:tcBorders>
                    <w:tl2br w:val="nil"/>
                    <w:tr2bl w:val="nil"/>
                  </w:tcBorders>
                  <w:tcMar>
                    <w:top w:w="0" w:type="dxa"/>
                    <w:left w:w="57" w:type="dxa"/>
                    <w:bottom w:w="0" w:type="dxa"/>
                    <w:right w:w="57" w:type="dxa"/>
                  </w:tcMar>
                  <w:vAlign w:val="center"/>
                </w:tcPr>
                <w:p w14:paraId="673202FB">
                  <w:pPr>
                    <w:adjustRightInd w:val="0"/>
                    <w:snapToGrid w:val="0"/>
                    <w:spacing w:line="240" w:lineRule="auto"/>
                    <w:jc w:val="center"/>
                    <w:rPr>
                      <w:b/>
                      <w:bCs/>
                      <w:sz w:val="21"/>
                    </w:rPr>
                  </w:pPr>
                  <w:r>
                    <w:rPr>
                      <w:rFonts w:hint="eastAsia"/>
                      <w:b/>
                      <w:bCs/>
                      <w:sz w:val="21"/>
                    </w:rPr>
                    <w:t>序号</w:t>
                  </w:r>
                </w:p>
              </w:tc>
              <w:tc>
                <w:tcPr>
                  <w:tcW w:w="1202" w:type="dxa"/>
                  <w:tcBorders>
                    <w:tl2br w:val="nil"/>
                    <w:tr2bl w:val="nil"/>
                  </w:tcBorders>
                  <w:tcMar>
                    <w:top w:w="0" w:type="dxa"/>
                    <w:left w:w="57" w:type="dxa"/>
                    <w:bottom w:w="0" w:type="dxa"/>
                    <w:right w:w="57" w:type="dxa"/>
                  </w:tcMar>
                  <w:vAlign w:val="center"/>
                </w:tcPr>
                <w:p w14:paraId="01DBBE19">
                  <w:pPr>
                    <w:adjustRightInd w:val="0"/>
                    <w:snapToGrid w:val="0"/>
                    <w:spacing w:line="240" w:lineRule="auto"/>
                    <w:jc w:val="center"/>
                    <w:rPr>
                      <w:b/>
                      <w:bCs/>
                      <w:sz w:val="21"/>
                    </w:rPr>
                  </w:pPr>
                  <w:r>
                    <w:rPr>
                      <w:rFonts w:hint="eastAsia"/>
                      <w:b/>
                      <w:bCs/>
                      <w:sz w:val="21"/>
                    </w:rPr>
                    <w:t>厂区划分</w:t>
                  </w:r>
                </w:p>
              </w:tc>
              <w:tc>
                <w:tcPr>
                  <w:tcW w:w="3489" w:type="dxa"/>
                  <w:tcBorders>
                    <w:tl2br w:val="nil"/>
                    <w:tr2bl w:val="nil"/>
                  </w:tcBorders>
                  <w:tcMar>
                    <w:top w:w="0" w:type="dxa"/>
                    <w:left w:w="57" w:type="dxa"/>
                    <w:bottom w:w="0" w:type="dxa"/>
                    <w:right w:w="57" w:type="dxa"/>
                  </w:tcMar>
                  <w:vAlign w:val="center"/>
                </w:tcPr>
                <w:p w14:paraId="5989948C">
                  <w:pPr>
                    <w:adjustRightInd w:val="0"/>
                    <w:snapToGrid w:val="0"/>
                    <w:spacing w:line="240" w:lineRule="auto"/>
                    <w:jc w:val="center"/>
                    <w:rPr>
                      <w:b/>
                      <w:bCs/>
                      <w:sz w:val="21"/>
                    </w:rPr>
                  </w:pPr>
                  <w:r>
                    <w:rPr>
                      <w:rFonts w:hint="eastAsia"/>
                      <w:b/>
                      <w:bCs/>
                      <w:sz w:val="21"/>
                    </w:rPr>
                    <w:t>具体生产单元</w:t>
                  </w:r>
                </w:p>
              </w:tc>
              <w:tc>
                <w:tcPr>
                  <w:tcW w:w="1595" w:type="dxa"/>
                  <w:tcBorders>
                    <w:tl2br w:val="nil"/>
                    <w:tr2bl w:val="nil"/>
                  </w:tcBorders>
                  <w:tcMar>
                    <w:top w:w="0" w:type="dxa"/>
                    <w:left w:w="57" w:type="dxa"/>
                    <w:bottom w:w="0" w:type="dxa"/>
                    <w:right w:w="57" w:type="dxa"/>
                  </w:tcMar>
                  <w:vAlign w:val="center"/>
                </w:tcPr>
                <w:p w14:paraId="160DE7B1">
                  <w:pPr>
                    <w:adjustRightInd w:val="0"/>
                    <w:snapToGrid w:val="0"/>
                    <w:spacing w:line="240" w:lineRule="auto"/>
                    <w:jc w:val="center"/>
                    <w:rPr>
                      <w:b/>
                      <w:bCs/>
                      <w:sz w:val="21"/>
                    </w:rPr>
                  </w:pPr>
                  <w:r>
                    <w:rPr>
                      <w:rFonts w:hint="eastAsia"/>
                      <w:b/>
                      <w:bCs/>
                      <w:sz w:val="21"/>
                    </w:rPr>
                    <w:t>防渗系数的要求</w:t>
                  </w:r>
                </w:p>
              </w:tc>
              <w:tc>
                <w:tcPr>
                  <w:tcW w:w="2211" w:type="dxa"/>
                  <w:tcBorders>
                    <w:tl2br w:val="nil"/>
                    <w:tr2bl w:val="nil"/>
                  </w:tcBorders>
                  <w:tcMar>
                    <w:top w:w="0" w:type="dxa"/>
                    <w:left w:w="57" w:type="dxa"/>
                    <w:bottom w:w="0" w:type="dxa"/>
                    <w:right w:w="57" w:type="dxa"/>
                  </w:tcMar>
                  <w:vAlign w:val="center"/>
                </w:tcPr>
                <w:p w14:paraId="21529918">
                  <w:pPr>
                    <w:adjustRightInd w:val="0"/>
                    <w:snapToGrid w:val="0"/>
                    <w:spacing w:line="240" w:lineRule="auto"/>
                    <w:jc w:val="center"/>
                    <w:rPr>
                      <w:b/>
                      <w:bCs/>
                      <w:sz w:val="21"/>
                    </w:rPr>
                  </w:pPr>
                  <w:r>
                    <w:rPr>
                      <w:rFonts w:hint="eastAsia"/>
                      <w:b/>
                      <w:bCs/>
                      <w:sz w:val="21"/>
                    </w:rPr>
                    <w:t>防渗措施</w:t>
                  </w:r>
                </w:p>
              </w:tc>
            </w:tr>
            <w:tr w14:paraId="4F5C29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66" w:type="dxa"/>
                  <w:tcBorders>
                    <w:tl2br w:val="nil"/>
                    <w:tr2bl w:val="nil"/>
                  </w:tcBorders>
                  <w:tcMar>
                    <w:top w:w="0" w:type="dxa"/>
                    <w:left w:w="57" w:type="dxa"/>
                    <w:bottom w:w="0" w:type="dxa"/>
                    <w:right w:w="57" w:type="dxa"/>
                  </w:tcMar>
                  <w:vAlign w:val="center"/>
                </w:tcPr>
                <w:p w14:paraId="74AF0781">
                  <w:pPr>
                    <w:adjustRightInd w:val="0"/>
                    <w:snapToGrid w:val="0"/>
                    <w:spacing w:line="240" w:lineRule="auto"/>
                    <w:jc w:val="center"/>
                    <w:rPr>
                      <w:sz w:val="21"/>
                    </w:rPr>
                  </w:pPr>
                  <w:r>
                    <w:rPr>
                      <w:sz w:val="21"/>
                    </w:rPr>
                    <w:t>1</w:t>
                  </w:r>
                </w:p>
              </w:tc>
              <w:tc>
                <w:tcPr>
                  <w:tcW w:w="1202" w:type="dxa"/>
                  <w:tcBorders>
                    <w:tl2br w:val="nil"/>
                    <w:tr2bl w:val="nil"/>
                  </w:tcBorders>
                  <w:tcMar>
                    <w:top w:w="0" w:type="dxa"/>
                    <w:left w:w="57" w:type="dxa"/>
                    <w:bottom w:w="0" w:type="dxa"/>
                    <w:right w:w="57" w:type="dxa"/>
                  </w:tcMar>
                  <w:vAlign w:val="center"/>
                </w:tcPr>
                <w:p w14:paraId="0EE0984A">
                  <w:pPr>
                    <w:adjustRightInd w:val="0"/>
                    <w:snapToGrid w:val="0"/>
                    <w:spacing w:line="240" w:lineRule="auto"/>
                    <w:jc w:val="center"/>
                    <w:rPr>
                      <w:sz w:val="21"/>
                    </w:rPr>
                  </w:pPr>
                  <w:r>
                    <w:rPr>
                      <w:rFonts w:hint="eastAsia"/>
                      <w:sz w:val="21"/>
                    </w:rPr>
                    <w:t>重点防渗区</w:t>
                  </w:r>
                </w:p>
              </w:tc>
              <w:tc>
                <w:tcPr>
                  <w:tcW w:w="3489" w:type="dxa"/>
                  <w:tcBorders>
                    <w:tl2br w:val="nil"/>
                    <w:tr2bl w:val="nil"/>
                  </w:tcBorders>
                  <w:tcMar>
                    <w:top w:w="0" w:type="dxa"/>
                    <w:left w:w="57" w:type="dxa"/>
                    <w:bottom w:w="0" w:type="dxa"/>
                    <w:right w:w="57" w:type="dxa"/>
                  </w:tcMar>
                  <w:vAlign w:val="center"/>
                </w:tcPr>
                <w:p w14:paraId="2CFC5DF4">
                  <w:pPr>
                    <w:pStyle w:val="14"/>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危废废物暂存间、</w:t>
                  </w:r>
                  <w:r>
                    <w:rPr>
                      <w:rFonts w:hint="eastAsia"/>
                      <w:color w:val="000000" w:themeColor="text1"/>
                      <w:lang w:eastAsia="zh-CN"/>
                      <w14:textFill>
                        <w14:solidFill>
                          <w14:schemeClr w14:val="tx1"/>
                        </w14:solidFill>
                      </w14:textFill>
                    </w:rPr>
                    <w:t>液氨储存区</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氨水储罐区</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生产车间、液氨装卸区、事故应急池</w:t>
                  </w:r>
                </w:p>
              </w:tc>
              <w:tc>
                <w:tcPr>
                  <w:tcW w:w="1595" w:type="dxa"/>
                  <w:tcBorders>
                    <w:tl2br w:val="nil"/>
                    <w:tr2bl w:val="nil"/>
                  </w:tcBorders>
                  <w:tcMar>
                    <w:top w:w="0" w:type="dxa"/>
                    <w:left w:w="57" w:type="dxa"/>
                    <w:bottom w:w="0" w:type="dxa"/>
                    <w:right w:w="57" w:type="dxa"/>
                  </w:tcMar>
                  <w:vAlign w:val="center"/>
                </w:tcPr>
                <w:p w14:paraId="7F4EDF18">
                  <w:pPr>
                    <w:adjustRightInd w:val="0"/>
                    <w:snapToGrid w:val="0"/>
                    <w:spacing w:line="240" w:lineRule="auto"/>
                    <w:jc w:val="center"/>
                    <w:rPr>
                      <w:sz w:val="21"/>
                    </w:rPr>
                  </w:pPr>
                  <w:r>
                    <w:rPr>
                      <w:rFonts w:hint="eastAsia"/>
                      <w:color w:val="000000"/>
                      <w:sz w:val="21"/>
                    </w:rPr>
                    <w:t>渗透系数≤1×10</w:t>
                  </w:r>
                  <w:r>
                    <w:rPr>
                      <w:rFonts w:hint="eastAsia"/>
                      <w:color w:val="000000"/>
                      <w:sz w:val="21"/>
                      <w:vertAlign w:val="superscript"/>
                    </w:rPr>
                    <w:t>-10</w:t>
                  </w:r>
                  <w:r>
                    <w:rPr>
                      <w:rFonts w:hint="eastAsia"/>
                      <w:color w:val="000000"/>
                      <w:sz w:val="21"/>
                    </w:rPr>
                    <w:t>cm/s</w:t>
                  </w:r>
                </w:p>
              </w:tc>
              <w:tc>
                <w:tcPr>
                  <w:tcW w:w="2211" w:type="dxa"/>
                  <w:tcBorders>
                    <w:tl2br w:val="nil"/>
                    <w:tr2bl w:val="nil"/>
                  </w:tcBorders>
                  <w:tcMar>
                    <w:top w:w="0" w:type="dxa"/>
                    <w:left w:w="57" w:type="dxa"/>
                    <w:bottom w:w="0" w:type="dxa"/>
                    <w:right w:w="57" w:type="dxa"/>
                  </w:tcMar>
                  <w:vAlign w:val="center"/>
                </w:tcPr>
                <w:p w14:paraId="05769236">
                  <w:pPr>
                    <w:adjustRightInd w:val="0"/>
                    <w:snapToGrid w:val="0"/>
                    <w:spacing w:line="240" w:lineRule="auto"/>
                    <w:jc w:val="center"/>
                    <w:rPr>
                      <w:sz w:val="21"/>
                    </w:rPr>
                  </w:pPr>
                  <w:r>
                    <w:rPr>
                      <w:rFonts w:hint="eastAsia"/>
                      <w:color w:val="000000"/>
                      <w:sz w:val="21"/>
                    </w:rPr>
                    <w:t>采用“耐酸水泥+2mm厚HDPE+环氧树脂”进行防渗</w:t>
                  </w:r>
                </w:p>
              </w:tc>
            </w:tr>
            <w:tr w14:paraId="2109A8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66" w:type="dxa"/>
                  <w:tcBorders>
                    <w:tl2br w:val="nil"/>
                    <w:tr2bl w:val="nil"/>
                  </w:tcBorders>
                  <w:tcMar>
                    <w:top w:w="0" w:type="dxa"/>
                    <w:left w:w="57" w:type="dxa"/>
                    <w:bottom w:w="0" w:type="dxa"/>
                    <w:right w:w="57" w:type="dxa"/>
                  </w:tcMar>
                  <w:vAlign w:val="center"/>
                </w:tcPr>
                <w:p w14:paraId="4181CB7F">
                  <w:pPr>
                    <w:adjustRightInd w:val="0"/>
                    <w:snapToGrid w:val="0"/>
                    <w:spacing w:line="240" w:lineRule="auto"/>
                    <w:jc w:val="center"/>
                    <w:rPr>
                      <w:sz w:val="21"/>
                    </w:rPr>
                  </w:pPr>
                  <w:r>
                    <w:rPr>
                      <w:sz w:val="21"/>
                    </w:rPr>
                    <w:t>2</w:t>
                  </w:r>
                </w:p>
              </w:tc>
              <w:tc>
                <w:tcPr>
                  <w:tcW w:w="1202" w:type="dxa"/>
                  <w:tcBorders>
                    <w:tl2br w:val="nil"/>
                    <w:tr2bl w:val="nil"/>
                  </w:tcBorders>
                  <w:tcMar>
                    <w:top w:w="0" w:type="dxa"/>
                    <w:left w:w="57" w:type="dxa"/>
                    <w:bottom w:w="0" w:type="dxa"/>
                    <w:right w:w="57" w:type="dxa"/>
                  </w:tcMar>
                  <w:vAlign w:val="center"/>
                </w:tcPr>
                <w:p w14:paraId="09C85600">
                  <w:pPr>
                    <w:adjustRightInd w:val="0"/>
                    <w:snapToGrid w:val="0"/>
                    <w:spacing w:line="240" w:lineRule="auto"/>
                    <w:jc w:val="center"/>
                    <w:rPr>
                      <w:sz w:val="21"/>
                    </w:rPr>
                  </w:pPr>
                  <w:r>
                    <w:rPr>
                      <w:rFonts w:hint="eastAsia"/>
                      <w:sz w:val="21"/>
                    </w:rPr>
                    <w:t>一般防渗区</w:t>
                  </w:r>
                </w:p>
              </w:tc>
              <w:tc>
                <w:tcPr>
                  <w:tcW w:w="3489" w:type="dxa"/>
                  <w:tcBorders>
                    <w:tl2br w:val="nil"/>
                    <w:tr2bl w:val="nil"/>
                  </w:tcBorders>
                  <w:tcMar>
                    <w:top w:w="0" w:type="dxa"/>
                    <w:left w:w="57" w:type="dxa"/>
                    <w:bottom w:w="0" w:type="dxa"/>
                    <w:right w:w="57" w:type="dxa"/>
                  </w:tcMar>
                  <w:vAlign w:val="center"/>
                </w:tcPr>
                <w:p w14:paraId="62CD0CDF">
                  <w:pPr>
                    <w:pStyle w:val="14"/>
                  </w:pPr>
                  <w:r>
                    <w:rPr>
                      <w:rFonts w:hint="eastAsia"/>
                      <w:color w:val="000000" w:themeColor="text1"/>
                      <w:lang w:eastAsia="zh-CN"/>
                      <w14:textFill>
                        <w14:solidFill>
                          <w14:schemeClr w14:val="tx1"/>
                        </w14:solidFill>
                      </w14:textFill>
                    </w:rPr>
                    <w:t>原水和纯水储罐区</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防晒循环水池</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冷却循环水池</w:t>
                  </w:r>
                  <w:r>
                    <w:rPr>
                      <w:rFonts w:hint="eastAsia"/>
                    </w:rPr>
                    <w:t>等</w:t>
                  </w:r>
                </w:p>
              </w:tc>
              <w:tc>
                <w:tcPr>
                  <w:tcW w:w="1595" w:type="dxa"/>
                  <w:tcBorders>
                    <w:tl2br w:val="nil"/>
                    <w:tr2bl w:val="nil"/>
                  </w:tcBorders>
                  <w:tcMar>
                    <w:top w:w="0" w:type="dxa"/>
                    <w:left w:w="57" w:type="dxa"/>
                    <w:bottom w:w="0" w:type="dxa"/>
                    <w:right w:w="57" w:type="dxa"/>
                  </w:tcMar>
                  <w:vAlign w:val="center"/>
                </w:tcPr>
                <w:p w14:paraId="0F2369F9">
                  <w:pPr>
                    <w:adjustRightInd w:val="0"/>
                    <w:snapToGrid w:val="0"/>
                    <w:spacing w:line="240" w:lineRule="auto"/>
                    <w:jc w:val="center"/>
                    <w:rPr>
                      <w:sz w:val="21"/>
                    </w:rPr>
                  </w:pPr>
                  <w:r>
                    <w:rPr>
                      <w:rFonts w:hint="eastAsia"/>
                      <w:sz w:val="21"/>
                    </w:rPr>
                    <w:t>等效粘土防渗层</w:t>
                  </w:r>
                  <w:r>
                    <w:rPr>
                      <w:sz w:val="21"/>
                    </w:rPr>
                    <w:t>Mb≥1.5m</w:t>
                  </w:r>
                  <w:r>
                    <w:rPr>
                      <w:rFonts w:hint="eastAsia"/>
                      <w:sz w:val="21"/>
                    </w:rPr>
                    <w:t>，</w:t>
                  </w:r>
                  <w:r>
                    <w:rPr>
                      <w:sz w:val="21"/>
                    </w:rPr>
                    <w:t>K≤10</w:t>
                  </w:r>
                  <w:r>
                    <w:rPr>
                      <w:sz w:val="21"/>
                      <w:vertAlign w:val="superscript"/>
                    </w:rPr>
                    <w:t>-7</w:t>
                  </w:r>
                  <w:r>
                    <w:rPr>
                      <w:sz w:val="21"/>
                    </w:rPr>
                    <w:t>cm/s</w:t>
                  </w:r>
                </w:p>
              </w:tc>
              <w:tc>
                <w:tcPr>
                  <w:tcW w:w="2211" w:type="dxa"/>
                  <w:tcBorders>
                    <w:tl2br w:val="nil"/>
                    <w:tr2bl w:val="nil"/>
                  </w:tcBorders>
                  <w:tcMar>
                    <w:top w:w="0" w:type="dxa"/>
                    <w:left w:w="57" w:type="dxa"/>
                    <w:bottom w:w="0" w:type="dxa"/>
                    <w:right w:w="57" w:type="dxa"/>
                  </w:tcMar>
                  <w:vAlign w:val="center"/>
                </w:tcPr>
                <w:p w14:paraId="63993060">
                  <w:pPr>
                    <w:adjustRightInd w:val="0"/>
                    <w:snapToGrid w:val="0"/>
                    <w:spacing w:line="240" w:lineRule="auto"/>
                    <w:jc w:val="center"/>
                    <w:rPr>
                      <w:sz w:val="21"/>
                    </w:rPr>
                  </w:pPr>
                  <w:r>
                    <w:rPr>
                      <w:rFonts w:hint="eastAsia"/>
                      <w:sz w:val="21"/>
                    </w:rPr>
                    <w:t>采用“15cm耐酸水泥”进行防渗</w:t>
                  </w:r>
                </w:p>
              </w:tc>
            </w:tr>
            <w:tr w14:paraId="6CFAC2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66" w:type="dxa"/>
                  <w:tcBorders>
                    <w:tl2br w:val="nil"/>
                    <w:tr2bl w:val="nil"/>
                  </w:tcBorders>
                  <w:tcMar>
                    <w:top w:w="0" w:type="dxa"/>
                    <w:left w:w="57" w:type="dxa"/>
                    <w:bottom w:w="0" w:type="dxa"/>
                    <w:right w:w="57" w:type="dxa"/>
                  </w:tcMar>
                  <w:vAlign w:val="center"/>
                </w:tcPr>
                <w:p w14:paraId="20791C5C">
                  <w:pPr>
                    <w:adjustRightInd w:val="0"/>
                    <w:snapToGrid w:val="0"/>
                    <w:spacing w:line="240" w:lineRule="auto"/>
                    <w:jc w:val="center"/>
                    <w:rPr>
                      <w:sz w:val="21"/>
                    </w:rPr>
                  </w:pPr>
                  <w:r>
                    <w:rPr>
                      <w:rFonts w:hint="eastAsia"/>
                      <w:sz w:val="21"/>
                    </w:rPr>
                    <w:t>3</w:t>
                  </w:r>
                </w:p>
              </w:tc>
              <w:tc>
                <w:tcPr>
                  <w:tcW w:w="1202" w:type="dxa"/>
                  <w:tcBorders>
                    <w:tl2br w:val="nil"/>
                    <w:tr2bl w:val="nil"/>
                  </w:tcBorders>
                  <w:tcMar>
                    <w:top w:w="0" w:type="dxa"/>
                    <w:left w:w="57" w:type="dxa"/>
                    <w:bottom w:w="0" w:type="dxa"/>
                    <w:right w:w="57" w:type="dxa"/>
                  </w:tcMar>
                  <w:vAlign w:val="center"/>
                </w:tcPr>
                <w:p w14:paraId="1DBDDE2F">
                  <w:pPr>
                    <w:adjustRightInd w:val="0"/>
                    <w:snapToGrid w:val="0"/>
                    <w:spacing w:line="240" w:lineRule="auto"/>
                    <w:jc w:val="center"/>
                    <w:rPr>
                      <w:sz w:val="21"/>
                    </w:rPr>
                  </w:pPr>
                  <w:r>
                    <w:rPr>
                      <w:rFonts w:hint="eastAsia"/>
                      <w:sz w:val="21"/>
                    </w:rPr>
                    <w:t>简单防渗区</w:t>
                  </w:r>
                </w:p>
              </w:tc>
              <w:tc>
                <w:tcPr>
                  <w:tcW w:w="3489" w:type="dxa"/>
                  <w:tcBorders>
                    <w:tl2br w:val="nil"/>
                    <w:tr2bl w:val="nil"/>
                  </w:tcBorders>
                  <w:tcMar>
                    <w:top w:w="0" w:type="dxa"/>
                    <w:left w:w="57" w:type="dxa"/>
                    <w:bottom w:w="0" w:type="dxa"/>
                    <w:right w:w="57" w:type="dxa"/>
                  </w:tcMar>
                  <w:vAlign w:val="center"/>
                </w:tcPr>
                <w:p w14:paraId="1E1D517B">
                  <w:pPr>
                    <w:pStyle w:val="14"/>
                  </w:pPr>
                  <w:r>
                    <w:rPr>
                      <w:rFonts w:hint="eastAsia"/>
                    </w:rPr>
                    <w:t>办公区及其余区域等</w:t>
                  </w:r>
                </w:p>
              </w:tc>
              <w:tc>
                <w:tcPr>
                  <w:tcW w:w="1595" w:type="dxa"/>
                  <w:tcBorders>
                    <w:tl2br w:val="nil"/>
                    <w:tr2bl w:val="nil"/>
                  </w:tcBorders>
                  <w:tcMar>
                    <w:top w:w="0" w:type="dxa"/>
                    <w:left w:w="57" w:type="dxa"/>
                    <w:bottom w:w="0" w:type="dxa"/>
                    <w:right w:w="57" w:type="dxa"/>
                  </w:tcMar>
                  <w:vAlign w:val="center"/>
                </w:tcPr>
                <w:p w14:paraId="6029E8E7">
                  <w:pPr>
                    <w:adjustRightInd w:val="0"/>
                    <w:snapToGrid w:val="0"/>
                    <w:spacing w:line="240" w:lineRule="auto"/>
                    <w:jc w:val="center"/>
                    <w:rPr>
                      <w:sz w:val="21"/>
                    </w:rPr>
                  </w:pPr>
                  <w:r>
                    <w:rPr>
                      <w:rFonts w:hint="eastAsia"/>
                      <w:sz w:val="21"/>
                    </w:rPr>
                    <w:t>一般地面硬化</w:t>
                  </w:r>
                </w:p>
              </w:tc>
              <w:tc>
                <w:tcPr>
                  <w:tcW w:w="2211" w:type="dxa"/>
                  <w:tcBorders>
                    <w:tl2br w:val="nil"/>
                    <w:tr2bl w:val="nil"/>
                  </w:tcBorders>
                  <w:tcMar>
                    <w:top w:w="0" w:type="dxa"/>
                    <w:left w:w="57" w:type="dxa"/>
                    <w:bottom w:w="0" w:type="dxa"/>
                    <w:right w:w="57" w:type="dxa"/>
                  </w:tcMar>
                  <w:vAlign w:val="center"/>
                </w:tcPr>
                <w:p w14:paraId="2C3420E5">
                  <w:pPr>
                    <w:adjustRightInd w:val="0"/>
                    <w:snapToGrid w:val="0"/>
                    <w:spacing w:line="240" w:lineRule="auto"/>
                    <w:jc w:val="center"/>
                    <w:rPr>
                      <w:sz w:val="21"/>
                    </w:rPr>
                  </w:pPr>
                  <w:r>
                    <w:rPr>
                      <w:rFonts w:hint="eastAsia"/>
                      <w:sz w:val="21"/>
                    </w:rPr>
                    <w:t>采用水泥硬化地面</w:t>
                  </w:r>
                </w:p>
              </w:tc>
            </w:tr>
          </w:tbl>
          <w:p w14:paraId="7A71B05D">
            <w:pPr>
              <w:pStyle w:val="14"/>
            </w:pPr>
          </w:p>
          <w:p w14:paraId="55806838">
            <w:pPr>
              <w:ind w:firstLine="482" w:firstLineChars="200"/>
              <w:rPr>
                <w:b/>
                <w:bCs/>
              </w:rPr>
            </w:pPr>
            <w:r>
              <w:rPr>
                <w:rFonts w:hint="eastAsia"/>
                <w:b/>
                <w:bCs/>
              </w:rPr>
              <w:t>七、环境风险影响分析</w:t>
            </w:r>
          </w:p>
          <w:p w14:paraId="6F500CDE">
            <w:pPr>
              <w:adjustRightInd w:val="0"/>
              <w:snapToGrid w:val="0"/>
              <w:ind w:firstLine="480" w:firstLineChars="200"/>
              <w:rPr>
                <w:rFonts w:hint="eastAsia"/>
                <w:lang w:eastAsia="zh-CN"/>
              </w:rPr>
            </w:pPr>
            <w:r>
              <w:rPr>
                <w:rFonts w:hint="eastAsia" w:eastAsia="宋体"/>
                <w:lang w:eastAsia="zh-CN"/>
              </w:rPr>
              <w:t>根据《建设项目环境影响报告表编制技术指南（污染影响类）（试行）》中“表1 专项评价设置原则表”中环境风险的要求，有毒有害和易燃易爆危险物质存储量超过临界量的建设项目需开展环境风险专项评价。本项目环境风险专项评价可详见《广东省泓磬环保科技有限公司液氨储存及配套氨水生产项目环境风险专项评价》。</w:t>
            </w:r>
          </w:p>
          <w:p w14:paraId="5ED74145">
            <w:pPr>
              <w:adjustRightInd w:val="0"/>
              <w:snapToGrid w:val="0"/>
              <w:ind w:firstLine="480" w:firstLineChars="200"/>
              <w:rPr>
                <w:rFonts w:hint="eastAsia"/>
                <w:lang w:eastAsia="zh-CN"/>
              </w:rPr>
            </w:pPr>
            <w:r>
              <w:rPr>
                <w:rFonts w:hint="eastAsia" w:eastAsia="宋体"/>
                <w:lang w:eastAsia="zh-CN"/>
              </w:rPr>
              <w:t>根据环境风险专项评价的得到的结论如下：</w:t>
            </w:r>
          </w:p>
          <w:p w14:paraId="1E71FCAF">
            <w:pPr>
              <w:adjustRightInd w:val="0"/>
              <w:snapToGrid w:val="0"/>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1、大气环境影响分析</w:t>
            </w:r>
          </w:p>
          <w:p w14:paraId="4F991A17">
            <w:pPr>
              <w:adjustRightInd w:val="0"/>
              <w:snapToGrid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（1）液氨泄漏分析</w:t>
            </w:r>
          </w:p>
          <w:p w14:paraId="3CA86460">
            <w:pPr>
              <w:adjustRightInd w:val="0"/>
              <w:snapToGrid w:val="0"/>
              <w:ind w:firstLine="480" w:firstLineChars="200"/>
              <w:rPr>
                <w:lang w:val="en-US" w:eastAsia="zh-CN"/>
              </w:rPr>
            </w:pPr>
            <w:r>
              <w:rPr>
                <w:lang w:val="en-US" w:eastAsia="zh-CN"/>
              </w:rPr>
              <w:t>根据HJ169-2018，</w:t>
            </w:r>
            <w:r>
              <w:rPr>
                <w:rFonts w:hint="eastAsia" w:ascii="Times New Roman" w:eastAsia="宋体"/>
                <w:lang w:val="en-US" w:eastAsia="zh-CN"/>
              </w:rPr>
              <w:t>液氨</w:t>
            </w:r>
            <w:r>
              <w:rPr>
                <w:lang w:val="en-US" w:eastAsia="zh-CN"/>
              </w:rPr>
              <w:t>液体泄漏速率Q</w:t>
            </w:r>
            <w:r>
              <w:rPr>
                <w:vertAlign w:val="subscript"/>
                <w:lang w:val="en-US" w:eastAsia="zh-CN"/>
              </w:rPr>
              <w:t>LG</w:t>
            </w:r>
            <w:r>
              <w:rPr>
                <w:lang w:val="en-US" w:eastAsia="zh-CN"/>
              </w:rPr>
              <w:t>=0.</w:t>
            </w:r>
            <w:r>
              <w:rPr>
                <w:rFonts w:hint="eastAsia" w:ascii="Times New Roman" w:eastAsia="宋体"/>
                <w:lang w:val="en-US" w:eastAsia="zh-CN"/>
              </w:rPr>
              <w:t>10666</w:t>
            </w:r>
            <w:r>
              <w:rPr>
                <w:lang w:val="en-US" w:eastAsia="zh-CN"/>
              </w:rPr>
              <w:t>kg/s，泄漏时间按10min计，泄漏量为</w:t>
            </w:r>
            <w:r>
              <w:rPr>
                <w:rFonts w:hint="eastAsia" w:ascii="Times New Roman" w:eastAsia="宋体"/>
                <w:lang w:val="en-US" w:eastAsia="zh-CN"/>
              </w:rPr>
              <w:t>3839.76</w:t>
            </w:r>
            <w:r>
              <w:rPr>
                <w:lang w:val="en-US" w:eastAsia="zh-CN"/>
              </w:rPr>
              <w:t>kg，液体蒸发时间应结合物质特性、气象条件、工况等综合考虑，一般情况下，可按15~30min计，本项目取值15min，液氨蒸发总量Wp=Q</w:t>
            </w:r>
            <w:r>
              <w:rPr>
                <w:vertAlign w:val="subscript"/>
                <w:lang w:val="en-US" w:eastAsia="zh-CN"/>
              </w:rPr>
              <w:t>1</w:t>
            </w:r>
            <w:r>
              <w:rPr>
                <w:lang w:val="en-US" w:eastAsia="zh-CN"/>
              </w:rPr>
              <w:t>t1+Q</w:t>
            </w:r>
            <w:r>
              <w:rPr>
                <w:vertAlign w:val="subscript"/>
                <w:lang w:val="en-US" w:eastAsia="zh-CN"/>
              </w:rPr>
              <w:t>2</w:t>
            </w:r>
            <w:r>
              <w:rPr>
                <w:lang w:val="en-US" w:eastAsia="zh-CN"/>
              </w:rPr>
              <w:t>t</w:t>
            </w:r>
            <w:r>
              <w:rPr>
                <w:vertAlign w:val="subscript"/>
                <w:lang w:val="en-US" w:eastAsia="zh-CN"/>
              </w:rPr>
              <w:t>2</w:t>
            </w:r>
            <w:r>
              <w:rPr>
                <w:lang w:val="en-US" w:eastAsia="zh-CN"/>
              </w:rPr>
              <w:t>+Q</w:t>
            </w:r>
            <w:r>
              <w:rPr>
                <w:vertAlign w:val="subscript"/>
                <w:lang w:val="en-US" w:eastAsia="zh-CN"/>
              </w:rPr>
              <w:t>3</w:t>
            </w:r>
            <w:r>
              <w:rPr>
                <w:lang w:val="en-US" w:eastAsia="zh-CN"/>
              </w:rPr>
              <w:t>t</w:t>
            </w:r>
            <w:r>
              <w:rPr>
                <w:vertAlign w:val="subscript"/>
                <w:lang w:val="en-US" w:eastAsia="zh-CN"/>
              </w:rPr>
              <w:t>3</w:t>
            </w:r>
            <w:r>
              <w:rPr>
                <w:lang w:val="en-US" w:eastAsia="zh-CN"/>
              </w:rPr>
              <w:t>=</w:t>
            </w:r>
            <w:r>
              <w:rPr>
                <w:rFonts w:hint="eastAsia" w:ascii="Times New Roman" w:eastAsia="宋体"/>
                <w:lang w:val="en-US" w:eastAsia="zh-CN"/>
              </w:rPr>
              <w:t>1886.49</w:t>
            </w:r>
            <w:r>
              <w:rPr>
                <w:lang w:val="en-US" w:eastAsia="zh-CN"/>
              </w:rPr>
              <w:t>kg。</w:t>
            </w:r>
          </w:p>
          <w:p w14:paraId="5DCB4FAD">
            <w:pPr>
              <w:adjustRightInd w:val="0"/>
              <w:snapToGrid w:val="0"/>
              <w:ind w:firstLine="480" w:firstLineChars="200"/>
              <w:rPr>
                <w:rFonts w:hint="eastAsia"/>
              </w:rPr>
            </w:pPr>
            <w:r>
              <w:rPr>
                <w:rFonts w:hint="eastAsia"/>
              </w:rPr>
              <w:t>根据预测结果，氨高峰浓度为</w:t>
            </w:r>
            <w:r>
              <w:rPr>
                <w:rFonts w:hint="eastAsia"/>
                <w:lang w:eastAsia="zh-CN"/>
              </w:rPr>
              <w:t>10528</w:t>
            </w:r>
            <w:r>
              <w:rPr>
                <w:rFonts w:hint="eastAsia"/>
              </w:rPr>
              <w:t>mg/m</w:t>
            </w:r>
            <w:r>
              <w:rPr>
                <w:rFonts w:hint="eastAsia"/>
                <w:vertAlign w:val="superscript"/>
              </w:rPr>
              <w:t>3</w:t>
            </w:r>
            <w:r>
              <w:rPr>
                <w:rFonts w:hint="eastAsia"/>
              </w:rPr>
              <w:t>，出现在距离排放源</w:t>
            </w:r>
            <w:r>
              <w:rPr>
                <w:rFonts w:hint="eastAsia" w:ascii="Times New Roman" w:eastAsia="宋体"/>
                <w:lang w:val="en-US" w:eastAsia="zh-CN"/>
              </w:rPr>
              <w:t>6</w:t>
            </w:r>
            <w:r>
              <w:rPr>
                <w:rFonts w:hint="eastAsia"/>
              </w:rPr>
              <w:t>0米处，出现时间为事故后第</w:t>
            </w:r>
            <w:r>
              <w:rPr>
                <w:rFonts w:hint="eastAsia"/>
                <w:lang w:eastAsia="zh-CN"/>
              </w:rPr>
              <w:t>2.2345</w:t>
            </w:r>
            <w:r>
              <w:rPr>
                <w:rFonts w:hint="eastAsia"/>
              </w:rPr>
              <w:t>分钟，质心浓度为</w:t>
            </w:r>
            <w:r>
              <w:rPr>
                <w:rFonts w:hint="eastAsia"/>
                <w:lang w:eastAsia="zh-CN"/>
              </w:rPr>
              <w:t>12606</w:t>
            </w:r>
            <w:r>
              <w:rPr>
                <w:rFonts w:hint="eastAsia"/>
              </w:rPr>
              <w:t>mg/m</w:t>
            </w:r>
            <w:r>
              <w:rPr>
                <w:rFonts w:hint="eastAsia"/>
                <w:vertAlign w:val="superscript"/>
              </w:rPr>
              <w:t>3</w:t>
            </w:r>
            <w:r>
              <w:rPr>
                <w:rFonts w:hint="eastAsia"/>
              </w:rPr>
              <w:t>，液氨泄漏过程中在最不利气象条件下1级、2级大气毒性终点浓度范围分别为</w:t>
            </w:r>
            <w:r>
              <w:rPr>
                <w:rFonts w:hint="eastAsia" w:ascii="Times New Roman" w:eastAsia="宋体"/>
                <w:lang w:val="en-US" w:eastAsia="zh-CN"/>
              </w:rPr>
              <w:t>740</w:t>
            </w:r>
            <w:r>
              <w:rPr>
                <w:rFonts w:hint="eastAsia"/>
              </w:rPr>
              <w:t>m、</w:t>
            </w:r>
            <w:r>
              <w:rPr>
                <w:rFonts w:hint="eastAsia"/>
                <w:lang w:val="en-US" w:eastAsia="zh-CN"/>
              </w:rPr>
              <w:t>3200</w:t>
            </w:r>
            <w:r>
              <w:rPr>
                <w:rFonts w:hint="eastAsia"/>
              </w:rPr>
              <w:t>m；预测各敏感点的氨最大浓度为0.186mg/m</w:t>
            </w:r>
            <w:r>
              <w:rPr>
                <w:rFonts w:hint="eastAsia"/>
                <w:vertAlign w:val="superscript"/>
              </w:rPr>
              <w:t>3</w:t>
            </w:r>
            <w:r>
              <w:rPr>
                <w:rFonts w:hint="eastAsia"/>
              </w:rPr>
              <w:t>，预测敏感点未出现超过大气毒性终点浓度值，对各敏感点无明显不良影响，主要影响范围为泄漏点下风向</w:t>
            </w:r>
            <w:r>
              <w:rPr>
                <w:rFonts w:hint="eastAsia"/>
                <w:lang w:val="en-US" w:eastAsia="zh-CN"/>
              </w:rPr>
              <w:t>3200</w:t>
            </w:r>
            <w:r>
              <w:rPr>
                <w:rFonts w:hint="eastAsia"/>
              </w:rPr>
              <w:t>m范围内，影响范围主要为</w:t>
            </w:r>
            <w:r>
              <w:rPr>
                <w:rFonts w:hint="eastAsia" w:eastAsia="宋体"/>
                <w:lang w:eastAsia="zh-CN"/>
              </w:rPr>
              <w:t>工业园区、尾矿库和山林地</w:t>
            </w:r>
            <w:r>
              <w:rPr>
                <w:rFonts w:hint="eastAsia"/>
              </w:rPr>
              <w:t>内。氨随距离时间变化影响预测结果见表6-5，对周边敏感点的环境影响结果见表6-6，各阈值廓线见表6-7，轴线/质心氨最大浓度-距离曲线见图6</w:t>
            </w:r>
            <w:r>
              <w:rPr>
                <w:rFonts w:hint="eastAsia"/>
                <w:lang w:val="en-US" w:eastAsia="zh-CN"/>
              </w:rPr>
              <w:t>-</w:t>
            </w:r>
            <w:r>
              <w:rPr>
                <w:rFonts w:hint="eastAsia"/>
              </w:rPr>
              <w:t>3，</w:t>
            </w:r>
            <w:r>
              <w:rPr>
                <w:rFonts w:hint="eastAsia" w:eastAsia="宋体"/>
                <w:lang w:eastAsia="zh-CN"/>
              </w:rPr>
              <w:t>影响范围</w:t>
            </w:r>
            <w:r>
              <w:rPr>
                <w:rFonts w:hint="eastAsia"/>
              </w:rPr>
              <w:t>图见图6</w:t>
            </w:r>
            <w:r>
              <w:rPr>
                <w:rFonts w:hint="eastAsia"/>
                <w:lang w:val="en-US" w:eastAsia="zh-CN"/>
              </w:rPr>
              <w:t>-</w:t>
            </w:r>
            <w:r>
              <w:rPr>
                <w:rFonts w:hint="eastAsia"/>
              </w:rPr>
              <w:t>4。</w:t>
            </w:r>
          </w:p>
          <w:p w14:paraId="0747872A">
            <w:pPr>
              <w:adjustRightInd w:val="0"/>
              <w:snapToGrid w:val="0"/>
              <w:ind w:firstLine="480" w:firstLineChars="200"/>
              <w:rPr>
                <w:rFonts w:hint="eastAsia"/>
                <w:lang w:val="en-US" w:eastAsia="zh-CN"/>
              </w:rPr>
            </w:pPr>
            <w:r>
              <w:rPr>
                <w:rFonts w:hint="eastAsia" w:ascii="Times New Roman" w:eastAsia="宋体"/>
                <w:lang w:val="en-US" w:eastAsia="zh-CN"/>
              </w:rPr>
              <w:t>（2）氨水泄漏分析</w:t>
            </w:r>
          </w:p>
          <w:p w14:paraId="33C70EEE">
            <w:pPr>
              <w:adjustRightInd w:val="0"/>
              <w:snapToGrid w:val="0"/>
              <w:ind w:firstLine="480" w:firstLineChars="200"/>
              <w:rPr>
                <w:rFonts w:hint="eastAsia" w:ascii="Times New Roman" w:eastAsia="宋体"/>
                <w:lang w:val="en-US" w:eastAsia="zh-CN"/>
              </w:rPr>
            </w:pPr>
            <w:r>
              <w:rPr>
                <w:rFonts w:hint="eastAsia" w:ascii="Times New Roman" w:eastAsia="宋体"/>
                <w:lang w:val="en-US" w:eastAsia="zh-CN"/>
              </w:rPr>
              <w:t>根据HJ169-2018，液氨液体泄漏速率Q</w:t>
            </w:r>
            <w:r>
              <w:rPr>
                <w:rFonts w:hint="eastAsia" w:ascii="Times New Roman" w:eastAsia="宋体"/>
                <w:vertAlign w:val="subscript"/>
                <w:lang w:val="en-US" w:eastAsia="zh-CN"/>
              </w:rPr>
              <w:t>L</w:t>
            </w:r>
            <w:r>
              <w:rPr>
                <w:rFonts w:hint="eastAsia" w:ascii="Times New Roman" w:eastAsia="宋体"/>
                <w:lang w:val="en-US" w:eastAsia="zh-CN"/>
              </w:rPr>
              <w:t>=0.1719kg/s，泄漏时间按10min计，泄漏量为103.14kg，液体蒸发时间应结合物质特性、气象条件、工况等综合考虑，一般情况下，可按15~30min计，本项目取值15min，氨水蒸发总量Wp=Q</w:t>
            </w:r>
            <w:r>
              <w:rPr>
                <w:rFonts w:hint="eastAsia" w:ascii="Times New Roman" w:eastAsia="宋体"/>
                <w:vertAlign w:val="subscript"/>
                <w:lang w:val="en-US" w:eastAsia="zh-CN"/>
              </w:rPr>
              <w:t>3</w:t>
            </w:r>
            <w:r>
              <w:rPr>
                <w:rFonts w:hint="eastAsia" w:ascii="Times New Roman" w:eastAsia="宋体"/>
                <w:lang w:val="en-US" w:eastAsia="zh-CN"/>
              </w:rPr>
              <w:t>t</w:t>
            </w:r>
            <w:r>
              <w:rPr>
                <w:rFonts w:hint="eastAsia" w:ascii="Times New Roman" w:eastAsia="宋体"/>
                <w:vertAlign w:val="subscript"/>
                <w:lang w:val="en-US" w:eastAsia="zh-CN"/>
              </w:rPr>
              <w:t>3</w:t>
            </w:r>
            <w:r>
              <w:rPr>
                <w:rFonts w:hint="eastAsia" w:ascii="Times New Roman" w:eastAsia="宋体"/>
                <w:lang w:val="en-US" w:eastAsia="zh-CN"/>
              </w:rPr>
              <w:t>=62.37kg。</w:t>
            </w:r>
          </w:p>
          <w:p w14:paraId="0C0510BE">
            <w:pPr>
              <w:adjustRightInd w:val="0"/>
              <w:snapToGrid w:val="0"/>
              <w:ind w:firstLine="480" w:firstLineChars="200"/>
              <w:rPr>
                <w:rFonts w:hint="eastAsia"/>
              </w:rPr>
            </w:pPr>
            <w:r>
              <w:rPr>
                <w:rFonts w:hint="eastAsia"/>
              </w:rPr>
              <w:t>根据预测结果，氨高峰浓度为</w:t>
            </w:r>
            <w:r>
              <w:rPr>
                <w:rFonts w:hint="eastAsia"/>
                <w:lang w:eastAsia="zh-CN"/>
              </w:rPr>
              <w:t>10528</w:t>
            </w:r>
            <w:r>
              <w:rPr>
                <w:rFonts w:hint="eastAsia"/>
              </w:rPr>
              <w:t>mg/m</w:t>
            </w:r>
            <w:r>
              <w:rPr>
                <w:rFonts w:hint="eastAsia"/>
                <w:vertAlign w:val="superscript"/>
              </w:rPr>
              <w:t>3</w:t>
            </w:r>
            <w:r>
              <w:rPr>
                <w:rFonts w:hint="eastAsia"/>
              </w:rPr>
              <w:t>，出现在距离排放源</w:t>
            </w:r>
            <w:r>
              <w:rPr>
                <w:rFonts w:hint="eastAsia" w:ascii="Times New Roman" w:eastAsia="宋体"/>
                <w:lang w:val="en-US" w:eastAsia="zh-CN"/>
              </w:rPr>
              <w:t>6</w:t>
            </w:r>
            <w:r>
              <w:rPr>
                <w:rFonts w:hint="eastAsia"/>
              </w:rPr>
              <w:t>0米处，出现时间为事故后第</w:t>
            </w:r>
            <w:r>
              <w:rPr>
                <w:rFonts w:hint="eastAsia"/>
                <w:lang w:eastAsia="zh-CN"/>
              </w:rPr>
              <w:t>2.2345</w:t>
            </w:r>
            <w:r>
              <w:rPr>
                <w:rFonts w:hint="eastAsia"/>
              </w:rPr>
              <w:t>分钟，质心浓度为</w:t>
            </w:r>
            <w:r>
              <w:rPr>
                <w:rFonts w:hint="eastAsia"/>
                <w:lang w:eastAsia="zh-CN"/>
              </w:rPr>
              <w:t>12606</w:t>
            </w:r>
            <w:r>
              <w:rPr>
                <w:rFonts w:hint="eastAsia"/>
              </w:rPr>
              <w:t>mg/m</w:t>
            </w:r>
            <w:r>
              <w:rPr>
                <w:rFonts w:hint="eastAsia"/>
                <w:vertAlign w:val="superscript"/>
              </w:rPr>
              <w:t>3</w:t>
            </w:r>
            <w:r>
              <w:rPr>
                <w:rFonts w:hint="eastAsia"/>
              </w:rPr>
              <w:t>，液氨泄漏过程中在最不利气象条件下1级、2级大气毒性终点浓度范围分别为</w:t>
            </w:r>
            <w:r>
              <w:rPr>
                <w:rFonts w:hint="eastAsia" w:ascii="Times New Roman" w:eastAsia="宋体"/>
                <w:lang w:val="en-US" w:eastAsia="zh-CN"/>
              </w:rPr>
              <w:t>740</w:t>
            </w:r>
            <w:r>
              <w:rPr>
                <w:rFonts w:hint="eastAsia"/>
              </w:rPr>
              <w:t>m、</w:t>
            </w:r>
            <w:r>
              <w:rPr>
                <w:rFonts w:hint="eastAsia"/>
                <w:lang w:val="en-US" w:eastAsia="zh-CN"/>
              </w:rPr>
              <w:t>3200</w:t>
            </w:r>
            <w:r>
              <w:rPr>
                <w:rFonts w:hint="eastAsia"/>
              </w:rPr>
              <w:t>m；预测各敏感点的氨最大浓度为0.186mg/m</w:t>
            </w:r>
            <w:r>
              <w:rPr>
                <w:rFonts w:hint="eastAsia"/>
                <w:vertAlign w:val="superscript"/>
              </w:rPr>
              <w:t>3</w:t>
            </w:r>
            <w:r>
              <w:rPr>
                <w:rFonts w:hint="eastAsia"/>
              </w:rPr>
              <w:t>，预测敏感点未出现超过大气毒性终点浓度值，对各敏感点无明显不良影响，主要影响范围为泄漏点下风向</w:t>
            </w:r>
            <w:r>
              <w:rPr>
                <w:rFonts w:hint="eastAsia"/>
                <w:lang w:val="en-US" w:eastAsia="zh-CN"/>
              </w:rPr>
              <w:t>3200</w:t>
            </w:r>
            <w:r>
              <w:rPr>
                <w:rFonts w:hint="eastAsia"/>
              </w:rPr>
              <w:t>m范围内，影响范围主要为</w:t>
            </w:r>
            <w:r>
              <w:rPr>
                <w:rFonts w:hint="eastAsia" w:eastAsia="宋体"/>
                <w:lang w:eastAsia="zh-CN"/>
              </w:rPr>
              <w:t>工业园区、尾矿库和山林地</w:t>
            </w:r>
            <w:r>
              <w:rPr>
                <w:rFonts w:hint="eastAsia"/>
              </w:rPr>
              <w:t>内。氨随距离时间变化影响预测结果见表6-</w:t>
            </w:r>
            <w:r>
              <w:rPr>
                <w:rFonts w:hint="eastAsia"/>
                <w:lang w:val="en-US" w:eastAsia="zh-CN"/>
              </w:rPr>
              <w:t>8</w:t>
            </w:r>
            <w:r>
              <w:rPr>
                <w:rFonts w:hint="eastAsia"/>
              </w:rPr>
              <w:t>，对周边敏感点的环境影响结果见表6-</w:t>
            </w:r>
            <w:r>
              <w:rPr>
                <w:rFonts w:hint="eastAsia"/>
                <w:lang w:val="en-US" w:eastAsia="zh-CN"/>
              </w:rPr>
              <w:t>9</w:t>
            </w:r>
            <w:r>
              <w:rPr>
                <w:rFonts w:hint="eastAsia"/>
              </w:rPr>
              <w:t>，各阈值廓线见表6-</w:t>
            </w:r>
            <w:r>
              <w:rPr>
                <w:rFonts w:hint="eastAsia"/>
                <w:lang w:val="en-US" w:eastAsia="zh-CN"/>
              </w:rPr>
              <w:t>10</w:t>
            </w:r>
            <w:r>
              <w:rPr>
                <w:rFonts w:hint="eastAsia"/>
              </w:rPr>
              <w:t>，轴线/质心氨最大浓度-距离曲线见图6</w:t>
            </w:r>
            <w:r>
              <w:rPr>
                <w:rFonts w:hint="eastAsia"/>
                <w:lang w:val="en-US" w:eastAsia="zh-CN"/>
              </w:rPr>
              <w:t>-5</w:t>
            </w:r>
            <w:r>
              <w:rPr>
                <w:rFonts w:hint="eastAsia"/>
              </w:rPr>
              <w:t>，</w:t>
            </w:r>
            <w:r>
              <w:rPr>
                <w:rFonts w:hint="eastAsia" w:eastAsia="宋体"/>
                <w:lang w:eastAsia="zh-CN"/>
              </w:rPr>
              <w:t>影响范围</w:t>
            </w:r>
            <w:r>
              <w:rPr>
                <w:rFonts w:hint="eastAsia"/>
              </w:rPr>
              <w:t>图见图6</w:t>
            </w:r>
            <w:r>
              <w:rPr>
                <w:rFonts w:hint="eastAsia"/>
                <w:lang w:val="en-US" w:eastAsia="zh-CN"/>
              </w:rPr>
              <w:t>-6</w:t>
            </w:r>
            <w:r>
              <w:rPr>
                <w:rFonts w:hint="eastAsia"/>
              </w:rPr>
              <w:t>。</w:t>
            </w:r>
          </w:p>
          <w:p w14:paraId="48954965">
            <w:pPr>
              <w:adjustRightInd w:val="0"/>
              <w:snapToGrid w:val="0"/>
              <w:ind w:firstLine="480" w:firstLineChars="200"/>
              <w:rPr>
                <w:rFonts w:hint="eastAsia"/>
                <w:lang w:val="en-US" w:eastAsia="zh-CN"/>
              </w:rPr>
            </w:pPr>
            <w:r>
              <w:rPr>
                <w:rFonts w:hint="eastAsia" w:ascii="Times New Roman" w:eastAsia="宋体"/>
                <w:lang w:val="en-US" w:eastAsia="zh-CN"/>
              </w:rPr>
              <w:t>2、地表水环境影响分析</w:t>
            </w:r>
          </w:p>
          <w:p w14:paraId="0E04B827">
            <w:pPr>
              <w:adjustRightInd w:val="0"/>
              <w:snapToGrid w:val="0"/>
              <w:ind w:firstLine="480" w:firstLineChars="200"/>
              <w:rPr>
                <w:rFonts w:hint="eastAsia" w:ascii="Times New Roman" w:hAnsi="Times New Roman" w:eastAsia="宋体"/>
                <w:lang w:eastAsia="zh-CN"/>
              </w:rPr>
            </w:pPr>
            <w:r>
              <w:rPr>
                <w:rFonts w:hint="eastAsia" w:ascii="Times New Roman" w:hAnsi="Times New Roman" w:eastAsia="宋体"/>
                <w:lang w:val="en-US" w:eastAsia="zh-CN"/>
              </w:rPr>
              <w:t>（1）事故废水分析</w:t>
            </w:r>
          </w:p>
          <w:p w14:paraId="63324183">
            <w:pPr>
              <w:adjustRightInd w:val="0"/>
              <w:snapToGrid w:val="0"/>
              <w:ind w:firstLine="480" w:firstLineChars="200"/>
              <w:rPr>
                <w:rFonts w:hint="eastAsia" w:ascii="Times New Roman" w:hAnsi="Times New Roman" w:eastAsia="宋体" w:cs="Times New Roman"/>
              </w:rPr>
            </w:pPr>
            <w:r>
              <w:rPr>
                <w:rFonts w:hint="eastAsia" w:ascii="Times New Roman" w:hAnsi="Times New Roman" w:eastAsia="宋体" w:cs="Times New Roman"/>
                <w:color w:val="000000"/>
              </w:rPr>
              <w:t>厂内</w:t>
            </w:r>
            <w:r>
              <w:rPr>
                <w:rFonts w:hint="eastAsia" w:ascii="Times New Roman" w:hAnsi="Times New Roman" w:eastAsia="宋体" w:cs="Times New Roman"/>
                <w:color w:val="000000"/>
                <w:lang w:eastAsia="zh-CN"/>
              </w:rPr>
              <w:t>发生突发环境事件</w:t>
            </w:r>
            <w:r>
              <w:rPr>
                <w:rFonts w:hint="eastAsia" w:ascii="Times New Roman" w:hAnsi="Times New Roman" w:eastAsia="宋体" w:cs="Times New Roman"/>
                <w:color w:val="000000"/>
              </w:rPr>
              <w:t>情况下，至少应设置容积为</w:t>
            </w:r>
            <w:r>
              <w:rPr>
                <w:rFonts w:hint="eastAsia" w:ascii="Times New Roman" w:hAnsi="Times New Roman" w:eastAsia="宋体" w:cs="Times New Roman"/>
                <w:color w:val="000000"/>
                <w:lang w:val="en-US" w:eastAsia="zh-CN"/>
              </w:rPr>
              <w:t>1340</w:t>
            </w:r>
            <w:r>
              <w:rPr>
                <w:rFonts w:hint="eastAsia" w:ascii="Times New Roman" w:hAnsi="Times New Roman" w:eastAsia="宋体" w:cs="Times New Roman"/>
                <w:color w:val="000000"/>
              </w:rPr>
              <w:t>m</w:t>
            </w:r>
            <w:r>
              <w:rPr>
                <w:rFonts w:hint="eastAsia" w:ascii="Times New Roman" w:hAnsi="Times New Roman" w:eastAsia="宋体" w:cs="Times New Roman"/>
                <w:color w:val="000000"/>
                <w:vertAlign w:val="superscript"/>
              </w:rPr>
              <w:t>3</w:t>
            </w:r>
            <w:r>
              <w:rPr>
                <w:rFonts w:hint="eastAsia" w:ascii="Times New Roman" w:hAnsi="Times New Roman" w:eastAsia="宋体" w:cs="Times New Roman"/>
                <w:lang w:eastAsia="zh-CN"/>
              </w:rPr>
              <w:t>（设计</w:t>
            </w:r>
            <w:r>
              <w:rPr>
                <w:rFonts w:hint="eastAsia" w:ascii="Times New Roman" w:hAnsi="Times New Roman" w:eastAsia="宋体" w:cs="Times New Roman"/>
                <w:lang w:val="en-US" w:eastAsia="zh-CN"/>
              </w:rPr>
              <w:t>10%冗余</w:t>
            </w:r>
            <w:r>
              <w:rPr>
                <w:rFonts w:hint="eastAsia" w:ascii="Times New Roman" w:hAnsi="Times New Roman" w:eastAsia="宋体" w:cs="Times New Roman"/>
                <w:lang w:eastAsia="zh-CN"/>
              </w:rPr>
              <w:t>）</w:t>
            </w:r>
            <w:r>
              <w:rPr>
                <w:rFonts w:hint="eastAsia" w:ascii="Times New Roman" w:hAnsi="Times New Roman" w:eastAsia="宋体" w:cs="Times New Roman"/>
                <w:color w:val="000000"/>
              </w:rPr>
              <w:t>的</w:t>
            </w:r>
            <w:r>
              <w:rPr>
                <w:rFonts w:hint="eastAsia" w:ascii="Times New Roman" w:hAnsi="Times New Roman" w:eastAsia="宋体" w:cs="Times New Roman"/>
              </w:rPr>
              <w:t>事故应急池</w:t>
            </w:r>
            <w:r>
              <w:rPr>
                <w:rFonts w:hint="eastAsia" w:ascii="Times New Roman" w:hAnsi="Times New Roman" w:eastAsia="宋体" w:cs="Times New Roman"/>
                <w:lang w:eastAsia="zh-CN"/>
              </w:rPr>
              <w:t>，根据本项目设计资料，本项目拟建事故应急池容积为</w:t>
            </w:r>
            <w:r>
              <w:rPr>
                <w:rFonts w:hint="eastAsia" w:ascii="Times New Roman" w:hAnsi="Times New Roman" w:eastAsia="宋体" w:cs="Times New Roman"/>
                <w:lang w:val="en-US" w:eastAsia="zh-CN"/>
              </w:rPr>
              <w:t>3150m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，故本项目事故应急池满足要求</w:t>
            </w:r>
            <w:r>
              <w:rPr>
                <w:rFonts w:hint="eastAsia" w:ascii="Times New Roman" w:hAnsi="Times New Roman" w:eastAsia="宋体" w:cs="Times New Roman"/>
              </w:rPr>
              <w:t>。</w:t>
            </w:r>
          </w:p>
          <w:p w14:paraId="1F28B4E3">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参照《化工建设项目环境保护设计规范》（GB50483-2009）的规定，需采取以下措施：</w:t>
            </w:r>
          </w:p>
          <w:p w14:paraId="25654DE3">
            <w:pPr>
              <w:adjustRightInd w:val="0"/>
              <w:snapToGrid w:val="0"/>
              <w:ind w:firstLine="480" w:firstLineChars="200"/>
              <w:rPr>
                <w:rFonts w:ascii="Times New Roman" w:hAnsi="Times New Roman" w:eastAsia="宋体" w:cs="Times New Roman"/>
              </w:rPr>
            </w:pPr>
            <w:r>
              <w:rPr>
                <w:rFonts w:hint="eastAsia" w:ascii="Times New Roman" w:hAnsi="Times New Roman" w:eastAsia="宋体" w:cs="Times New Roman"/>
              </w:rPr>
              <w:t>1）事故应急池应加盖防止雨水进入，正常工况应保持腾空状态以备急用；</w:t>
            </w:r>
          </w:p>
          <w:p w14:paraId="4E451612">
            <w:pPr>
              <w:adjustRightInd w:val="0"/>
              <w:snapToGrid w:val="0"/>
              <w:ind w:firstLine="480" w:firstLineChars="200"/>
              <w:rPr>
                <w:rFonts w:hint="eastAsia" w:ascii="Times New Roman" w:hAnsi="Times New Roman" w:eastAsia="宋体" w:cs="Times New Roman"/>
              </w:rPr>
            </w:pPr>
            <w:r>
              <w:rPr>
                <w:rFonts w:hint="eastAsia" w:ascii="Times New Roman" w:hAnsi="Times New Roman" w:eastAsia="宋体" w:cs="Times New Roman"/>
              </w:rPr>
              <w:t>2）在火灾事故发生时，关闭雨水排放口阀门，开启事故应急池阀门，确保雨水沟内的消防废水靠“重力流”流向事故应急池，不会进入周边水体。企业定期对事故应急系统进行排查，发现存在问题，马上进行检修，确保事故发生时能有效运行。项目事故应急池内的废水以及消防废水收集后交由有处理资质的单位进行处理。</w:t>
            </w:r>
          </w:p>
          <w:p w14:paraId="39C795A8">
            <w:pPr>
              <w:adjustRightInd w:val="0"/>
              <w:snapToGrid w:val="0"/>
              <w:ind w:firstLine="480" w:firstLineChars="200"/>
              <w:rPr>
                <w:rFonts w:hint="eastAsia" w:ascii="Times New Roman" w:hAnsi="Times New Roman" w:eastAsia="宋体" w:cs="Times New Roman"/>
              </w:rPr>
            </w:pPr>
            <w:r>
              <w:rPr>
                <w:rFonts w:hint="eastAsia" w:ascii="Times New Roman" w:hAnsi="Times New Roman" w:eastAsia="宋体" w:cs="Times New Roman"/>
                <w:lang w:eastAsia="zh-CN"/>
              </w:rPr>
              <w:t>根据建设单位提供资料</w:t>
            </w:r>
            <w:r>
              <w:rPr>
                <w:rFonts w:hint="eastAsia" w:ascii="Times New Roman" w:hAnsi="Times New Roman" w:eastAsia="宋体" w:cs="Times New Roman"/>
              </w:rPr>
              <w:t>，项目</w:t>
            </w:r>
            <w:r>
              <w:rPr>
                <w:rFonts w:hint="eastAsia" w:ascii="Times New Roman" w:hAnsi="Times New Roman" w:eastAsia="宋体" w:cs="Times New Roman"/>
                <w:lang w:eastAsia="zh-CN"/>
              </w:rPr>
              <w:t>拟建</w:t>
            </w:r>
            <w:r>
              <w:rPr>
                <w:rFonts w:hint="eastAsia" w:ascii="Times New Roman" w:hAnsi="Times New Roman" w:eastAsia="宋体" w:cs="Times New Roman"/>
              </w:rPr>
              <w:t>设容积为3</w:t>
            </w:r>
            <w:r>
              <w:rPr>
                <w:rFonts w:hint="eastAsia" w:ascii="Times New Roman" w:hAnsi="Times New Roman" w:eastAsia="宋体" w:cs="Times New Roman"/>
                <w:lang w:val="en-US" w:eastAsia="zh-CN"/>
              </w:rPr>
              <w:t>1</w:t>
            </w:r>
            <w:r>
              <w:rPr>
                <w:rFonts w:hint="eastAsia" w:ascii="Times New Roman" w:hAnsi="Times New Roman" w:eastAsia="宋体" w:cs="Times New Roman"/>
              </w:rPr>
              <w:t>50m</w:t>
            </w:r>
            <w:r>
              <w:rPr>
                <w:rFonts w:hint="eastAsia" w:ascii="Times New Roman" w:hAnsi="Times New Roman" w:eastAsia="宋体" w:cs="Times New Roman"/>
                <w:vertAlign w:val="superscript"/>
              </w:rPr>
              <w:t>3</w:t>
            </w:r>
            <w:r>
              <w:rPr>
                <w:rFonts w:hint="eastAsia" w:ascii="Times New Roman" w:hAnsi="Times New Roman" w:eastAsia="宋体" w:cs="Times New Roman"/>
              </w:rPr>
              <w:t>的</w:t>
            </w:r>
            <w:r>
              <w:rPr>
                <w:rFonts w:hint="eastAsia" w:ascii="Times New Roman" w:hAnsi="Times New Roman" w:eastAsia="宋体" w:cs="Times New Roman"/>
                <w:lang w:eastAsia="zh-CN"/>
              </w:rPr>
              <w:t>事故应急池，</w:t>
            </w:r>
            <w:r>
              <w:rPr>
                <w:rFonts w:hint="eastAsia" w:ascii="Times New Roman" w:hAnsi="Times New Roman" w:eastAsia="宋体" w:cs="Times New Roman"/>
              </w:rPr>
              <w:t>液氨</w:t>
            </w:r>
            <w:r>
              <w:rPr>
                <w:rFonts w:hint="eastAsia" w:ascii="Times New Roman" w:hAnsi="Times New Roman" w:eastAsia="宋体" w:cs="Times New Roman"/>
                <w:lang w:eastAsia="zh-CN"/>
              </w:rPr>
              <w:t>球罐区</w:t>
            </w:r>
            <w:r>
              <w:rPr>
                <w:rFonts w:hint="eastAsia" w:ascii="Times New Roman" w:hAnsi="Times New Roman" w:eastAsia="宋体" w:cs="Times New Roman"/>
              </w:rPr>
              <w:t>设置有</w:t>
            </w:r>
            <w:r>
              <w:rPr>
                <w:rFonts w:hint="eastAsia" w:ascii="Times New Roman" w:hAnsi="Times New Roman" w:eastAsia="宋体" w:cs="Times New Roman"/>
                <w:lang w:val="en-US" w:eastAsia="zh-CN"/>
              </w:rPr>
              <w:t>0.6m高</w:t>
            </w:r>
            <w:r>
              <w:rPr>
                <w:rFonts w:hint="eastAsia" w:ascii="Times New Roman" w:hAnsi="Times New Roman" w:eastAsia="宋体" w:cs="Times New Roman"/>
              </w:rPr>
              <w:t>围堰及其导流系统，氨水罐区</w:t>
            </w:r>
            <w:r>
              <w:rPr>
                <w:rFonts w:hint="eastAsia" w:ascii="Times New Roman" w:hAnsi="Times New Roman" w:eastAsia="宋体" w:cs="Times New Roman"/>
                <w:lang w:eastAsia="zh-CN"/>
              </w:rPr>
              <w:t>设置有</w:t>
            </w:r>
            <w:r>
              <w:rPr>
                <w:rFonts w:hint="eastAsia" w:ascii="Times New Roman" w:hAnsi="Times New Roman" w:eastAsia="宋体" w:cs="Times New Roman"/>
                <w:lang w:val="en-US" w:eastAsia="zh-CN"/>
              </w:rPr>
              <w:t>1m高</w:t>
            </w:r>
            <w:r>
              <w:rPr>
                <w:rFonts w:hint="eastAsia" w:ascii="Times New Roman" w:hAnsi="Times New Roman" w:eastAsia="宋体" w:cs="Times New Roman"/>
              </w:rPr>
              <w:t>围堰及其导流系统，确保在事故状态下能顺利收集消防废水</w:t>
            </w:r>
            <w:r>
              <w:rPr>
                <w:rFonts w:hint="eastAsia" w:ascii="Times New Roman" w:hAnsi="Times New Roman" w:eastAsia="宋体" w:cs="Times New Roman"/>
                <w:lang w:eastAsia="zh-CN"/>
              </w:rPr>
              <w:t>和泄漏物料</w:t>
            </w:r>
            <w:r>
              <w:rPr>
                <w:rFonts w:hint="eastAsia" w:ascii="Times New Roman" w:hAnsi="Times New Roman" w:eastAsia="宋体" w:cs="Times New Roman"/>
              </w:rPr>
              <w:t>。</w:t>
            </w:r>
            <w:r>
              <w:rPr>
                <w:rFonts w:hint="eastAsia" w:ascii="Times New Roman" w:hAnsi="Times New Roman" w:eastAsia="宋体" w:cs="Times New Roman"/>
                <w:lang w:eastAsia="zh-CN"/>
              </w:rPr>
              <w:t>进入事故应急池的事故废水全部按危险废物处理，事故废水交由有资质的单位进行清运处置</w:t>
            </w:r>
            <w:r>
              <w:rPr>
                <w:rFonts w:hint="eastAsia" w:ascii="Times New Roman" w:hAnsi="Times New Roman" w:eastAsia="宋体" w:cs="Times New Roman"/>
              </w:rPr>
              <w:t>。</w:t>
            </w:r>
          </w:p>
          <w:p w14:paraId="3D519281">
            <w:pPr>
              <w:adjustRightInd w:val="0"/>
              <w:snapToGrid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3、地下水环境风险分析</w:t>
            </w:r>
          </w:p>
          <w:p w14:paraId="46BCB88C">
            <w:pPr>
              <w:adjustRightInd w:val="0"/>
              <w:snapToGrid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液氨、氨水及固体废物等对地下水造成的影响为液氨或氨水管线出现泄漏对地下水环境造成影响。本项目位于的厂区已做好地面硬化工作，厂房使用钢筋混凝土结构，厂区四面围闭，厂区通过保持通风及大门出入，能有效防止危险物质、危险废物发生漏、溢流及水淋湿从而流入到地下水环境。同时，建设单位通过加强原辅料运输及储存、危险废物储存及运输管理，在正常运行工况下，不会对地下水环境质量造成显著的不利影响。</w:t>
            </w:r>
          </w:p>
          <w:p w14:paraId="3FE5FA75">
            <w:pPr>
              <w:adjustRightInd w:val="0"/>
              <w:snapToGrid w:val="0"/>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4、环境风险评价</w:t>
            </w:r>
          </w:p>
          <w:p w14:paraId="454C58BE">
            <w:pPr>
              <w:adjustRightInd/>
              <w:snapToGrid/>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根据风险预测结果，事故状态下，距离液氨泄漏点≤740m的敏感目标处预测浓度将超过1级大气毒性终点浓度，距离液氨泄漏点＞740m的敏感目标处预测浓度不会超过1级大气毒性终点浓度；距离液氨泄漏点≤3200m的敏感目标处预测浓度将超过2级大气毒性终点浓度，距离液氨泄漏点＞3200m的敏感目标处预测浓度不会超过2级大气毒性终点浓度。</w:t>
            </w:r>
            <w:r>
              <w:rPr>
                <w:rFonts w:hint="eastAsia" w:ascii="Times New Roman" w:hAnsi="Times New Roman" w:eastAsia="宋体" w:cs="Times New Roman"/>
                <w:lang w:val="en-US" w:eastAsia="zh-CN"/>
              </w:rPr>
              <w:t>液氨预测距离事故点下风向10m-740m范围内超过大气毒性终点浓度1级值（770mg/m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），到达时间为第12.413分钟，氨水预测距离事故点下风向10m-70m范围内超过大气毒性终点浓度1级值（770mg/m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到达时间为第0.58333分钟，在此范围内环境敏感目标为道城洞（居民区），超过该限值时，有可能对人群造成生命威胁，事故发生时必须紧急撤离厂内人员、工业园人员和道城洞居民，避免对人群造成生命威胁；液氨预测距离事故点下风向10m-</w:t>
            </w:r>
            <w:r>
              <w:rPr>
                <w:rFonts w:hint="eastAsia" w:cs="Times New Roman"/>
                <w:lang w:val="en-US" w:eastAsia="zh-CN"/>
              </w:rPr>
              <w:t>3200</w:t>
            </w:r>
            <w:r>
              <w:rPr>
                <w:rFonts w:hint="eastAsia" w:ascii="Times New Roman" w:hAnsi="Times New Roman" w:eastAsia="宋体" w:cs="Times New Roman"/>
                <w:lang w:val="en-US" w:eastAsia="zh-CN"/>
              </w:rPr>
              <w:t>m范围内超过大气毒性终点浓度2级值（110mg/m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），到达时间为第37.474分钟，氨水预测距离事故点下风向10m-250m范围内超过大气毒性终点浓度2级值（110mg/m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），到达时间为第2.0833分钟，在此范围内环境敏感目标较多，建议根据现场风向及敏感点距离，及时告知超标点处相关人员迅速撤离。</w:t>
            </w:r>
          </w:p>
          <w:p w14:paraId="28088418">
            <w:pPr>
              <w:adjustRightInd/>
              <w:snapToGrid/>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储罐区设置围堰，当风险物质发生泄漏，基本可把泄漏物质控制在厂区内。项目厂内围堰、集水沟、雨水管网等设施与项目内事故应急池相连，当厂内围堰无法满足事故水存储时，事故废水完全可依靠“重力流”流入事故应急池，经采取措施后，泄漏事故废水及消防事故废水可控制在厂内，不会直接流入地表水中，因此不会对地表水产生环境风险性影响。</w:t>
            </w:r>
          </w:p>
          <w:p w14:paraId="032B8361">
            <w:pPr>
              <w:adjustRightInd w:val="0"/>
              <w:snapToGrid w:val="0"/>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当发生泄漏事故时，企业及时有效采取泄漏污染控制措施，项目事故泄漏的地下水环境影响基本可控，不会对周边敏感点地下水环境产生不良影响。</w:t>
            </w:r>
          </w:p>
          <w:p w14:paraId="7A0FACF3">
            <w:pPr>
              <w:adjustRightInd w:val="0"/>
              <w:snapToGrid w:val="0"/>
              <w:ind w:firstLine="480" w:firstLineChars="200"/>
              <w:rPr>
                <w:rFonts w:hint="eastAsia"/>
                <w:lang w:val="en-US" w:eastAsia="zh-CN"/>
              </w:rPr>
            </w:pPr>
            <w:r>
              <w:rPr>
                <w:rFonts w:hint="eastAsia" w:ascii="Times New Roman" w:eastAsia="宋体"/>
                <w:lang w:val="en-US" w:eastAsia="zh-CN"/>
              </w:rPr>
              <w:t>5、结论</w:t>
            </w:r>
          </w:p>
          <w:p w14:paraId="3B8C92D2">
            <w:pPr>
              <w:adjustRightInd w:val="0"/>
              <w:snapToGrid w:val="0"/>
              <w:ind w:firstLine="480" w:firstLineChars="200"/>
              <w:rPr>
                <w:rFonts w:hint="eastAsia"/>
                <w:lang w:eastAsia="zh-CN"/>
              </w:rPr>
            </w:pPr>
            <w:r>
              <w:rPr>
                <w:rFonts w:hint="eastAsia" w:eastAsia="宋体"/>
                <w:lang w:eastAsia="zh-CN"/>
              </w:rPr>
              <w:t>本项目环境风险专项评价的结果表明，本项目事故风险在采取环境风险防范措施和事故应急预案、在落实各项环保措施和采取本环评报告表及环境风险专项评价提出的有关建议、落实项目排水设施的设计、做好与政府、所属园区风险应急预案有效联动的前提下，基本满足国家相关环境保护和安全法规、标准的要求，本项目风险可防可控，但企业仍需要提高风险管理水平和强化风险防范措施。</w:t>
            </w:r>
          </w:p>
          <w:p w14:paraId="14D61D3F">
            <w:pPr>
              <w:bidi w:val="0"/>
              <w:rPr>
                <w:rFonts w:hint="eastAsia"/>
              </w:rPr>
            </w:pPr>
          </w:p>
          <w:p w14:paraId="17C0041F">
            <w:pPr>
              <w:adjustRightInd w:val="0"/>
              <w:snapToGrid w:val="0"/>
              <w:ind w:firstLine="482" w:firstLineChars="200"/>
              <w:rPr>
                <w:b/>
                <w:bCs/>
              </w:rPr>
            </w:pPr>
            <w:r>
              <w:rPr>
                <w:rFonts w:hint="eastAsia"/>
                <w:b/>
                <w:bCs/>
              </w:rPr>
              <w:t>八、电磁辐射</w:t>
            </w:r>
          </w:p>
          <w:p w14:paraId="0B4F742B">
            <w:pPr>
              <w:adjustRightInd w:val="0"/>
              <w:snapToGrid w:val="0"/>
              <w:ind w:firstLine="480" w:firstLineChars="200"/>
            </w:pPr>
            <w:r>
              <w:rPr>
                <w:rFonts w:hint="eastAsia"/>
              </w:rPr>
              <w:t>本项目不涉及电磁辐射，故本次评价不作电磁辐射评价。</w:t>
            </w:r>
          </w:p>
          <w:p w14:paraId="5C3BC8AA">
            <w:pPr>
              <w:adjustRightInd w:val="0"/>
              <w:snapToGrid w:val="0"/>
              <w:ind w:firstLine="480" w:firstLineChars="200"/>
            </w:pPr>
          </w:p>
          <w:p w14:paraId="5AF47F7A">
            <w:pPr>
              <w:adjustRightInd w:val="0"/>
              <w:snapToGrid w:val="0"/>
              <w:ind w:firstLine="480" w:firstLineChars="200"/>
            </w:pPr>
          </w:p>
          <w:p w14:paraId="05F5D8E6">
            <w:pPr>
              <w:adjustRightInd w:val="0"/>
              <w:snapToGrid w:val="0"/>
              <w:ind w:firstLine="480" w:firstLineChars="200"/>
            </w:pPr>
          </w:p>
          <w:p w14:paraId="13F02B2E">
            <w:pPr>
              <w:adjustRightInd w:val="0"/>
              <w:snapToGrid w:val="0"/>
              <w:ind w:firstLine="480" w:firstLineChars="200"/>
            </w:pPr>
          </w:p>
          <w:p w14:paraId="6D7592A7">
            <w:pPr>
              <w:adjustRightInd w:val="0"/>
              <w:snapToGrid w:val="0"/>
              <w:ind w:firstLine="480" w:firstLineChars="200"/>
            </w:pPr>
          </w:p>
          <w:p w14:paraId="3D4F66D2">
            <w:pPr>
              <w:adjustRightInd w:val="0"/>
              <w:snapToGrid w:val="0"/>
              <w:ind w:firstLine="480" w:firstLineChars="200"/>
            </w:pPr>
          </w:p>
        </w:tc>
      </w:tr>
    </w:tbl>
    <w:p w14:paraId="0E28407E"/>
    <w:p w14:paraId="00B5075F">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7E16351">
      <w:pPr>
        <w:spacing w:line="240" w:lineRule="auto"/>
        <w:jc w:val="center"/>
        <w:outlineLvl w:val="0"/>
        <w:rPr>
          <w:rFonts w:ascii="黑体" w:hAnsi="黑体" w:eastAsia="黑体"/>
          <w:snapToGrid w:val="0"/>
          <w:sz w:val="30"/>
          <w:szCs w:val="30"/>
        </w:rPr>
      </w:pPr>
      <w:bookmarkStart w:id="5" w:name="_Toc18183"/>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5"/>
      <w:bookmarkEnd w:id="6"/>
    </w:p>
    <w:tbl>
      <w:tblPr>
        <w:tblStyle w:val="11"/>
        <w:tblW w:w="102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656"/>
        <w:gridCol w:w="1297"/>
        <w:gridCol w:w="1744"/>
        <w:gridCol w:w="2485"/>
        <w:gridCol w:w="1436"/>
      </w:tblGrid>
      <w:tr w14:paraId="347B3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tcBorders>
              <w:tl2br w:val="single" w:color="auto" w:sz="4" w:space="0"/>
            </w:tcBorders>
            <w:tcMar>
              <w:top w:w="0" w:type="dxa"/>
              <w:left w:w="57" w:type="dxa"/>
              <w:bottom w:w="0" w:type="dxa"/>
              <w:right w:w="57" w:type="dxa"/>
            </w:tcMar>
            <w:vAlign w:val="center"/>
          </w:tcPr>
          <w:p w14:paraId="38E70839">
            <w:pPr>
              <w:spacing w:line="240" w:lineRule="auto"/>
              <w:ind w:firstLine="723" w:firstLineChars="300"/>
              <w:rPr>
                <w:b/>
                <w:bCs/>
              </w:rPr>
            </w:pPr>
            <w:r>
              <w:rPr>
                <w:rFonts w:hint="eastAsia"/>
                <w:b/>
                <w:bCs/>
              </w:rPr>
              <w:t>内容</w:t>
            </w:r>
          </w:p>
          <w:p w14:paraId="358FF513">
            <w:pPr>
              <w:spacing w:line="240" w:lineRule="auto"/>
              <w:rPr>
                <w:b/>
                <w:bCs/>
              </w:rPr>
            </w:pPr>
            <w:r>
              <w:rPr>
                <w:rFonts w:hint="eastAsia"/>
                <w:b/>
                <w:bCs/>
              </w:rPr>
              <w:t>要素</w:t>
            </w:r>
          </w:p>
        </w:tc>
        <w:tc>
          <w:tcPr>
            <w:tcW w:w="1656" w:type="dxa"/>
            <w:tcMar>
              <w:top w:w="0" w:type="dxa"/>
              <w:left w:w="57" w:type="dxa"/>
              <w:bottom w:w="0" w:type="dxa"/>
              <w:right w:w="57" w:type="dxa"/>
            </w:tcMar>
            <w:vAlign w:val="center"/>
          </w:tcPr>
          <w:p w14:paraId="57027CF6">
            <w:pPr>
              <w:spacing w:line="240" w:lineRule="auto"/>
              <w:jc w:val="center"/>
              <w:rPr>
                <w:b/>
                <w:bCs/>
              </w:rPr>
            </w:pPr>
            <w:r>
              <w:rPr>
                <w:rFonts w:hint="eastAsia"/>
                <w:b/>
                <w:bCs/>
              </w:rPr>
              <w:t>排放口(编号、</w:t>
            </w:r>
          </w:p>
          <w:p w14:paraId="69DC2807">
            <w:pPr>
              <w:spacing w:line="240" w:lineRule="auto"/>
              <w:jc w:val="center"/>
              <w:rPr>
                <w:b/>
                <w:bCs/>
              </w:rPr>
            </w:pPr>
            <w:r>
              <w:rPr>
                <w:rFonts w:hint="eastAsia"/>
                <w:b/>
                <w:bCs/>
              </w:rPr>
              <w:t>名称)/污染源</w:t>
            </w:r>
          </w:p>
        </w:tc>
        <w:tc>
          <w:tcPr>
            <w:tcW w:w="1297" w:type="dxa"/>
            <w:tcMar>
              <w:top w:w="0" w:type="dxa"/>
              <w:left w:w="57" w:type="dxa"/>
              <w:bottom w:w="0" w:type="dxa"/>
              <w:right w:w="57" w:type="dxa"/>
            </w:tcMar>
            <w:vAlign w:val="center"/>
          </w:tcPr>
          <w:p w14:paraId="69A6E271">
            <w:pPr>
              <w:spacing w:line="240" w:lineRule="auto"/>
              <w:jc w:val="center"/>
              <w:rPr>
                <w:b/>
                <w:bCs/>
              </w:rPr>
            </w:pPr>
            <w:r>
              <w:rPr>
                <w:rFonts w:hint="eastAsia"/>
                <w:b/>
                <w:bCs/>
              </w:rPr>
              <w:t>污染物项目</w:t>
            </w:r>
          </w:p>
        </w:tc>
        <w:tc>
          <w:tcPr>
            <w:tcW w:w="1744" w:type="dxa"/>
            <w:tcMar>
              <w:top w:w="0" w:type="dxa"/>
              <w:left w:w="57" w:type="dxa"/>
              <w:bottom w:w="0" w:type="dxa"/>
              <w:right w:w="57" w:type="dxa"/>
            </w:tcMar>
            <w:vAlign w:val="center"/>
          </w:tcPr>
          <w:p w14:paraId="0D1800F9">
            <w:pPr>
              <w:spacing w:line="240" w:lineRule="auto"/>
              <w:jc w:val="center"/>
              <w:rPr>
                <w:b/>
                <w:bCs/>
              </w:rPr>
            </w:pPr>
            <w:r>
              <w:rPr>
                <w:rFonts w:hint="eastAsia"/>
                <w:b/>
                <w:bCs/>
              </w:rPr>
              <w:t>环境保护措施</w:t>
            </w:r>
          </w:p>
        </w:tc>
        <w:tc>
          <w:tcPr>
            <w:tcW w:w="3921" w:type="dxa"/>
            <w:gridSpan w:val="2"/>
            <w:tcMar>
              <w:top w:w="0" w:type="dxa"/>
              <w:left w:w="57" w:type="dxa"/>
              <w:bottom w:w="0" w:type="dxa"/>
              <w:right w:w="57" w:type="dxa"/>
            </w:tcMar>
            <w:vAlign w:val="center"/>
          </w:tcPr>
          <w:p w14:paraId="2AB36CB6">
            <w:pPr>
              <w:spacing w:line="240" w:lineRule="auto"/>
              <w:jc w:val="center"/>
              <w:rPr>
                <w:b/>
                <w:bCs/>
              </w:rPr>
            </w:pPr>
            <w:r>
              <w:rPr>
                <w:rFonts w:hint="eastAsia"/>
                <w:b/>
                <w:bCs/>
              </w:rPr>
              <w:t>执行标准</w:t>
            </w:r>
          </w:p>
        </w:tc>
      </w:tr>
      <w:tr w14:paraId="57DBF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restart"/>
            <w:tcMar>
              <w:top w:w="0" w:type="dxa"/>
              <w:left w:w="57" w:type="dxa"/>
              <w:bottom w:w="0" w:type="dxa"/>
              <w:right w:w="57" w:type="dxa"/>
            </w:tcMar>
            <w:vAlign w:val="center"/>
          </w:tcPr>
          <w:p w14:paraId="060F3271">
            <w:pPr>
              <w:spacing w:line="240" w:lineRule="auto"/>
              <w:jc w:val="center"/>
              <w:rPr>
                <w:highlight w:val="none"/>
              </w:rPr>
            </w:pPr>
            <w:r>
              <w:rPr>
                <w:rFonts w:hint="eastAsia"/>
                <w:highlight w:val="none"/>
              </w:rPr>
              <w:t>大气环境</w:t>
            </w:r>
          </w:p>
        </w:tc>
        <w:tc>
          <w:tcPr>
            <w:tcW w:w="1656" w:type="dxa"/>
            <w:tcMar>
              <w:top w:w="0" w:type="dxa"/>
              <w:left w:w="57" w:type="dxa"/>
              <w:bottom w:w="0" w:type="dxa"/>
              <w:right w:w="57" w:type="dxa"/>
            </w:tcMar>
            <w:vAlign w:val="center"/>
          </w:tcPr>
          <w:p w14:paraId="0980BD0B">
            <w:pP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DA001</w:t>
            </w:r>
          </w:p>
        </w:tc>
        <w:tc>
          <w:tcPr>
            <w:tcW w:w="1297" w:type="dxa"/>
            <w:tcMar>
              <w:top w:w="0" w:type="dxa"/>
              <w:left w:w="57" w:type="dxa"/>
              <w:bottom w:w="0" w:type="dxa"/>
              <w:right w:w="57" w:type="dxa"/>
            </w:tcMar>
            <w:vAlign w:val="center"/>
          </w:tcPr>
          <w:p w14:paraId="22620029">
            <w:pPr>
              <w:adjustRightInd w:val="0"/>
              <w:snapToGrid w:val="0"/>
              <w:spacing w:line="240" w:lineRule="auto"/>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氨</w:t>
            </w:r>
          </w:p>
        </w:tc>
        <w:tc>
          <w:tcPr>
            <w:tcW w:w="1744" w:type="dxa"/>
            <w:tcMar>
              <w:top w:w="0" w:type="dxa"/>
              <w:left w:w="57" w:type="dxa"/>
              <w:bottom w:w="0" w:type="dxa"/>
              <w:right w:w="57" w:type="dxa"/>
            </w:tcMar>
            <w:vAlign w:val="center"/>
          </w:tcPr>
          <w:p w14:paraId="06F4D6C8">
            <w:pPr>
              <w:spacing w:line="240" w:lineRule="auto"/>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尾气吸收塔（水喷淋）</w:t>
            </w:r>
          </w:p>
        </w:tc>
        <w:tc>
          <w:tcPr>
            <w:tcW w:w="2485" w:type="dxa"/>
            <w:tcMar>
              <w:top w:w="0" w:type="dxa"/>
              <w:left w:w="57" w:type="dxa"/>
              <w:bottom w:w="0" w:type="dxa"/>
              <w:right w:w="57" w:type="dxa"/>
            </w:tcMar>
            <w:vAlign w:val="center"/>
          </w:tcPr>
          <w:p w14:paraId="7EA90BE4">
            <w:pPr>
              <w:pStyle w:val="14"/>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《恶臭污染物排放标准》（GB14554-93）表1恶臭污染物厂界标准值二级新扩改建标准</w:t>
            </w:r>
          </w:p>
        </w:tc>
        <w:tc>
          <w:tcPr>
            <w:tcW w:w="1436" w:type="dxa"/>
            <w:tcMar>
              <w:top w:w="0" w:type="dxa"/>
              <w:left w:w="57" w:type="dxa"/>
              <w:bottom w:w="0" w:type="dxa"/>
              <w:right w:w="57" w:type="dxa"/>
            </w:tcMar>
            <w:vAlign w:val="center"/>
          </w:tcPr>
          <w:p w14:paraId="6C44175F">
            <w:pPr>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4.9kg/h</w:t>
            </w:r>
          </w:p>
        </w:tc>
      </w:tr>
      <w:tr w14:paraId="0D1D0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664" w:type="dxa"/>
            <w:vMerge w:val="continue"/>
            <w:tcMar>
              <w:top w:w="0" w:type="dxa"/>
              <w:left w:w="57" w:type="dxa"/>
              <w:bottom w:w="0" w:type="dxa"/>
              <w:right w:w="57" w:type="dxa"/>
            </w:tcMar>
            <w:vAlign w:val="center"/>
          </w:tcPr>
          <w:p w14:paraId="4D740B87">
            <w:pPr>
              <w:spacing w:line="240" w:lineRule="auto"/>
              <w:jc w:val="center"/>
              <w:rPr>
                <w:highlight w:val="none"/>
              </w:rPr>
            </w:pPr>
          </w:p>
        </w:tc>
        <w:tc>
          <w:tcPr>
            <w:tcW w:w="1656" w:type="dxa"/>
            <w:tcMar>
              <w:top w:w="0" w:type="dxa"/>
              <w:left w:w="57" w:type="dxa"/>
              <w:bottom w:w="0" w:type="dxa"/>
              <w:right w:w="57" w:type="dxa"/>
            </w:tcMar>
            <w:vAlign w:val="center"/>
          </w:tcPr>
          <w:p w14:paraId="35985430">
            <w:pPr>
              <w:spacing w:line="240" w:lineRule="auto"/>
              <w:jc w:val="center"/>
              <w:rPr>
                <w:highlight w:val="none"/>
              </w:rPr>
            </w:pPr>
            <w:r>
              <w:rPr>
                <w:rFonts w:hint="eastAsia"/>
                <w:highlight w:val="none"/>
              </w:rPr>
              <w:t>厂界</w:t>
            </w:r>
          </w:p>
        </w:tc>
        <w:tc>
          <w:tcPr>
            <w:tcW w:w="1297" w:type="dxa"/>
            <w:tcMar>
              <w:top w:w="0" w:type="dxa"/>
              <w:left w:w="57" w:type="dxa"/>
              <w:bottom w:w="0" w:type="dxa"/>
              <w:right w:w="57" w:type="dxa"/>
            </w:tcMar>
            <w:vAlign w:val="center"/>
          </w:tcPr>
          <w:p w14:paraId="748AC948">
            <w:pPr>
              <w:adjustRightInd w:val="0"/>
              <w:snapToGrid w:val="0"/>
              <w:spacing w:line="240" w:lineRule="auto"/>
              <w:jc w:val="center"/>
              <w:rPr>
                <w:highlight w:val="none"/>
              </w:rPr>
            </w:pPr>
            <w:r>
              <w:rPr>
                <w:rFonts w:hint="eastAsia"/>
                <w:highlight w:val="none"/>
              </w:rPr>
              <w:t>氨</w:t>
            </w:r>
          </w:p>
        </w:tc>
        <w:tc>
          <w:tcPr>
            <w:tcW w:w="1744" w:type="dxa"/>
            <w:tcMar>
              <w:top w:w="0" w:type="dxa"/>
              <w:left w:w="57" w:type="dxa"/>
              <w:bottom w:w="0" w:type="dxa"/>
              <w:right w:w="57" w:type="dxa"/>
            </w:tcMar>
            <w:vAlign w:val="center"/>
          </w:tcPr>
          <w:p w14:paraId="531C19E1">
            <w:pPr>
              <w:spacing w:line="240" w:lineRule="auto"/>
              <w:jc w:val="center"/>
              <w:rPr>
                <w:rFonts w:hint="eastAsia" w:eastAsia="宋体"/>
                <w:highlight w:val="none"/>
                <w:lang w:eastAsia="zh-CN"/>
              </w:rPr>
            </w:pPr>
            <w:r>
              <w:rPr>
                <w:rFonts w:hint="eastAsia"/>
                <w:highlight w:val="none"/>
                <w:lang w:val="en-US" w:eastAsia="zh-CN"/>
              </w:rPr>
              <w:t>/</w:t>
            </w:r>
          </w:p>
        </w:tc>
        <w:tc>
          <w:tcPr>
            <w:tcW w:w="2485" w:type="dxa"/>
            <w:tcMar>
              <w:top w:w="0" w:type="dxa"/>
              <w:left w:w="57" w:type="dxa"/>
              <w:bottom w:w="0" w:type="dxa"/>
              <w:right w:w="57" w:type="dxa"/>
            </w:tcMar>
            <w:vAlign w:val="center"/>
          </w:tcPr>
          <w:p w14:paraId="608217C7">
            <w:pPr>
              <w:pStyle w:val="14"/>
              <w:rPr>
                <w:sz w:val="24"/>
                <w:szCs w:val="24"/>
                <w:highlight w:val="none"/>
              </w:rPr>
            </w:pPr>
            <w:r>
              <w:rPr>
                <w:rFonts w:hint="eastAsia"/>
                <w:sz w:val="24"/>
                <w:szCs w:val="24"/>
                <w:highlight w:val="none"/>
              </w:rPr>
              <w:t>《恶臭污染物排放标准》（GB14554-93）表1恶臭污染物厂界标准值中臭气浓度的二级新扩改建要求限值</w:t>
            </w:r>
          </w:p>
        </w:tc>
        <w:tc>
          <w:tcPr>
            <w:tcW w:w="1436" w:type="dxa"/>
            <w:tcMar>
              <w:top w:w="0" w:type="dxa"/>
              <w:left w:w="57" w:type="dxa"/>
              <w:bottom w:w="0" w:type="dxa"/>
              <w:right w:w="57" w:type="dxa"/>
            </w:tcMar>
            <w:vAlign w:val="center"/>
          </w:tcPr>
          <w:p w14:paraId="27159C36">
            <w:pPr>
              <w:spacing w:line="240" w:lineRule="auto"/>
              <w:jc w:val="center"/>
              <w:rPr>
                <w:highlight w:val="none"/>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p>
        </w:tc>
      </w:tr>
      <w:tr w14:paraId="22D2E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restart"/>
            <w:tcMar>
              <w:top w:w="0" w:type="dxa"/>
              <w:left w:w="57" w:type="dxa"/>
              <w:bottom w:w="0" w:type="dxa"/>
              <w:right w:w="57" w:type="dxa"/>
            </w:tcMar>
            <w:vAlign w:val="center"/>
          </w:tcPr>
          <w:p w14:paraId="79813EEC">
            <w:pPr>
              <w:spacing w:line="240" w:lineRule="auto"/>
              <w:jc w:val="center"/>
              <w:rPr>
                <w:highlight w:val="none"/>
              </w:rPr>
            </w:pPr>
            <w:r>
              <w:rPr>
                <w:rFonts w:hint="eastAsia"/>
                <w:highlight w:val="none"/>
              </w:rPr>
              <w:t>地表水环境</w:t>
            </w:r>
          </w:p>
        </w:tc>
        <w:tc>
          <w:tcPr>
            <w:tcW w:w="1656" w:type="dxa"/>
            <w:vMerge w:val="restart"/>
            <w:tcMar>
              <w:top w:w="0" w:type="dxa"/>
              <w:left w:w="57" w:type="dxa"/>
              <w:bottom w:w="0" w:type="dxa"/>
              <w:right w:w="57" w:type="dxa"/>
            </w:tcMar>
            <w:vAlign w:val="center"/>
          </w:tcPr>
          <w:p w14:paraId="66F1769C">
            <w:pPr>
              <w:spacing w:line="240" w:lineRule="auto"/>
              <w:jc w:val="center"/>
              <w:rPr>
                <w:highlight w:val="none"/>
              </w:rPr>
            </w:pPr>
            <w:r>
              <w:rPr>
                <w:rFonts w:hint="eastAsia"/>
                <w:highlight w:val="none"/>
              </w:rPr>
              <w:t>生活污水</w:t>
            </w:r>
          </w:p>
        </w:tc>
        <w:tc>
          <w:tcPr>
            <w:tcW w:w="1297" w:type="dxa"/>
            <w:tcMar>
              <w:top w:w="0" w:type="dxa"/>
              <w:left w:w="57" w:type="dxa"/>
              <w:bottom w:w="0" w:type="dxa"/>
              <w:right w:w="57" w:type="dxa"/>
            </w:tcMar>
            <w:vAlign w:val="center"/>
          </w:tcPr>
          <w:p w14:paraId="7299CFA2">
            <w:pPr>
              <w:adjustRightInd w:val="0"/>
              <w:snapToGrid w:val="0"/>
              <w:spacing w:line="240" w:lineRule="auto"/>
              <w:jc w:val="center"/>
              <w:rPr>
                <w:kern w:val="0"/>
                <w:highlight w:val="none"/>
              </w:rPr>
            </w:pPr>
            <w:r>
              <w:rPr>
                <w:rFonts w:hint="eastAsia"/>
                <w:kern w:val="0"/>
                <w:highlight w:val="none"/>
              </w:rPr>
              <w:t>pH值</w:t>
            </w:r>
          </w:p>
        </w:tc>
        <w:tc>
          <w:tcPr>
            <w:tcW w:w="1744" w:type="dxa"/>
            <w:vMerge w:val="restart"/>
            <w:tcMar>
              <w:top w:w="0" w:type="dxa"/>
              <w:left w:w="57" w:type="dxa"/>
              <w:bottom w:w="0" w:type="dxa"/>
              <w:right w:w="57" w:type="dxa"/>
            </w:tcMar>
            <w:vAlign w:val="center"/>
          </w:tcPr>
          <w:p w14:paraId="252A67B2">
            <w:pPr>
              <w:spacing w:line="240" w:lineRule="auto"/>
              <w:jc w:val="center"/>
              <w:rPr>
                <w:highlight w:val="none"/>
              </w:rPr>
            </w:pPr>
            <w:r>
              <w:rPr>
                <w:rFonts w:hint="eastAsia"/>
                <w:highlight w:val="none"/>
              </w:rPr>
              <w:t>三级化粪池</w:t>
            </w:r>
          </w:p>
        </w:tc>
        <w:tc>
          <w:tcPr>
            <w:tcW w:w="2485" w:type="dxa"/>
            <w:vMerge w:val="restart"/>
            <w:tcMar>
              <w:top w:w="0" w:type="dxa"/>
              <w:left w:w="57" w:type="dxa"/>
              <w:bottom w:w="0" w:type="dxa"/>
              <w:right w:w="57" w:type="dxa"/>
            </w:tcMar>
            <w:vAlign w:val="center"/>
          </w:tcPr>
          <w:p w14:paraId="3FE6689A">
            <w:pPr>
              <w:spacing w:line="240" w:lineRule="auto"/>
              <w:jc w:val="center"/>
              <w:rPr>
                <w:highlight w:val="none"/>
              </w:rPr>
            </w:pPr>
            <w:r>
              <w:rPr>
                <w:rFonts w:hint="eastAsia"/>
                <w:highlight w:val="none"/>
              </w:rPr>
              <w:t>《水污染物排放限值》（DB44/26-2001）表4第二类污染物最高允许排放浓度的第二时段三级标准</w:t>
            </w:r>
          </w:p>
        </w:tc>
        <w:tc>
          <w:tcPr>
            <w:tcW w:w="1436" w:type="dxa"/>
            <w:tcMar>
              <w:top w:w="0" w:type="dxa"/>
              <w:left w:w="57" w:type="dxa"/>
              <w:bottom w:w="0" w:type="dxa"/>
              <w:right w:w="57" w:type="dxa"/>
            </w:tcMar>
            <w:vAlign w:val="center"/>
          </w:tcPr>
          <w:p w14:paraId="6EF3E70A">
            <w:pPr>
              <w:spacing w:line="240" w:lineRule="auto"/>
              <w:jc w:val="center"/>
              <w:rPr>
                <w:highlight w:val="none"/>
              </w:rPr>
            </w:pPr>
            <w:r>
              <w:rPr>
                <w:rFonts w:hint="eastAsia"/>
                <w:highlight w:val="none"/>
              </w:rPr>
              <w:t>6~9(无量纲)</w:t>
            </w:r>
          </w:p>
        </w:tc>
      </w:tr>
      <w:tr w14:paraId="4230D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Mar>
              <w:top w:w="0" w:type="dxa"/>
              <w:left w:w="57" w:type="dxa"/>
              <w:bottom w:w="0" w:type="dxa"/>
              <w:right w:w="57" w:type="dxa"/>
            </w:tcMar>
            <w:vAlign w:val="center"/>
          </w:tcPr>
          <w:p w14:paraId="3F02ABC9">
            <w:pPr>
              <w:spacing w:line="240" w:lineRule="auto"/>
              <w:jc w:val="center"/>
              <w:rPr>
                <w:highlight w:val="none"/>
              </w:rPr>
            </w:pPr>
          </w:p>
        </w:tc>
        <w:tc>
          <w:tcPr>
            <w:tcW w:w="1656" w:type="dxa"/>
            <w:vMerge w:val="continue"/>
            <w:tcMar>
              <w:top w:w="0" w:type="dxa"/>
              <w:left w:w="57" w:type="dxa"/>
              <w:bottom w:w="0" w:type="dxa"/>
              <w:right w:w="57" w:type="dxa"/>
            </w:tcMar>
            <w:vAlign w:val="center"/>
          </w:tcPr>
          <w:p w14:paraId="514B171C">
            <w:pPr>
              <w:spacing w:line="240" w:lineRule="auto"/>
              <w:jc w:val="center"/>
              <w:rPr>
                <w:highlight w:val="none"/>
              </w:rPr>
            </w:pPr>
          </w:p>
        </w:tc>
        <w:tc>
          <w:tcPr>
            <w:tcW w:w="1297" w:type="dxa"/>
            <w:shd w:val="clear" w:color="auto" w:fill="auto"/>
            <w:tcMar>
              <w:top w:w="0" w:type="dxa"/>
              <w:left w:w="57" w:type="dxa"/>
              <w:bottom w:w="0" w:type="dxa"/>
              <w:right w:w="57" w:type="dxa"/>
            </w:tcMar>
            <w:vAlign w:val="center"/>
          </w:tcPr>
          <w:p w14:paraId="45BC0AE8">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COD</w:t>
            </w:r>
            <w:r>
              <w:rPr>
                <w:rFonts w:hint="eastAsia"/>
                <w:kern w:val="0"/>
                <w:highlight w:val="none"/>
                <w:vertAlign w:val="subscript"/>
              </w:rPr>
              <w:t>Cr</w:t>
            </w:r>
          </w:p>
        </w:tc>
        <w:tc>
          <w:tcPr>
            <w:tcW w:w="1744" w:type="dxa"/>
            <w:vMerge w:val="continue"/>
            <w:tcMar>
              <w:top w:w="0" w:type="dxa"/>
              <w:left w:w="57" w:type="dxa"/>
              <w:bottom w:w="0" w:type="dxa"/>
              <w:right w:w="57" w:type="dxa"/>
            </w:tcMar>
            <w:vAlign w:val="center"/>
          </w:tcPr>
          <w:p w14:paraId="22D605E5">
            <w:pPr>
              <w:spacing w:line="240" w:lineRule="auto"/>
              <w:jc w:val="center"/>
              <w:rPr>
                <w:highlight w:val="none"/>
              </w:rPr>
            </w:pPr>
          </w:p>
        </w:tc>
        <w:tc>
          <w:tcPr>
            <w:tcW w:w="2485" w:type="dxa"/>
            <w:vMerge w:val="continue"/>
            <w:tcMar>
              <w:top w:w="0" w:type="dxa"/>
              <w:left w:w="57" w:type="dxa"/>
              <w:bottom w:w="0" w:type="dxa"/>
              <w:right w:w="57" w:type="dxa"/>
            </w:tcMar>
            <w:vAlign w:val="center"/>
          </w:tcPr>
          <w:p w14:paraId="500DBEC1">
            <w:pPr>
              <w:spacing w:line="240" w:lineRule="auto"/>
              <w:jc w:val="center"/>
              <w:rPr>
                <w:highlight w:val="none"/>
              </w:rPr>
            </w:pPr>
          </w:p>
        </w:tc>
        <w:tc>
          <w:tcPr>
            <w:tcW w:w="1436" w:type="dxa"/>
            <w:shd w:val="clear" w:color="auto" w:fill="auto"/>
            <w:tcMar>
              <w:top w:w="0" w:type="dxa"/>
              <w:left w:w="57" w:type="dxa"/>
              <w:bottom w:w="0" w:type="dxa"/>
              <w:right w:w="57" w:type="dxa"/>
            </w:tcMar>
            <w:vAlign w:val="center"/>
          </w:tcPr>
          <w:p w14:paraId="16612F4C">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≤500</w:t>
            </w:r>
          </w:p>
        </w:tc>
      </w:tr>
      <w:tr w14:paraId="1270E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Mar>
              <w:top w:w="0" w:type="dxa"/>
              <w:left w:w="57" w:type="dxa"/>
              <w:bottom w:w="0" w:type="dxa"/>
              <w:right w:w="57" w:type="dxa"/>
            </w:tcMar>
            <w:vAlign w:val="center"/>
          </w:tcPr>
          <w:p w14:paraId="06D9CAAE">
            <w:pPr>
              <w:spacing w:line="240" w:lineRule="auto"/>
              <w:jc w:val="center"/>
              <w:rPr>
                <w:highlight w:val="none"/>
              </w:rPr>
            </w:pPr>
          </w:p>
        </w:tc>
        <w:tc>
          <w:tcPr>
            <w:tcW w:w="1656" w:type="dxa"/>
            <w:vMerge w:val="continue"/>
            <w:tcMar>
              <w:top w:w="0" w:type="dxa"/>
              <w:left w:w="57" w:type="dxa"/>
              <w:bottom w:w="0" w:type="dxa"/>
              <w:right w:w="57" w:type="dxa"/>
            </w:tcMar>
            <w:vAlign w:val="center"/>
          </w:tcPr>
          <w:p w14:paraId="5AD3FBC9">
            <w:pPr>
              <w:spacing w:line="240" w:lineRule="auto"/>
              <w:jc w:val="center"/>
              <w:rPr>
                <w:highlight w:val="none"/>
              </w:rPr>
            </w:pPr>
          </w:p>
        </w:tc>
        <w:tc>
          <w:tcPr>
            <w:tcW w:w="1297" w:type="dxa"/>
            <w:shd w:val="clear" w:color="auto" w:fill="auto"/>
            <w:tcMar>
              <w:top w:w="0" w:type="dxa"/>
              <w:left w:w="57" w:type="dxa"/>
              <w:bottom w:w="0" w:type="dxa"/>
              <w:right w:w="57" w:type="dxa"/>
            </w:tcMar>
            <w:vAlign w:val="center"/>
          </w:tcPr>
          <w:p w14:paraId="71B38C62">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BOD</w:t>
            </w:r>
            <w:r>
              <w:rPr>
                <w:rFonts w:hint="eastAsia"/>
                <w:kern w:val="0"/>
                <w:highlight w:val="none"/>
                <w:vertAlign w:val="subscript"/>
              </w:rPr>
              <w:t>5</w:t>
            </w:r>
          </w:p>
        </w:tc>
        <w:tc>
          <w:tcPr>
            <w:tcW w:w="1744" w:type="dxa"/>
            <w:vMerge w:val="continue"/>
            <w:tcMar>
              <w:top w:w="0" w:type="dxa"/>
              <w:left w:w="57" w:type="dxa"/>
              <w:bottom w:w="0" w:type="dxa"/>
              <w:right w:w="57" w:type="dxa"/>
            </w:tcMar>
            <w:vAlign w:val="center"/>
          </w:tcPr>
          <w:p w14:paraId="53CBED0B">
            <w:pPr>
              <w:spacing w:line="240" w:lineRule="auto"/>
              <w:jc w:val="center"/>
              <w:rPr>
                <w:highlight w:val="none"/>
              </w:rPr>
            </w:pPr>
          </w:p>
        </w:tc>
        <w:tc>
          <w:tcPr>
            <w:tcW w:w="2485" w:type="dxa"/>
            <w:vMerge w:val="continue"/>
            <w:tcMar>
              <w:top w:w="0" w:type="dxa"/>
              <w:left w:w="57" w:type="dxa"/>
              <w:bottom w:w="0" w:type="dxa"/>
              <w:right w:w="57" w:type="dxa"/>
            </w:tcMar>
            <w:vAlign w:val="center"/>
          </w:tcPr>
          <w:p w14:paraId="36E2375D">
            <w:pPr>
              <w:spacing w:line="240" w:lineRule="auto"/>
              <w:jc w:val="center"/>
              <w:rPr>
                <w:highlight w:val="none"/>
              </w:rPr>
            </w:pPr>
          </w:p>
        </w:tc>
        <w:tc>
          <w:tcPr>
            <w:tcW w:w="1436" w:type="dxa"/>
            <w:shd w:val="clear" w:color="auto" w:fill="auto"/>
            <w:tcMar>
              <w:top w:w="0" w:type="dxa"/>
              <w:left w:w="57" w:type="dxa"/>
              <w:bottom w:w="0" w:type="dxa"/>
              <w:right w:w="57" w:type="dxa"/>
            </w:tcMar>
            <w:vAlign w:val="center"/>
          </w:tcPr>
          <w:p w14:paraId="06F189F1">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≤300</w:t>
            </w:r>
          </w:p>
        </w:tc>
      </w:tr>
      <w:tr w14:paraId="611F3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Mar>
              <w:top w:w="0" w:type="dxa"/>
              <w:left w:w="57" w:type="dxa"/>
              <w:bottom w:w="0" w:type="dxa"/>
              <w:right w:w="57" w:type="dxa"/>
            </w:tcMar>
            <w:vAlign w:val="center"/>
          </w:tcPr>
          <w:p w14:paraId="2672DE0A">
            <w:pPr>
              <w:spacing w:line="240" w:lineRule="auto"/>
              <w:jc w:val="center"/>
              <w:rPr>
                <w:highlight w:val="none"/>
              </w:rPr>
            </w:pPr>
          </w:p>
        </w:tc>
        <w:tc>
          <w:tcPr>
            <w:tcW w:w="1656" w:type="dxa"/>
            <w:vMerge w:val="continue"/>
            <w:tcMar>
              <w:top w:w="0" w:type="dxa"/>
              <w:left w:w="57" w:type="dxa"/>
              <w:bottom w:w="0" w:type="dxa"/>
              <w:right w:w="57" w:type="dxa"/>
            </w:tcMar>
            <w:vAlign w:val="center"/>
          </w:tcPr>
          <w:p w14:paraId="4FA908FC">
            <w:pPr>
              <w:spacing w:line="240" w:lineRule="auto"/>
              <w:jc w:val="center"/>
              <w:rPr>
                <w:highlight w:val="none"/>
              </w:rPr>
            </w:pPr>
          </w:p>
        </w:tc>
        <w:tc>
          <w:tcPr>
            <w:tcW w:w="1297" w:type="dxa"/>
            <w:shd w:val="clear" w:color="auto" w:fill="auto"/>
            <w:tcMar>
              <w:top w:w="0" w:type="dxa"/>
              <w:left w:w="57" w:type="dxa"/>
              <w:bottom w:w="0" w:type="dxa"/>
              <w:right w:w="57" w:type="dxa"/>
            </w:tcMar>
            <w:vAlign w:val="center"/>
          </w:tcPr>
          <w:p w14:paraId="34BEAF87">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悬浮物</w:t>
            </w:r>
          </w:p>
        </w:tc>
        <w:tc>
          <w:tcPr>
            <w:tcW w:w="1744" w:type="dxa"/>
            <w:vMerge w:val="continue"/>
            <w:tcMar>
              <w:top w:w="0" w:type="dxa"/>
              <w:left w:w="57" w:type="dxa"/>
              <w:bottom w:w="0" w:type="dxa"/>
              <w:right w:w="57" w:type="dxa"/>
            </w:tcMar>
            <w:vAlign w:val="center"/>
          </w:tcPr>
          <w:p w14:paraId="1882694C">
            <w:pPr>
              <w:spacing w:line="240" w:lineRule="auto"/>
              <w:jc w:val="center"/>
              <w:rPr>
                <w:highlight w:val="none"/>
              </w:rPr>
            </w:pPr>
          </w:p>
        </w:tc>
        <w:tc>
          <w:tcPr>
            <w:tcW w:w="2485" w:type="dxa"/>
            <w:vMerge w:val="continue"/>
            <w:tcMar>
              <w:top w:w="0" w:type="dxa"/>
              <w:left w:w="57" w:type="dxa"/>
              <w:bottom w:w="0" w:type="dxa"/>
              <w:right w:w="57" w:type="dxa"/>
            </w:tcMar>
            <w:vAlign w:val="center"/>
          </w:tcPr>
          <w:p w14:paraId="59DBB49B">
            <w:pPr>
              <w:spacing w:line="240" w:lineRule="auto"/>
              <w:jc w:val="center"/>
              <w:rPr>
                <w:highlight w:val="none"/>
              </w:rPr>
            </w:pPr>
          </w:p>
        </w:tc>
        <w:tc>
          <w:tcPr>
            <w:tcW w:w="1436" w:type="dxa"/>
            <w:shd w:val="clear" w:color="auto" w:fill="auto"/>
            <w:tcMar>
              <w:top w:w="0" w:type="dxa"/>
              <w:left w:w="57" w:type="dxa"/>
              <w:bottom w:w="0" w:type="dxa"/>
              <w:right w:w="57" w:type="dxa"/>
            </w:tcMar>
            <w:vAlign w:val="center"/>
          </w:tcPr>
          <w:p w14:paraId="59F6DC4E">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≤400</w:t>
            </w:r>
          </w:p>
        </w:tc>
      </w:tr>
      <w:tr w14:paraId="78EFB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Mar>
              <w:top w:w="0" w:type="dxa"/>
              <w:left w:w="57" w:type="dxa"/>
              <w:bottom w:w="0" w:type="dxa"/>
              <w:right w:w="57" w:type="dxa"/>
            </w:tcMar>
            <w:vAlign w:val="center"/>
          </w:tcPr>
          <w:p w14:paraId="71FE2800">
            <w:pPr>
              <w:spacing w:line="240" w:lineRule="auto"/>
              <w:jc w:val="center"/>
              <w:rPr>
                <w:highlight w:val="none"/>
              </w:rPr>
            </w:pPr>
          </w:p>
        </w:tc>
        <w:tc>
          <w:tcPr>
            <w:tcW w:w="1656" w:type="dxa"/>
            <w:vMerge w:val="continue"/>
            <w:tcMar>
              <w:top w:w="0" w:type="dxa"/>
              <w:left w:w="57" w:type="dxa"/>
              <w:bottom w:w="0" w:type="dxa"/>
              <w:right w:w="57" w:type="dxa"/>
            </w:tcMar>
            <w:vAlign w:val="center"/>
          </w:tcPr>
          <w:p w14:paraId="6FCFBDAE">
            <w:pPr>
              <w:spacing w:line="240" w:lineRule="auto"/>
              <w:jc w:val="center"/>
              <w:rPr>
                <w:highlight w:val="none"/>
              </w:rPr>
            </w:pPr>
          </w:p>
        </w:tc>
        <w:tc>
          <w:tcPr>
            <w:tcW w:w="1297" w:type="dxa"/>
            <w:shd w:val="clear" w:color="auto" w:fill="auto"/>
            <w:tcMar>
              <w:top w:w="0" w:type="dxa"/>
              <w:left w:w="57" w:type="dxa"/>
              <w:bottom w:w="0" w:type="dxa"/>
              <w:right w:w="57" w:type="dxa"/>
            </w:tcMar>
            <w:vAlign w:val="center"/>
          </w:tcPr>
          <w:p w14:paraId="03731C98">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氨氮</w:t>
            </w:r>
          </w:p>
        </w:tc>
        <w:tc>
          <w:tcPr>
            <w:tcW w:w="1744" w:type="dxa"/>
            <w:vMerge w:val="continue"/>
            <w:tcMar>
              <w:top w:w="0" w:type="dxa"/>
              <w:left w:w="57" w:type="dxa"/>
              <w:bottom w:w="0" w:type="dxa"/>
              <w:right w:w="57" w:type="dxa"/>
            </w:tcMar>
            <w:vAlign w:val="center"/>
          </w:tcPr>
          <w:p w14:paraId="78DF4FAC">
            <w:pPr>
              <w:spacing w:line="240" w:lineRule="auto"/>
              <w:jc w:val="center"/>
              <w:rPr>
                <w:highlight w:val="none"/>
              </w:rPr>
            </w:pPr>
          </w:p>
        </w:tc>
        <w:tc>
          <w:tcPr>
            <w:tcW w:w="2485" w:type="dxa"/>
            <w:vMerge w:val="continue"/>
            <w:tcMar>
              <w:top w:w="0" w:type="dxa"/>
              <w:left w:w="57" w:type="dxa"/>
              <w:bottom w:w="0" w:type="dxa"/>
              <w:right w:w="57" w:type="dxa"/>
            </w:tcMar>
            <w:vAlign w:val="center"/>
          </w:tcPr>
          <w:p w14:paraId="59222496">
            <w:pPr>
              <w:spacing w:line="240" w:lineRule="auto"/>
              <w:jc w:val="center"/>
              <w:rPr>
                <w:highlight w:val="none"/>
              </w:rPr>
            </w:pPr>
          </w:p>
        </w:tc>
        <w:tc>
          <w:tcPr>
            <w:tcW w:w="1436" w:type="dxa"/>
            <w:shd w:val="clear" w:color="auto" w:fill="auto"/>
            <w:tcMar>
              <w:top w:w="0" w:type="dxa"/>
              <w:left w:w="57" w:type="dxa"/>
              <w:bottom w:w="0" w:type="dxa"/>
              <w:right w:w="57" w:type="dxa"/>
            </w:tcMar>
            <w:vAlign w:val="center"/>
          </w:tcPr>
          <w:p w14:paraId="2117B855">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kern w:val="0"/>
                <w:highlight w:val="none"/>
              </w:rPr>
              <w:t>--</w:t>
            </w:r>
          </w:p>
        </w:tc>
      </w:tr>
      <w:tr w14:paraId="359CC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Mar>
              <w:top w:w="0" w:type="dxa"/>
              <w:left w:w="57" w:type="dxa"/>
              <w:bottom w:w="0" w:type="dxa"/>
              <w:right w:w="57" w:type="dxa"/>
            </w:tcMar>
            <w:vAlign w:val="center"/>
          </w:tcPr>
          <w:p w14:paraId="4CC5F073">
            <w:pPr>
              <w:spacing w:line="240" w:lineRule="auto"/>
              <w:jc w:val="center"/>
              <w:rPr>
                <w:highlight w:val="none"/>
              </w:rPr>
            </w:pPr>
          </w:p>
        </w:tc>
        <w:tc>
          <w:tcPr>
            <w:tcW w:w="1656" w:type="dxa"/>
            <w:vMerge w:val="continue"/>
            <w:tcMar>
              <w:top w:w="0" w:type="dxa"/>
              <w:left w:w="57" w:type="dxa"/>
              <w:bottom w:w="0" w:type="dxa"/>
              <w:right w:w="57" w:type="dxa"/>
            </w:tcMar>
            <w:vAlign w:val="center"/>
          </w:tcPr>
          <w:p w14:paraId="1C1BD8A0">
            <w:pPr>
              <w:spacing w:line="240" w:lineRule="auto"/>
              <w:jc w:val="center"/>
              <w:rPr>
                <w:highlight w:val="none"/>
              </w:rPr>
            </w:pPr>
          </w:p>
        </w:tc>
        <w:tc>
          <w:tcPr>
            <w:tcW w:w="1297" w:type="dxa"/>
            <w:shd w:val="clear" w:color="auto" w:fill="auto"/>
            <w:tcMar>
              <w:top w:w="0" w:type="dxa"/>
              <w:left w:w="57" w:type="dxa"/>
              <w:bottom w:w="0" w:type="dxa"/>
              <w:right w:w="57" w:type="dxa"/>
            </w:tcMar>
            <w:vAlign w:val="center"/>
          </w:tcPr>
          <w:p w14:paraId="4412FA6C">
            <w:pPr>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总磷</w:t>
            </w:r>
          </w:p>
        </w:tc>
        <w:tc>
          <w:tcPr>
            <w:tcW w:w="1744" w:type="dxa"/>
            <w:vMerge w:val="continue"/>
            <w:tcMar>
              <w:top w:w="0" w:type="dxa"/>
              <w:left w:w="57" w:type="dxa"/>
              <w:bottom w:w="0" w:type="dxa"/>
              <w:right w:w="57" w:type="dxa"/>
            </w:tcMar>
            <w:vAlign w:val="center"/>
          </w:tcPr>
          <w:p w14:paraId="4EA96CC1">
            <w:pPr>
              <w:spacing w:line="240" w:lineRule="auto"/>
              <w:jc w:val="center"/>
              <w:rPr>
                <w:highlight w:val="none"/>
              </w:rPr>
            </w:pPr>
          </w:p>
        </w:tc>
        <w:tc>
          <w:tcPr>
            <w:tcW w:w="2485" w:type="dxa"/>
            <w:vMerge w:val="continue"/>
            <w:tcMar>
              <w:top w:w="0" w:type="dxa"/>
              <w:left w:w="57" w:type="dxa"/>
              <w:bottom w:w="0" w:type="dxa"/>
              <w:right w:w="57" w:type="dxa"/>
            </w:tcMar>
            <w:vAlign w:val="center"/>
          </w:tcPr>
          <w:p w14:paraId="1735C8E7">
            <w:pPr>
              <w:spacing w:line="240" w:lineRule="auto"/>
              <w:jc w:val="center"/>
              <w:rPr>
                <w:highlight w:val="none"/>
              </w:rPr>
            </w:pPr>
          </w:p>
        </w:tc>
        <w:tc>
          <w:tcPr>
            <w:tcW w:w="1436" w:type="dxa"/>
            <w:shd w:val="clear" w:color="auto" w:fill="auto"/>
            <w:tcMar>
              <w:top w:w="0" w:type="dxa"/>
              <w:left w:w="57" w:type="dxa"/>
              <w:bottom w:w="0" w:type="dxa"/>
              <w:right w:w="57" w:type="dxa"/>
            </w:tcMar>
            <w:vAlign w:val="center"/>
          </w:tcPr>
          <w:p w14:paraId="2907708C">
            <w:pPr>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w:t>
            </w:r>
          </w:p>
        </w:tc>
      </w:tr>
      <w:tr w14:paraId="72A40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vMerge w:val="continue"/>
            <w:tcMar>
              <w:top w:w="0" w:type="dxa"/>
              <w:left w:w="57" w:type="dxa"/>
              <w:bottom w:w="0" w:type="dxa"/>
              <w:right w:w="57" w:type="dxa"/>
            </w:tcMar>
            <w:vAlign w:val="center"/>
          </w:tcPr>
          <w:p w14:paraId="4125A13F">
            <w:pPr>
              <w:spacing w:line="240" w:lineRule="auto"/>
              <w:jc w:val="center"/>
              <w:rPr>
                <w:highlight w:val="none"/>
              </w:rPr>
            </w:pPr>
          </w:p>
        </w:tc>
        <w:tc>
          <w:tcPr>
            <w:tcW w:w="1656" w:type="dxa"/>
            <w:vMerge w:val="continue"/>
            <w:tcMar>
              <w:top w:w="0" w:type="dxa"/>
              <w:left w:w="57" w:type="dxa"/>
              <w:bottom w:w="0" w:type="dxa"/>
              <w:right w:w="57" w:type="dxa"/>
            </w:tcMar>
            <w:vAlign w:val="center"/>
          </w:tcPr>
          <w:p w14:paraId="27663D74">
            <w:pPr>
              <w:spacing w:line="240" w:lineRule="auto"/>
              <w:jc w:val="center"/>
              <w:rPr>
                <w:highlight w:val="none"/>
              </w:rPr>
            </w:pPr>
          </w:p>
        </w:tc>
        <w:tc>
          <w:tcPr>
            <w:tcW w:w="1297" w:type="dxa"/>
            <w:tcMar>
              <w:top w:w="0" w:type="dxa"/>
              <w:left w:w="57" w:type="dxa"/>
              <w:bottom w:w="0" w:type="dxa"/>
              <w:right w:w="57" w:type="dxa"/>
            </w:tcMar>
            <w:vAlign w:val="center"/>
          </w:tcPr>
          <w:p w14:paraId="41C949DA">
            <w:pPr>
              <w:adjustRightInd w:val="0"/>
              <w:snapToGrid w:val="0"/>
              <w:spacing w:line="240" w:lineRule="auto"/>
              <w:jc w:val="center"/>
              <w:rPr>
                <w:highlight w:val="none"/>
              </w:rPr>
            </w:pPr>
            <w:r>
              <w:rPr>
                <w:rFonts w:hint="eastAsia"/>
                <w:kern w:val="0"/>
                <w:highlight w:val="none"/>
              </w:rPr>
              <w:t>动植物油</w:t>
            </w:r>
          </w:p>
        </w:tc>
        <w:tc>
          <w:tcPr>
            <w:tcW w:w="1744" w:type="dxa"/>
            <w:vMerge w:val="continue"/>
            <w:tcMar>
              <w:top w:w="0" w:type="dxa"/>
              <w:left w:w="57" w:type="dxa"/>
              <w:bottom w:w="0" w:type="dxa"/>
              <w:right w:w="57" w:type="dxa"/>
            </w:tcMar>
            <w:vAlign w:val="center"/>
          </w:tcPr>
          <w:p w14:paraId="32609DCA">
            <w:pPr>
              <w:spacing w:line="240" w:lineRule="auto"/>
              <w:jc w:val="center"/>
              <w:rPr>
                <w:highlight w:val="none"/>
              </w:rPr>
            </w:pPr>
          </w:p>
        </w:tc>
        <w:tc>
          <w:tcPr>
            <w:tcW w:w="2485" w:type="dxa"/>
            <w:vMerge w:val="continue"/>
            <w:tcMar>
              <w:top w:w="0" w:type="dxa"/>
              <w:left w:w="57" w:type="dxa"/>
              <w:bottom w:w="0" w:type="dxa"/>
              <w:right w:w="57" w:type="dxa"/>
            </w:tcMar>
            <w:vAlign w:val="center"/>
          </w:tcPr>
          <w:p w14:paraId="4544BA64">
            <w:pPr>
              <w:spacing w:line="240" w:lineRule="auto"/>
              <w:jc w:val="center"/>
              <w:rPr>
                <w:highlight w:val="none"/>
              </w:rPr>
            </w:pPr>
          </w:p>
        </w:tc>
        <w:tc>
          <w:tcPr>
            <w:tcW w:w="1436" w:type="dxa"/>
            <w:tcMar>
              <w:top w:w="0" w:type="dxa"/>
              <w:left w:w="57" w:type="dxa"/>
              <w:bottom w:w="0" w:type="dxa"/>
              <w:right w:w="57" w:type="dxa"/>
            </w:tcMar>
            <w:vAlign w:val="center"/>
          </w:tcPr>
          <w:p w14:paraId="40FCAB6C">
            <w:pPr>
              <w:adjustRightInd w:val="0"/>
              <w:snapToGrid w:val="0"/>
              <w:spacing w:line="240" w:lineRule="auto"/>
              <w:jc w:val="center"/>
              <w:rPr>
                <w:highlight w:val="none"/>
              </w:rPr>
            </w:pPr>
            <w:r>
              <w:rPr>
                <w:rFonts w:hint="eastAsia"/>
                <w:kern w:val="0"/>
                <w:highlight w:val="none"/>
              </w:rPr>
              <w:t>≤100</w:t>
            </w:r>
          </w:p>
        </w:tc>
      </w:tr>
      <w:tr w14:paraId="2A1B4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tcMar>
              <w:top w:w="0" w:type="dxa"/>
              <w:left w:w="57" w:type="dxa"/>
              <w:bottom w:w="0" w:type="dxa"/>
              <w:right w:w="57" w:type="dxa"/>
            </w:tcMar>
            <w:vAlign w:val="center"/>
          </w:tcPr>
          <w:p w14:paraId="7E833EE2">
            <w:pPr>
              <w:spacing w:line="240" w:lineRule="auto"/>
              <w:jc w:val="center"/>
              <w:rPr>
                <w:highlight w:val="none"/>
              </w:rPr>
            </w:pPr>
            <w:r>
              <w:rPr>
                <w:rFonts w:hint="eastAsia"/>
                <w:highlight w:val="none"/>
              </w:rPr>
              <w:t>声环境</w:t>
            </w:r>
          </w:p>
        </w:tc>
        <w:tc>
          <w:tcPr>
            <w:tcW w:w="1656" w:type="dxa"/>
            <w:tcMar>
              <w:top w:w="0" w:type="dxa"/>
              <w:left w:w="57" w:type="dxa"/>
              <w:bottom w:w="0" w:type="dxa"/>
              <w:right w:w="57" w:type="dxa"/>
            </w:tcMar>
            <w:vAlign w:val="center"/>
          </w:tcPr>
          <w:p w14:paraId="5FFC625F">
            <w:pPr>
              <w:spacing w:line="240" w:lineRule="auto"/>
              <w:jc w:val="center"/>
              <w:rPr>
                <w:highlight w:val="none"/>
              </w:rPr>
            </w:pPr>
            <w:r>
              <w:rPr>
                <w:rFonts w:hint="eastAsia"/>
                <w:highlight w:val="none"/>
              </w:rPr>
              <w:t>设备噪声</w:t>
            </w:r>
          </w:p>
        </w:tc>
        <w:tc>
          <w:tcPr>
            <w:tcW w:w="1297" w:type="dxa"/>
            <w:tcMar>
              <w:top w:w="0" w:type="dxa"/>
              <w:left w:w="57" w:type="dxa"/>
              <w:bottom w:w="0" w:type="dxa"/>
              <w:right w:w="57" w:type="dxa"/>
            </w:tcMar>
            <w:vAlign w:val="center"/>
          </w:tcPr>
          <w:p w14:paraId="3E2F5E5C">
            <w:pPr>
              <w:spacing w:line="240" w:lineRule="auto"/>
              <w:jc w:val="center"/>
              <w:rPr>
                <w:highlight w:val="none"/>
              </w:rPr>
            </w:pPr>
            <w:r>
              <w:rPr>
                <w:rFonts w:hint="eastAsia"/>
                <w:highlight w:val="none"/>
              </w:rPr>
              <w:t>设备噪声</w:t>
            </w:r>
          </w:p>
        </w:tc>
        <w:tc>
          <w:tcPr>
            <w:tcW w:w="1744" w:type="dxa"/>
            <w:tcMar>
              <w:top w:w="0" w:type="dxa"/>
              <w:left w:w="57" w:type="dxa"/>
              <w:bottom w:w="0" w:type="dxa"/>
              <w:right w:w="57" w:type="dxa"/>
            </w:tcMar>
            <w:vAlign w:val="center"/>
          </w:tcPr>
          <w:p w14:paraId="79582872">
            <w:pPr>
              <w:spacing w:line="240" w:lineRule="auto"/>
              <w:jc w:val="center"/>
              <w:rPr>
                <w:highlight w:val="none"/>
              </w:rPr>
            </w:pPr>
            <w:r>
              <w:rPr>
                <w:rFonts w:hint="eastAsia"/>
                <w:highlight w:val="none"/>
              </w:rPr>
              <w:t>合理布局，生产设备在选型上充分注意选择低噪声设备；合理布局；定期检修，防止不良工况下故障噪声</w:t>
            </w:r>
          </w:p>
        </w:tc>
        <w:tc>
          <w:tcPr>
            <w:tcW w:w="3921" w:type="dxa"/>
            <w:gridSpan w:val="2"/>
            <w:tcMar>
              <w:top w:w="0" w:type="dxa"/>
              <w:left w:w="57" w:type="dxa"/>
              <w:bottom w:w="0" w:type="dxa"/>
              <w:right w:w="57" w:type="dxa"/>
            </w:tcMar>
            <w:vAlign w:val="center"/>
          </w:tcPr>
          <w:p w14:paraId="43B5C318">
            <w:pPr>
              <w:spacing w:line="240" w:lineRule="auto"/>
              <w:jc w:val="center"/>
              <w:rPr>
                <w:highlight w:val="none"/>
              </w:rPr>
            </w:pPr>
            <w:r>
              <w:rPr>
                <w:rFonts w:hint="eastAsia"/>
                <w:highlight w:val="none"/>
              </w:rPr>
              <w:t>项目厂界噪声排放执行《声环境质量标准》（GB3096-2008）</w:t>
            </w:r>
            <w:r>
              <w:rPr>
                <w:rFonts w:hint="eastAsia"/>
                <w:color w:val="000000" w:themeColor="text1"/>
                <w:highlight w:val="none"/>
                <w14:textFill>
                  <w14:solidFill>
                    <w14:schemeClr w14:val="tx1"/>
                  </w14:solidFill>
                </w14:textFill>
              </w:rPr>
              <w:t>3类</w:t>
            </w:r>
            <w:r>
              <w:rPr>
                <w:rFonts w:hint="eastAsia"/>
                <w:highlight w:val="none"/>
              </w:rPr>
              <w:t>标准[昼间≤65dB（A）</w:t>
            </w:r>
            <w:r>
              <w:rPr>
                <w:rFonts w:hint="eastAsia"/>
                <w:highlight w:val="none"/>
                <w:lang w:eastAsia="zh-CN"/>
              </w:rPr>
              <w:t>，夜间≤</w:t>
            </w:r>
            <w:r>
              <w:rPr>
                <w:rFonts w:hint="eastAsia"/>
                <w:highlight w:val="none"/>
                <w:lang w:val="en-US" w:eastAsia="zh-CN"/>
              </w:rPr>
              <w:t>50</w:t>
            </w:r>
            <w:r>
              <w:rPr>
                <w:rFonts w:hint="eastAsia"/>
                <w:highlight w:val="none"/>
                <w:lang w:eastAsia="zh-CN"/>
              </w:rPr>
              <w:t>dB（A）</w:t>
            </w:r>
            <w:r>
              <w:rPr>
                <w:rFonts w:hint="eastAsia"/>
                <w:highlight w:val="none"/>
              </w:rPr>
              <w:t>]</w:t>
            </w:r>
          </w:p>
        </w:tc>
      </w:tr>
      <w:tr w14:paraId="297EA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64" w:type="dxa"/>
            <w:tcMar>
              <w:top w:w="0" w:type="dxa"/>
              <w:left w:w="57" w:type="dxa"/>
              <w:bottom w:w="0" w:type="dxa"/>
              <w:right w:w="57" w:type="dxa"/>
            </w:tcMar>
            <w:vAlign w:val="center"/>
          </w:tcPr>
          <w:p w14:paraId="43395C1C">
            <w:pPr>
              <w:spacing w:line="240" w:lineRule="auto"/>
              <w:jc w:val="center"/>
              <w:rPr>
                <w:highlight w:val="none"/>
              </w:rPr>
            </w:pPr>
            <w:r>
              <w:rPr>
                <w:rFonts w:hint="eastAsia"/>
                <w:highlight w:val="none"/>
              </w:rPr>
              <w:t>电磁辐射</w:t>
            </w:r>
          </w:p>
        </w:tc>
        <w:tc>
          <w:tcPr>
            <w:tcW w:w="1656" w:type="dxa"/>
            <w:tcMar>
              <w:top w:w="0" w:type="dxa"/>
              <w:left w:w="57" w:type="dxa"/>
              <w:bottom w:w="0" w:type="dxa"/>
              <w:right w:w="57" w:type="dxa"/>
            </w:tcMar>
            <w:vAlign w:val="center"/>
          </w:tcPr>
          <w:p w14:paraId="5DBA2398">
            <w:pPr>
              <w:spacing w:line="240" w:lineRule="auto"/>
              <w:jc w:val="center"/>
              <w:rPr>
                <w:highlight w:val="none"/>
              </w:rPr>
            </w:pPr>
            <w:r>
              <w:rPr>
                <w:rFonts w:hint="eastAsia"/>
                <w:highlight w:val="none"/>
              </w:rPr>
              <w:t>/</w:t>
            </w:r>
          </w:p>
        </w:tc>
        <w:tc>
          <w:tcPr>
            <w:tcW w:w="1297" w:type="dxa"/>
            <w:tcMar>
              <w:top w:w="0" w:type="dxa"/>
              <w:left w:w="57" w:type="dxa"/>
              <w:bottom w:w="0" w:type="dxa"/>
              <w:right w:w="57" w:type="dxa"/>
            </w:tcMar>
            <w:vAlign w:val="center"/>
          </w:tcPr>
          <w:p w14:paraId="79CEE641">
            <w:pPr>
              <w:spacing w:line="240" w:lineRule="auto"/>
              <w:jc w:val="center"/>
              <w:rPr>
                <w:highlight w:val="none"/>
              </w:rPr>
            </w:pPr>
            <w:r>
              <w:rPr>
                <w:rFonts w:hint="eastAsia"/>
                <w:highlight w:val="none"/>
              </w:rPr>
              <w:t>/</w:t>
            </w:r>
          </w:p>
        </w:tc>
        <w:tc>
          <w:tcPr>
            <w:tcW w:w="1744" w:type="dxa"/>
            <w:tcMar>
              <w:top w:w="0" w:type="dxa"/>
              <w:left w:w="57" w:type="dxa"/>
              <w:bottom w:w="0" w:type="dxa"/>
              <w:right w:w="57" w:type="dxa"/>
            </w:tcMar>
            <w:vAlign w:val="center"/>
          </w:tcPr>
          <w:p w14:paraId="65F61B8F">
            <w:pPr>
              <w:spacing w:line="240" w:lineRule="auto"/>
              <w:jc w:val="center"/>
              <w:rPr>
                <w:highlight w:val="none"/>
              </w:rPr>
            </w:pPr>
            <w:r>
              <w:rPr>
                <w:rFonts w:hint="eastAsia"/>
                <w:highlight w:val="none"/>
              </w:rPr>
              <w:t>/</w:t>
            </w:r>
          </w:p>
        </w:tc>
        <w:tc>
          <w:tcPr>
            <w:tcW w:w="3921" w:type="dxa"/>
            <w:gridSpan w:val="2"/>
            <w:tcMar>
              <w:top w:w="0" w:type="dxa"/>
              <w:left w:w="57" w:type="dxa"/>
              <w:bottom w:w="0" w:type="dxa"/>
              <w:right w:w="57" w:type="dxa"/>
            </w:tcMar>
            <w:vAlign w:val="center"/>
          </w:tcPr>
          <w:p w14:paraId="6C26334A">
            <w:pPr>
              <w:spacing w:line="240" w:lineRule="auto"/>
              <w:jc w:val="center"/>
              <w:rPr>
                <w:highlight w:val="none"/>
              </w:rPr>
            </w:pPr>
            <w:r>
              <w:rPr>
                <w:rFonts w:hint="eastAsia"/>
                <w:highlight w:val="none"/>
              </w:rPr>
              <w:t>/</w:t>
            </w:r>
          </w:p>
        </w:tc>
      </w:tr>
      <w:tr w14:paraId="3F065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664" w:type="dxa"/>
            <w:tcMar>
              <w:top w:w="0" w:type="dxa"/>
              <w:left w:w="57" w:type="dxa"/>
              <w:bottom w:w="0" w:type="dxa"/>
              <w:right w:w="57" w:type="dxa"/>
            </w:tcMar>
            <w:vAlign w:val="center"/>
          </w:tcPr>
          <w:p w14:paraId="74F22EBB">
            <w:pPr>
              <w:spacing w:line="240" w:lineRule="auto"/>
              <w:jc w:val="center"/>
              <w:rPr>
                <w:highlight w:val="none"/>
              </w:rPr>
            </w:pPr>
            <w:r>
              <w:rPr>
                <w:rFonts w:hint="eastAsia"/>
                <w:highlight w:val="none"/>
              </w:rPr>
              <w:t>固体废物</w:t>
            </w:r>
          </w:p>
        </w:tc>
        <w:tc>
          <w:tcPr>
            <w:tcW w:w="8618" w:type="dxa"/>
            <w:gridSpan w:val="5"/>
            <w:tcMar>
              <w:top w:w="0" w:type="dxa"/>
              <w:left w:w="57" w:type="dxa"/>
              <w:bottom w:w="0" w:type="dxa"/>
              <w:right w:w="57" w:type="dxa"/>
            </w:tcMar>
            <w:vAlign w:val="center"/>
          </w:tcPr>
          <w:p w14:paraId="2D1A61C1">
            <w:pPr>
              <w:spacing w:line="240" w:lineRule="auto"/>
              <w:jc w:val="left"/>
              <w:rPr>
                <w:highlight w:val="none"/>
              </w:rPr>
            </w:pPr>
            <w:r>
              <w:rPr>
                <w:rFonts w:hint="eastAsia"/>
                <w:highlight w:val="none"/>
              </w:rPr>
              <w:t>本项目运营期间产生的固体废物主要有生活垃圾、废树脂、废机油和含油抹布、手套。其中生活垃圾统一收集后，定期交由环卫部门统一清运；本项目纯水制备系统产生的废树脂不属于危险废物，更换的软水器组件时，由设备厂商带走回收再生利用，不在项目内暂存；废机油和含油抹布、手套暂存至项目内危废暂存间，定期交由有资质单位进行处理。</w:t>
            </w:r>
          </w:p>
        </w:tc>
      </w:tr>
      <w:tr w14:paraId="4780E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tcMar>
              <w:top w:w="0" w:type="dxa"/>
              <w:left w:w="57" w:type="dxa"/>
              <w:bottom w:w="0" w:type="dxa"/>
              <w:right w:w="57" w:type="dxa"/>
            </w:tcMar>
            <w:vAlign w:val="center"/>
          </w:tcPr>
          <w:p w14:paraId="5958DF31">
            <w:pPr>
              <w:spacing w:line="240" w:lineRule="auto"/>
              <w:jc w:val="center"/>
              <w:rPr>
                <w:highlight w:val="none"/>
              </w:rPr>
            </w:pPr>
            <w:r>
              <w:rPr>
                <w:rFonts w:hint="eastAsia"/>
                <w:highlight w:val="none"/>
              </w:rPr>
              <w:t>土壤及地下水</w:t>
            </w:r>
          </w:p>
          <w:p w14:paraId="24AD03F3">
            <w:pPr>
              <w:spacing w:line="240" w:lineRule="auto"/>
              <w:jc w:val="center"/>
              <w:rPr>
                <w:highlight w:val="none"/>
              </w:rPr>
            </w:pPr>
            <w:r>
              <w:rPr>
                <w:rFonts w:hint="eastAsia"/>
                <w:highlight w:val="none"/>
              </w:rPr>
              <w:t>污染防治措施</w:t>
            </w:r>
          </w:p>
        </w:tc>
        <w:tc>
          <w:tcPr>
            <w:tcW w:w="8618" w:type="dxa"/>
            <w:gridSpan w:val="5"/>
            <w:tcMar>
              <w:top w:w="0" w:type="dxa"/>
              <w:left w:w="57" w:type="dxa"/>
              <w:bottom w:w="0" w:type="dxa"/>
              <w:right w:w="57" w:type="dxa"/>
            </w:tcMar>
            <w:vAlign w:val="center"/>
          </w:tcPr>
          <w:p w14:paraId="09ADD949">
            <w:pPr>
              <w:spacing w:line="240" w:lineRule="auto"/>
              <w:jc w:val="center"/>
              <w:rPr>
                <w:highlight w:val="none"/>
              </w:rPr>
            </w:pPr>
            <w:r>
              <w:rPr>
                <w:rFonts w:hint="eastAsia"/>
                <w:highlight w:val="none"/>
              </w:rPr>
              <w:t>/</w:t>
            </w:r>
          </w:p>
        </w:tc>
      </w:tr>
      <w:tr w14:paraId="452D6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664" w:type="dxa"/>
            <w:tcMar>
              <w:top w:w="0" w:type="dxa"/>
              <w:left w:w="57" w:type="dxa"/>
              <w:bottom w:w="0" w:type="dxa"/>
              <w:right w:w="57" w:type="dxa"/>
            </w:tcMar>
            <w:vAlign w:val="center"/>
          </w:tcPr>
          <w:p w14:paraId="0E070B54">
            <w:pPr>
              <w:spacing w:line="240" w:lineRule="auto"/>
              <w:jc w:val="center"/>
              <w:rPr>
                <w:highlight w:val="none"/>
              </w:rPr>
            </w:pPr>
            <w:r>
              <w:rPr>
                <w:rFonts w:hint="eastAsia"/>
                <w:highlight w:val="none"/>
              </w:rPr>
              <w:t>生态保护措施</w:t>
            </w:r>
          </w:p>
        </w:tc>
        <w:tc>
          <w:tcPr>
            <w:tcW w:w="8618" w:type="dxa"/>
            <w:gridSpan w:val="5"/>
            <w:tcMar>
              <w:top w:w="0" w:type="dxa"/>
              <w:left w:w="57" w:type="dxa"/>
              <w:bottom w:w="0" w:type="dxa"/>
              <w:right w:w="57" w:type="dxa"/>
            </w:tcMar>
            <w:vAlign w:val="center"/>
          </w:tcPr>
          <w:p w14:paraId="135302DA">
            <w:pPr>
              <w:spacing w:line="240" w:lineRule="auto"/>
              <w:jc w:val="left"/>
              <w:rPr>
                <w:highlight w:val="none"/>
              </w:rPr>
            </w:pPr>
            <w:r>
              <w:rPr>
                <w:rFonts w:hint="eastAsia"/>
                <w:highlight w:val="none"/>
              </w:rPr>
              <w:t>项目所在地不侵占、不改变周边区域，且已形成以工业厂房和公路等为主的生态景观，因此本项目的建设和运营不改变当地以工业厂房和公路等为主的生态景观，项目对生态环境影响不大</w:t>
            </w:r>
          </w:p>
        </w:tc>
      </w:tr>
      <w:tr w14:paraId="5C929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tcMar>
              <w:top w:w="0" w:type="dxa"/>
              <w:left w:w="57" w:type="dxa"/>
              <w:bottom w:w="0" w:type="dxa"/>
              <w:right w:w="57" w:type="dxa"/>
            </w:tcMar>
            <w:vAlign w:val="center"/>
          </w:tcPr>
          <w:p w14:paraId="383B56C7">
            <w:pPr>
              <w:spacing w:line="240" w:lineRule="auto"/>
              <w:jc w:val="center"/>
              <w:rPr>
                <w:highlight w:val="none"/>
              </w:rPr>
            </w:pPr>
            <w:r>
              <w:rPr>
                <w:rFonts w:hint="eastAsia"/>
                <w:highlight w:val="none"/>
              </w:rPr>
              <w:t>环境风险</w:t>
            </w:r>
          </w:p>
          <w:p w14:paraId="16AA112A">
            <w:pPr>
              <w:spacing w:line="240" w:lineRule="auto"/>
              <w:jc w:val="center"/>
              <w:rPr>
                <w:highlight w:val="none"/>
              </w:rPr>
            </w:pPr>
            <w:r>
              <w:rPr>
                <w:rFonts w:hint="eastAsia"/>
                <w:highlight w:val="none"/>
              </w:rPr>
              <w:t>防范措施</w:t>
            </w:r>
          </w:p>
        </w:tc>
        <w:tc>
          <w:tcPr>
            <w:tcW w:w="8618" w:type="dxa"/>
            <w:gridSpan w:val="5"/>
            <w:tcMar>
              <w:top w:w="0" w:type="dxa"/>
              <w:left w:w="57" w:type="dxa"/>
              <w:bottom w:w="0" w:type="dxa"/>
              <w:right w:w="57" w:type="dxa"/>
            </w:tcMar>
            <w:vAlign w:val="center"/>
          </w:tcPr>
          <w:p w14:paraId="65FDCC25">
            <w:pPr>
              <w:spacing w:line="240" w:lineRule="auto"/>
              <w:rPr>
                <w:rFonts w:hint="eastAsia" w:eastAsia="宋体"/>
                <w:highlight w:val="none"/>
                <w:lang w:eastAsia="zh-CN"/>
              </w:rPr>
            </w:pPr>
            <w:r>
              <w:rPr>
                <w:rFonts w:hint="eastAsia"/>
                <w:highlight w:val="none"/>
                <w:lang w:eastAsia="zh-CN"/>
              </w:rPr>
              <w:t>详见本报告环境风险影响分析专章中“7.2环境风险防范措施”。</w:t>
            </w:r>
          </w:p>
        </w:tc>
      </w:tr>
      <w:tr w14:paraId="12FF4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64" w:type="dxa"/>
            <w:tcMar>
              <w:top w:w="0" w:type="dxa"/>
              <w:left w:w="57" w:type="dxa"/>
              <w:bottom w:w="0" w:type="dxa"/>
              <w:right w:w="57" w:type="dxa"/>
            </w:tcMar>
            <w:vAlign w:val="center"/>
          </w:tcPr>
          <w:p w14:paraId="177EAAA8">
            <w:pPr>
              <w:spacing w:line="240" w:lineRule="auto"/>
              <w:jc w:val="center"/>
              <w:rPr>
                <w:highlight w:val="none"/>
              </w:rPr>
            </w:pPr>
            <w:r>
              <w:rPr>
                <w:rFonts w:hint="eastAsia"/>
                <w:highlight w:val="none"/>
              </w:rPr>
              <w:t>其他环境</w:t>
            </w:r>
          </w:p>
          <w:p w14:paraId="27BA296E">
            <w:pPr>
              <w:spacing w:line="240" w:lineRule="auto"/>
              <w:jc w:val="center"/>
              <w:rPr>
                <w:highlight w:val="none"/>
              </w:rPr>
            </w:pPr>
            <w:r>
              <w:rPr>
                <w:rFonts w:hint="eastAsia"/>
                <w:highlight w:val="none"/>
              </w:rPr>
              <w:t>管理要求</w:t>
            </w:r>
          </w:p>
        </w:tc>
        <w:tc>
          <w:tcPr>
            <w:tcW w:w="8618" w:type="dxa"/>
            <w:gridSpan w:val="5"/>
            <w:tcMar>
              <w:top w:w="0" w:type="dxa"/>
              <w:left w:w="57" w:type="dxa"/>
              <w:bottom w:w="0" w:type="dxa"/>
              <w:right w:w="57" w:type="dxa"/>
            </w:tcMar>
            <w:vAlign w:val="center"/>
          </w:tcPr>
          <w:p w14:paraId="047303E1">
            <w:pPr>
              <w:spacing w:line="240" w:lineRule="auto"/>
              <w:ind w:firstLine="480" w:firstLineChars="200"/>
              <w:jc w:val="left"/>
              <w:rPr>
                <w:highlight w:val="none"/>
              </w:rPr>
            </w:pPr>
            <w:r>
              <w:rPr>
                <w:rFonts w:hint="eastAsia"/>
                <w:highlight w:val="none"/>
              </w:rPr>
              <w:t>1、排污许可</w:t>
            </w:r>
          </w:p>
          <w:p w14:paraId="5E988B58">
            <w:pPr>
              <w:spacing w:line="240" w:lineRule="auto"/>
              <w:ind w:firstLine="480" w:firstLineChars="200"/>
              <w:jc w:val="left"/>
              <w:rPr>
                <w:highlight w:val="none"/>
              </w:rPr>
            </w:pPr>
            <w:r>
              <w:rPr>
                <w:rFonts w:hint="eastAsia"/>
                <w:highlight w:val="none"/>
              </w:rPr>
              <w:t>根据《排污许可证管理办法（试行）》和《固定污染源排污许可分类管理名录（2019年版）》等相关政策文件，本项目属于“二十一、化学原料和化学制品制造业 26——肥料制造 262——氮肥制造 2621”，为重点管理</w:t>
            </w:r>
            <w:r>
              <w:rPr>
                <w:rFonts w:hint="eastAsia"/>
                <w:highlight w:val="none"/>
                <w:lang w:eastAsia="zh-CN"/>
              </w:rPr>
              <w:t>项目</w:t>
            </w:r>
            <w:r>
              <w:rPr>
                <w:rFonts w:hint="eastAsia"/>
                <w:highlight w:val="none"/>
              </w:rPr>
              <w:t>。因此，本项目需办理排污重点管理许可手续。</w:t>
            </w:r>
          </w:p>
          <w:p w14:paraId="07C8DEB1">
            <w:pPr>
              <w:spacing w:line="240" w:lineRule="auto"/>
              <w:ind w:firstLine="480" w:firstLineChars="200"/>
              <w:jc w:val="left"/>
              <w:rPr>
                <w:highlight w:val="none"/>
              </w:rPr>
            </w:pPr>
            <w:r>
              <w:rPr>
                <w:rFonts w:hint="eastAsia"/>
                <w:highlight w:val="none"/>
              </w:rPr>
              <w:t>2、竣工验收</w:t>
            </w:r>
          </w:p>
          <w:p w14:paraId="32B31F22">
            <w:pPr>
              <w:spacing w:line="240" w:lineRule="auto"/>
              <w:ind w:firstLine="480" w:firstLineChars="200"/>
              <w:jc w:val="left"/>
              <w:rPr>
                <w:highlight w:val="none"/>
              </w:rPr>
            </w:pPr>
            <w:r>
              <w:rPr>
                <w:rFonts w:hint="eastAsia"/>
                <w:highlight w:val="none"/>
              </w:rPr>
              <w:t>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p w14:paraId="3CBA2435">
            <w:pPr>
              <w:spacing w:line="240" w:lineRule="auto"/>
              <w:ind w:firstLine="480" w:firstLineChars="200"/>
              <w:jc w:val="left"/>
              <w:rPr>
                <w:highlight w:val="none"/>
              </w:rPr>
            </w:pPr>
          </w:p>
          <w:p w14:paraId="3047E0C7">
            <w:pPr>
              <w:spacing w:line="240" w:lineRule="auto"/>
              <w:ind w:firstLine="480" w:firstLineChars="200"/>
              <w:jc w:val="left"/>
              <w:rPr>
                <w:highlight w:val="none"/>
              </w:rPr>
            </w:pPr>
          </w:p>
          <w:p w14:paraId="3D8923C8">
            <w:pPr>
              <w:spacing w:line="240" w:lineRule="auto"/>
              <w:jc w:val="left"/>
              <w:rPr>
                <w:highlight w:val="none"/>
              </w:rPr>
            </w:pPr>
          </w:p>
          <w:p w14:paraId="45DDE1F9">
            <w:pPr>
              <w:spacing w:line="240" w:lineRule="auto"/>
              <w:ind w:firstLine="480" w:firstLineChars="200"/>
              <w:jc w:val="left"/>
              <w:rPr>
                <w:highlight w:val="none"/>
              </w:rPr>
            </w:pPr>
          </w:p>
          <w:p w14:paraId="19DE8258">
            <w:pPr>
              <w:spacing w:line="240" w:lineRule="auto"/>
              <w:ind w:firstLine="480" w:firstLineChars="200"/>
              <w:jc w:val="left"/>
              <w:rPr>
                <w:highlight w:val="none"/>
              </w:rPr>
            </w:pPr>
          </w:p>
          <w:p w14:paraId="61F2E225">
            <w:pPr>
              <w:spacing w:line="240" w:lineRule="auto"/>
              <w:ind w:firstLine="480" w:firstLineChars="200"/>
              <w:jc w:val="left"/>
              <w:rPr>
                <w:highlight w:val="none"/>
              </w:rPr>
            </w:pPr>
          </w:p>
          <w:p w14:paraId="79964A0A">
            <w:pPr>
              <w:spacing w:line="240" w:lineRule="auto"/>
              <w:ind w:firstLine="480" w:firstLineChars="200"/>
              <w:jc w:val="left"/>
              <w:rPr>
                <w:highlight w:val="none"/>
              </w:rPr>
            </w:pPr>
          </w:p>
        </w:tc>
      </w:tr>
    </w:tbl>
    <w:p w14:paraId="58A55A0A">
      <w:pPr>
        <w:spacing w:line="240" w:lineRule="auto"/>
        <w:jc w:val="center"/>
        <w:outlineLvl w:val="0"/>
        <w:rPr>
          <w:rFonts w:ascii="黑体" w:hAnsi="黑体" w:eastAsia="黑体"/>
          <w:snapToGrid w:val="0"/>
          <w:sz w:val="30"/>
          <w:szCs w:val="30"/>
        </w:rPr>
      </w:pPr>
      <w:r>
        <w:rPr>
          <w:snapToGrid w:val="0"/>
        </w:rPr>
        <w:br w:type="page"/>
      </w:r>
      <w:bookmarkStart w:id="7" w:name="_Toc1611"/>
      <w:r>
        <w:rPr>
          <w:rFonts w:hint="eastAsia" w:ascii="黑体" w:hAnsi="黑体" w:eastAsia="黑体"/>
          <w:snapToGrid w:val="0"/>
          <w:sz w:val="30"/>
          <w:szCs w:val="30"/>
        </w:rPr>
        <w:t>六、结论</w:t>
      </w:r>
      <w:bookmarkEnd w:id="7"/>
    </w:p>
    <w:tbl>
      <w:tblPr>
        <w:tblStyle w:val="11"/>
        <w:tblW w:w="92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00B0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220" w:type="dxa"/>
            <w:vAlign w:val="center"/>
          </w:tcPr>
          <w:p w14:paraId="51A730BB">
            <w:pPr>
              <w:ind w:firstLine="480" w:firstLineChars="200"/>
              <w:jc w:val="left"/>
              <w:rPr>
                <w:rFonts w:ascii="宋体" w:cs="宋体"/>
              </w:rPr>
            </w:pPr>
            <w:r>
              <w:rPr>
                <w:rFonts w:hint="eastAsia" w:ascii="宋体" w:cs="宋体"/>
              </w:rPr>
              <w:t>本项目符合国家和地方的产业政策，用地合法，选址合理。项目运营产生的各种污染物经过治理后可达到相关排放标准和环保法规的要求，对周围水环境、大气环境、声环境及生态环境的影响较小。项目在实施过程中，必须严格落实本评价提出的各项污染防治措施和相关管理规定，严格执行“三同时”制度，确保环保设施正常运转，确保污染物稳定达标排放的前提下，则项目对环境的影响是可以控制的，从环境保护角度分析，本项目建设是可行的。</w:t>
            </w:r>
          </w:p>
        </w:tc>
      </w:tr>
    </w:tbl>
    <w:p w14:paraId="3E7C434B">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FD8B52B">
      <w:pPr>
        <w:adjustRightInd w:val="0"/>
        <w:snapToGrid w:val="0"/>
        <w:spacing w:line="240" w:lineRule="auto"/>
        <w:outlineLvl w:val="0"/>
        <w:rPr>
          <w:rFonts w:ascii="黑体" w:hAnsi="黑体" w:eastAsia="黑体"/>
          <w:snapToGrid w:val="0"/>
          <w:sz w:val="32"/>
          <w:szCs w:val="32"/>
        </w:rPr>
      </w:pPr>
      <w:bookmarkStart w:id="8" w:name="_Toc3063"/>
      <w:r>
        <w:rPr>
          <w:rFonts w:hint="eastAsia" w:ascii="黑体" w:hAnsi="黑体" w:eastAsia="黑体"/>
          <w:snapToGrid w:val="0"/>
          <w:sz w:val="32"/>
          <w:szCs w:val="32"/>
        </w:rPr>
        <w:t>附表</w:t>
      </w:r>
      <w:bookmarkEnd w:id="8"/>
    </w:p>
    <w:p w14:paraId="1F2654E8">
      <w:pPr>
        <w:adjustRightInd w:val="0"/>
        <w:snapToGrid w:val="0"/>
        <w:spacing w:line="240" w:lineRule="auto"/>
        <w:jc w:val="center"/>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1"/>
        <w:tblW w:w="145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014"/>
        <w:gridCol w:w="1773"/>
        <w:gridCol w:w="1172"/>
        <w:gridCol w:w="1569"/>
        <w:gridCol w:w="1377"/>
        <w:gridCol w:w="1445"/>
        <w:gridCol w:w="1391"/>
        <w:gridCol w:w="1482"/>
      </w:tblGrid>
      <w:tr w14:paraId="51EC1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tcBorders>
              <w:tl2br w:val="single" w:color="auto" w:sz="4" w:space="0"/>
            </w:tcBorders>
            <w:tcMar>
              <w:left w:w="28" w:type="dxa"/>
              <w:right w:w="28" w:type="dxa"/>
            </w:tcMar>
            <w:vAlign w:val="center"/>
          </w:tcPr>
          <w:p w14:paraId="4701499F">
            <w:pPr>
              <w:adjustRightInd w:val="0"/>
              <w:snapToGrid w:val="0"/>
              <w:spacing w:line="240" w:lineRule="auto"/>
              <w:jc w:val="center"/>
              <w:rPr>
                <w:rFonts w:ascii="黑体" w:hAnsi="黑体" w:eastAsia="黑体" w:cs="宋体"/>
                <w:b/>
                <w:bCs/>
                <w:snapToGrid w:val="0"/>
                <w:color w:val="000000"/>
                <w:spacing w:val="-6"/>
                <w:kern w:val="21"/>
                <w:sz w:val="21"/>
                <w:szCs w:val="21"/>
              </w:rPr>
            </w:pPr>
            <w:r>
              <w:rPr>
                <w:rFonts w:hint="eastAsia" w:ascii="黑体" w:hAnsi="黑体" w:eastAsia="黑体" w:cs="宋体"/>
                <w:b/>
                <w:bCs/>
                <w:snapToGrid w:val="0"/>
                <w:color w:val="000000"/>
                <w:spacing w:val="-6"/>
                <w:kern w:val="21"/>
                <w:sz w:val="21"/>
                <w:szCs w:val="21"/>
              </w:rPr>
              <w:t>项目</w:t>
            </w:r>
          </w:p>
          <w:p w14:paraId="5D3C797A">
            <w:pPr>
              <w:adjustRightInd w:val="0"/>
              <w:snapToGrid w:val="0"/>
              <w:spacing w:line="240" w:lineRule="auto"/>
              <w:jc w:val="center"/>
              <w:rPr>
                <w:rFonts w:ascii="黑体" w:hAnsi="黑体" w:eastAsia="黑体" w:cs="宋体"/>
                <w:b/>
                <w:bCs/>
                <w:snapToGrid w:val="0"/>
                <w:color w:val="000000"/>
                <w:spacing w:val="-6"/>
                <w:kern w:val="21"/>
                <w:sz w:val="21"/>
                <w:szCs w:val="21"/>
              </w:rPr>
            </w:pPr>
          </w:p>
          <w:p w14:paraId="24F38EFA">
            <w:pPr>
              <w:adjustRightInd w:val="0"/>
              <w:snapToGrid w:val="0"/>
              <w:spacing w:line="240" w:lineRule="auto"/>
              <w:jc w:val="left"/>
              <w:rPr>
                <w:rFonts w:ascii="黑体" w:hAnsi="黑体" w:eastAsia="黑体" w:cs="宋体"/>
                <w:b/>
                <w:bCs/>
                <w:snapToGrid w:val="0"/>
                <w:color w:val="000000"/>
                <w:spacing w:val="-6"/>
                <w:kern w:val="21"/>
                <w:sz w:val="21"/>
                <w:szCs w:val="21"/>
              </w:rPr>
            </w:pPr>
            <w:r>
              <w:rPr>
                <w:rFonts w:hint="eastAsia" w:ascii="黑体" w:hAnsi="黑体" w:eastAsia="黑体" w:cs="宋体"/>
                <w:b/>
                <w:bCs/>
                <w:snapToGrid w:val="0"/>
                <w:color w:val="000000"/>
                <w:spacing w:val="-6"/>
                <w:kern w:val="21"/>
                <w:sz w:val="21"/>
                <w:szCs w:val="21"/>
              </w:rPr>
              <w:t>分类</w:t>
            </w:r>
          </w:p>
        </w:tc>
        <w:tc>
          <w:tcPr>
            <w:tcW w:w="3014" w:type="dxa"/>
            <w:tcMar>
              <w:left w:w="28" w:type="dxa"/>
              <w:right w:w="28" w:type="dxa"/>
            </w:tcMar>
            <w:vAlign w:val="center"/>
          </w:tcPr>
          <w:p w14:paraId="6D43E6FA">
            <w:pPr>
              <w:adjustRightInd w:val="0"/>
              <w:snapToGrid w:val="0"/>
              <w:spacing w:line="240" w:lineRule="auto"/>
              <w:jc w:val="center"/>
              <w:rPr>
                <w:rFonts w:ascii="黑体" w:hAnsi="黑体" w:eastAsia="黑体" w:cs="宋体"/>
                <w:b/>
                <w:bCs/>
                <w:snapToGrid w:val="0"/>
                <w:color w:val="000000"/>
                <w:spacing w:val="-6"/>
                <w:kern w:val="21"/>
                <w:sz w:val="21"/>
                <w:szCs w:val="21"/>
              </w:rPr>
            </w:pPr>
            <w:r>
              <w:rPr>
                <w:rFonts w:hint="eastAsia" w:ascii="黑体" w:hAnsi="黑体" w:eastAsia="黑体" w:cs="宋体"/>
                <w:b/>
                <w:bCs/>
                <w:snapToGrid w:val="0"/>
                <w:color w:val="000000"/>
                <w:spacing w:val="-6"/>
                <w:kern w:val="21"/>
                <w:sz w:val="21"/>
                <w:szCs w:val="21"/>
              </w:rPr>
              <w:t>污染物名称</w:t>
            </w:r>
          </w:p>
        </w:tc>
        <w:tc>
          <w:tcPr>
            <w:tcW w:w="1773" w:type="dxa"/>
            <w:tcMar>
              <w:left w:w="28" w:type="dxa"/>
              <w:right w:w="28" w:type="dxa"/>
            </w:tcMar>
            <w:vAlign w:val="center"/>
          </w:tcPr>
          <w:p w14:paraId="0991D1A2">
            <w:pPr>
              <w:adjustRightInd w:val="0"/>
              <w:snapToGrid w:val="0"/>
              <w:spacing w:line="240" w:lineRule="auto"/>
              <w:jc w:val="center"/>
              <w:rPr>
                <w:rFonts w:ascii="黑体" w:hAnsi="黑体" w:eastAsia="黑体"/>
                <w:b/>
                <w:bCs/>
                <w:snapToGrid w:val="0"/>
                <w:color w:val="000000"/>
                <w:spacing w:val="-6"/>
                <w:kern w:val="21"/>
                <w:sz w:val="21"/>
                <w:szCs w:val="21"/>
              </w:rPr>
            </w:pPr>
            <w:r>
              <w:rPr>
                <w:rFonts w:ascii="黑体" w:hAnsi="黑体" w:eastAsia="黑体"/>
                <w:b/>
                <w:bCs/>
                <w:snapToGrid w:val="0"/>
                <w:color w:val="000000"/>
                <w:spacing w:val="-6"/>
                <w:kern w:val="21"/>
                <w:sz w:val="21"/>
                <w:szCs w:val="21"/>
              </w:rPr>
              <w:t>现有工程排放量（固</w:t>
            </w:r>
            <w:r>
              <w:rPr>
                <w:rFonts w:hint="eastAsia" w:ascii="黑体" w:hAnsi="黑体" w:eastAsia="黑体"/>
                <w:b/>
                <w:bCs/>
                <w:snapToGrid w:val="0"/>
                <w:color w:val="000000"/>
                <w:spacing w:val="-6"/>
                <w:kern w:val="21"/>
                <w:sz w:val="21"/>
                <w:szCs w:val="21"/>
              </w:rPr>
              <w:t>体</w:t>
            </w:r>
            <w:r>
              <w:rPr>
                <w:rFonts w:ascii="黑体" w:hAnsi="黑体" w:eastAsia="黑体"/>
                <w:b/>
                <w:bCs/>
                <w:snapToGrid w:val="0"/>
                <w:color w:val="000000"/>
                <w:spacing w:val="-6"/>
                <w:kern w:val="21"/>
                <w:sz w:val="21"/>
                <w:szCs w:val="21"/>
              </w:rPr>
              <w:t>废</w:t>
            </w:r>
            <w:r>
              <w:rPr>
                <w:rFonts w:hint="eastAsia" w:ascii="黑体" w:hAnsi="黑体" w:eastAsia="黑体"/>
                <w:b/>
                <w:bCs/>
                <w:snapToGrid w:val="0"/>
                <w:color w:val="000000"/>
                <w:spacing w:val="-6"/>
                <w:kern w:val="21"/>
                <w:sz w:val="21"/>
                <w:szCs w:val="21"/>
              </w:rPr>
              <w:t>物</w:t>
            </w:r>
            <w:r>
              <w:rPr>
                <w:rFonts w:ascii="黑体" w:hAnsi="黑体" w:eastAsia="黑体"/>
                <w:b/>
                <w:bCs/>
                <w:snapToGrid w:val="0"/>
                <w:color w:val="000000"/>
                <w:spacing w:val="-6"/>
                <w:kern w:val="21"/>
                <w:sz w:val="21"/>
                <w:szCs w:val="21"/>
              </w:rPr>
              <w:t>产生量）</w:t>
            </w:r>
            <w:r>
              <w:rPr>
                <w:rFonts w:ascii="黑体" w:hAnsi="黑体" w:eastAsia="黑体"/>
                <w:b/>
                <w:bCs/>
                <w:snapToGrid w:val="0"/>
                <w:color w:val="000000"/>
                <w:spacing w:val="-6"/>
                <w:kern w:val="21"/>
                <w:sz w:val="21"/>
                <w:szCs w:val="21"/>
              </w:rPr>
              <w:fldChar w:fldCharType="begin"/>
            </w:r>
            <w:r>
              <w:rPr>
                <w:rFonts w:ascii="黑体" w:hAnsi="黑体" w:eastAsia="黑体"/>
                <w:b/>
                <w:bCs/>
                <w:snapToGrid w:val="0"/>
                <w:color w:val="000000"/>
                <w:spacing w:val="-6"/>
                <w:kern w:val="21"/>
                <w:sz w:val="21"/>
                <w:szCs w:val="21"/>
              </w:rPr>
              <w:instrText xml:space="preserve"> = 1 \* GB3 \* MERGEFORMAT </w:instrText>
            </w:r>
            <w:r>
              <w:rPr>
                <w:rFonts w:ascii="黑体" w:hAnsi="黑体" w:eastAsia="黑体"/>
                <w:b/>
                <w:bCs/>
                <w:snapToGrid w:val="0"/>
                <w:color w:val="000000"/>
                <w:spacing w:val="-6"/>
                <w:kern w:val="21"/>
                <w:sz w:val="21"/>
                <w:szCs w:val="21"/>
              </w:rPr>
              <w:fldChar w:fldCharType="separate"/>
            </w:r>
            <w:r>
              <w:rPr>
                <w:rFonts w:hint="eastAsia" w:ascii="黑体" w:hAnsi="黑体" w:eastAsia="黑体" w:cs="宋体"/>
                <w:b/>
                <w:bCs/>
                <w:color w:val="000000"/>
                <w:sz w:val="21"/>
                <w:szCs w:val="21"/>
              </w:rPr>
              <w:t>①</w:t>
            </w:r>
            <w:r>
              <w:rPr>
                <w:rFonts w:ascii="黑体" w:hAnsi="黑体" w:eastAsia="黑体"/>
                <w:b/>
                <w:bCs/>
                <w:snapToGrid w:val="0"/>
                <w:color w:val="000000"/>
                <w:spacing w:val="-6"/>
                <w:kern w:val="21"/>
                <w:sz w:val="21"/>
                <w:szCs w:val="21"/>
              </w:rPr>
              <w:fldChar w:fldCharType="end"/>
            </w:r>
          </w:p>
        </w:tc>
        <w:tc>
          <w:tcPr>
            <w:tcW w:w="1172" w:type="dxa"/>
            <w:tcMar>
              <w:left w:w="28" w:type="dxa"/>
              <w:right w:w="28" w:type="dxa"/>
            </w:tcMar>
            <w:vAlign w:val="center"/>
          </w:tcPr>
          <w:p w14:paraId="3E74A138">
            <w:pPr>
              <w:adjustRightInd w:val="0"/>
              <w:snapToGrid w:val="0"/>
              <w:spacing w:line="240" w:lineRule="auto"/>
              <w:jc w:val="center"/>
              <w:rPr>
                <w:rFonts w:ascii="黑体" w:hAnsi="黑体" w:eastAsia="黑体"/>
                <w:b/>
                <w:bCs/>
                <w:snapToGrid w:val="0"/>
                <w:color w:val="000000"/>
                <w:spacing w:val="-6"/>
                <w:kern w:val="21"/>
                <w:sz w:val="21"/>
                <w:szCs w:val="21"/>
              </w:rPr>
            </w:pPr>
            <w:r>
              <w:rPr>
                <w:rFonts w:ascii="黑体" w:hAnsi="黑体" w:eastAsia="黑体"/>
                <w:b/>
                <w:bCs/>
                <w:snapToGrid w:val="0"/>
                <w:color w:val="000000"/>
                <w:spacing w:val="-6"/>
                <w:kern w:val="21"/>
                <w:sz w:val="21"/>
                <w:szCs w:val="21"/>
              </w:rPr>
              <w:t>现有工程许可排放量</w:t>
            </w:r>
            <w:r>
              <w:rPr>
                <w:rFonts w:ascii="黑体" w:hAnsi="黑体" w:eastAsia="黑体"/>
                <w:b/>
                <w:bCs/>
                <w:snapToGrid w:val="0"/>
                <w:color w:val="000000"/>
                <w:spacing w:val="-6"/>
                <w:kern w:val="21"/>
                <w:sz w:val="21"/>
                <w:szCs w:val="21"/>
              </w:rPr>
              <w:fldChar w:fldCharType="begin"/>
            </w:r>
            <w:r>
              <w:rPr>
                <w:rFonts w:ascii="黑体" w:hAnsi="黑体" w:eastAsia="黑体"/>
                <w:b/>
                <w:bCs/>
                <w:snapToGrid w:val="0"/>
                <w:color w:val="000000"/>
                <w:spacing w:val="-6"/>
                <w:kern w:val="21"/>
                <w:sz w:val="21"/>
                <w:szCs w:val="21"/>
              </w:rPr>
              <w:instrText xml:space="preserve"> = 2 \* GB3 \* MERGEFORMAT </w:instrText>
            </w:r>
            <w:r>
              <w:rPr>
                <w:rFonts w:ascii="黑体" w:hAnsi="黑体" w:eastAsia="黑体"/>
                <w:b/>
                <w:bCs/>
                <w:snapToGrid w:val="0"/>
                <w:color w:val="000000"/>
                <w:spacing w:val="-6"/>
                <w:kern w:val="21"/>
                <w:sz w:val="21"/>
                <w:szCs w:val="21"/>
              </w:rPr>
              <w:fldChar w:fldCharType="separate"/>
            </w:r>
            <w:r>
              <w:rPr>
                <w:rFonts w:hint="eastAsia" w:ascii="黑体" w:hAnsi="黑体" w:eastAsia="黑体" w:cs="宋体"/>
                <w:b/>
                <w:bCs/>
                <w:snapToGrid w:val="0"/>
                <w:color w:val="000000"/>
                <w:spacing w:val="-6"/>
                <w:kern w:val="21"/>
                <w:sz w:val="21"/>
                <w:szCs w:val="21"/>
              </w:rPr>
              <w:t>②</w:t>
            </w:r>
            <w:r>
              <w:rPr>
                <w:rFonts w:ascii="黑体" w:hAnsi="黑体" w:eastAsia="黑体"/>
                <w:b/>
                <w:bCs/>
                <w:snapToGrid w:val="0"/>
                <w:color w:val="000000"/>
                <w:spacing w:val="-6"/>
                <w:kern w:val="21"/>
                <w:sz w:val="21"/>
                <w:szCs w:val="21"/>
              </w:rPr>
              <w:fldChar w:fldCharType="end"/>
            </w:r>
          </w:p>
        </w:tc>
        <w:tc>
          <w:tcPr>
            <w:tcW w:w="1569" w:type="dxa"/>
            <w:tcMar>
              <w:left w:w="28" w:type="dxa"/>
              <w:right w:w="28" w:type="dxa"/>
            </w:tcMar>
            <w:vAlign w:val="center"/>
          </w:tcPr>
          <w:p w14:paraId="7F7EB114">
            <w:pPr>
              <w:adjustRightInd w:val="0"/>
              <w:snapToGrid w:val="0"/>
              <w:spacing w:line="240" w:lineRule="auto"/>
              <w:jc w:val="center"/>
              <w:rPr>
                <w:rFonts w:ascii="黑体" w:hAnsi="黑体" w:eastAsia="黑体"/>
                <w:b/>
                <w:bCs/>
                <w:snapToGrid w:val="0"/>
                <w:color w:val="000000"/>
                <w:spacing w:val="-6"/>
                <w:kern w:val="21"/>
                <w:sz w:val="21"/>
                <w:szCs w:val="21"/>
              </w:rPr>
            </w:pPr>
            <w:r>
              <w:rPr>
                <w:rFonts w:ascii="黑体" w:hAnsi="黑体" w:eastAsia="黑体"/>
                <w:b/>
                <w:bCs/>
                <w:snapToGrid w:val="0"/>
                <w:color w:val="000000"/>
                <w:spacing w:val="-6"/>
                <w:kern w:val="21"/>
                <w:sz w:val="21"/>
                <w:szCs w:val="21"/>
              </w:rPr>
              <w:t>在建工程排放量（固</w:t>
            </w:r>
            <w:r>
              <w:rPr>
                <w:rFonts w:hint="eastAsia" w:ascii="黑体" w:hAnsi="黑体" w:eastAsia="黑体"/>
                <w:b/>
                <w:bCs/>
                <w:snapToGrid w:val="0"/>
                <w:color w:val="000000"/>
                <w:spacing w:val="-6"/>
                <w:kern w:val="21"/>
                <w:sz w:val="21"/>
                <w:szCs w:val="21"/>
              </w:rPr>
              <w:t>体</w:t>
            </w:r>
            <w:r>
              <w:rPr>
                <w:rFonts w:ascii="黑体" w:hAnsi="黑体" w:eastAsia="黑体"/>
                <w:b/>
                <w:bCs/>
                <w:snapToGrid w:val="0"/>
                <w:color w:val="000000"/>
                <w:spacing w:val="-6"/>
                <w:kern w:val="21"/>
                <w:sz w:val="21"/>
                <w:szCs w:val="21"/>
              </w:rPr>
              <w:t>废</w:t>
            </w:r>
            <w:r>
              <w:rPr>
                <w:rFonts w:hint="eastAsia" w:ascii="黑体" w:hAnsi="黑体" w:eastAsia="黑体"/>
                <w:b/>
                <w:bCs/>
                <w:snapToGrid w:val="0"/>
                <w:color w:val="000000"/>
                <w:spacing w:val="-6"/>
                <w:kern w:val="21"/>
                <w:sz w:val="21"/>
                <w:szCs w:val="21"/>
              </w:rPr>
              <w:t>物</w:t>
            </w:r>
            <w:r>
              <w:rPr>
                <w:rFonts w:ascii="黑体" w:hAnsi="黑体" w:eastAsia="黑体"/>
                <w:b/>
                <w:bCs/>
                <w:snapToGrid w:val="0"/>
                <w:color w:val="000000"/>
                <w:spacing w:val="-6"/>
                <w:kern w:val="21"/>
                <w:sz w:val="21"/>
                <w:szCs w:val="21"/>
              </w:rPr>
              <w:t>产生量）</w:t>
            </w:r>
            <w:r>
              <w:rPr>
                <w:rFonts w:ascii="黑体" w:hAnsi="黑体" w:eastAsia="黑体"/>
                <w:b/>
                <w:bCs/>
                <w:snapToGrid w:val="0"/>
                <w:color w:val="000000"/>
                <w:spacing w:val="-6"/>
                <w:kern w:val="21"/>
                <w:sz w:val="21"/>
                <w:szCs w:val="21"/>
              </w:rPr>
              <w:fldChar w:fldCharType="begin"/>
            </w:r>
            <w:r>
              <w:rPr>
                <w:rFonts w:ascii="黑体" w:hAnsi="黑体" w:eastAsia="黑体"/>
                <w:b/>
                <w:bCs/>
                <w:snapToGrid w:val="0"/>
                <w:color w:val="000000"/>
                <w:spacing w:val="-6"/>
                <w:kern w:val="21"/>
                <w:sz w:val="21"/>
                <w:szCs w:val="21"/>
              </w:rPr>
              <w:instrText xml:space="preserve"> = 3 \* GB3 \* MERGEFORMAT </w:instrText>
            </w:r>
            <w:r>
              <w:rPr>
                <w:rFonts w:ascii="黑体" w:hAnsi="黑体" w:eastAsia="黑体"/>
                <w:b/>
                <w:bCs/>
                <w:snapToGrid w:val="0"/>
                <w:color w:val="000000"/>
                <w:spacing w:val="-6"/>
                <w:kern w:val="21"/>
                <w:sz w:val="21"/>
                <w:szCs w:val="21"/>
              </w:rPr>
              <w:fldChar w:fldCharType="separate"/>
            </w:r>
            <w:r>
              <w:rPr>
                <w:rFonts w:hint="eastAsia" w:ascii="黑体" w:hAnsi="黑体" w:eastAsia="黑体" w:cs="宋体"/>
                <w:b/>
                <w:bCs/>
                <w:color w:val="000000"/>
                <w:sz w:val="21"/>
                <w:szCs w:val="21"/>
              </w:rPr>
              <w:t>③</w:t>
            </w:r>
            <w:r>
              <w:rPr>
                <w:rFonts w:ascii="黑体" w:hAnsi="黑体" w:eastAsia="黑体"/>
                <w:b/>
                <w:bCs/>
                <w:snapToGrid w:val="0"/>
                <w:color w:val="000000"/>
                <w:spacing w:val="-6"/>
                <w:kern w:val="21"/>
                <w:sz w:val="21"/>
                <w:szCs w:val="21"/>
              </w:rPr>
              <w:fldChar w:fldCharType="end"/>
            </w:r>
          </w:p>
        </w:tc>
        <w:tc>
          <w:tcPr>
            <w:tcW w:w="1377" w:type="dxa"/>
            <w:tcMar>
              <w:left w:w="28" w:type="dxa"/>
              <w:right w:w="28" w:type="dxa"/>
            </w:tcMar>
            <w:vAlign w:val="center"/>
          </w:tcPr>
          <w:p w14:paraId="7A69A305">
            <w:pPr>
              <w:adjustRightInd w:val="0"/>
              <w:snapToGrid w:val="0"/>
              <w:spacing w:line="240" w:lineRule="auto"/>
              <w:jc w:val="center"/>
              <w:rPr>
                <w:rFonts w:ascii="黑体" w:hAnsi="黑体" w:eastAsia="黑体"/>
                <w:b/>
                <w:bCs/>
                <w:snapToGrid w:val="0"/>
                <w:color w:val="000000"/>
                <w:spacing w:val="-6"/>
                <w:kern w:val="21"/>
                <w:sz w:val="21"/>
                <w:szCs w:val="21"/>
              </w:rPr>
            </w:pPr>
            <w:r>
              <w:rPr>
                <w:rFonts w:ascii="黑体" w:hAnsi="黑体" w:eastAsia="黑体"/>
                <w:b/>
                <w:bCs/>
                <w:snapToGrid w:val="0"/>
                <w:color w:val="000000"/>
                <w:spacing w:val="-6"/>
                <w:kern w:val="21"/>
                <w:sz w:val="21"/>
                <w:szCs w:val="21"/>
              </w:rPr>
              <w:t>本项目排放量（固</w:t>
            </w:r>
            <w:r>
              <w:rPr>
                <w:rFonts w:hint="eastAsia" w:ascii="黑体" w:hAnsi="黑体" w:eastAsia="黑体"/>
                <w:b/>
                <w:bCs/>
                <w:snapToGrid w:val="0"/>
                <w:color w:val="000000"/>
                <w:spacing w:val="-6"/>
                <w:kern w:val="21"/>
                <w:sz w:val="21"/>
                <w:szCs w:val="21"/>
              </w:rPr>
              <w:t>体</w:t>
            </w:r>
            <w:r>
              <w:rPr>
                <w:rFonts w:ascii="黑体" w:hAnsi="黑体" w:eastAsia="黑体"/>
                <w:b/>
                <w:bCs/>
                <w:snapToGrid w:val="0"/>
                <w:color w:val="000000"/>
                <w:spacing w:val="-6"/>
                <w:kern w:val="21"/>
                <w:sz w:val="21"/>
                <w:szCs w:val="21"/>
              </w:rPr>
              <w:t>废</w:t>
            </w:r>
            <w:r>
              <w:rPr>
                <w:rFonts w:hint="eastAsia" w:ascii="黑体" w:hAnsi="黑体" w:eastAsia="黑体"/>
                <w:b/>
                <w:bCs/>
                <w:snapToGrid w:val="0"/>
                <w:color w:val="000000"/>
                <w:spacing w:val="-6"/>
                <w:kern w:val="21"/>
                <w:sz w:val="21"/>
                <w:szCs w:val="21"/>
              </w:rPr>
              <w:t>物</w:t>
            </w:r>
            <w:r>
              <w:rPr>
                <w:rFonts w:ascii="黑体" w:hAnsi="黑体" w:eastAsia="黑体"/>
                <w:b/>
                <w:bCs/>
                <w:snapToGrid w:val="0"/>
                <w:color w:val="000000"/>
                <w:spacing w:val="-6"/>
                <w:kern w:val="21"/>
                <w:sz w:val="21"/>
                <w:szCs w:val="21"/>
              </w:rPr>
              <w:t>产生量）</w:t>
            </w:r>
            <w:r>
              <w:rPr>
                <w:rFonts w:ascii="黑体" w:hAnsi="黑体" w:eastAsia="黑体"/>
                <w:b/>
                <w:bCs/>
                <w:snapToGrid w:val="0"/>
                <w:color w:val="000000"/>
                <w:spacing w:val="-6"/>
                <w:kern w:val="21"/>
                <w:sz w:val="21"/>
                <w:szCs w:val="21"/>
              </w:rPr>
              <w:fldChar w:fldCharType="begin"/>
            </w:r>
            <w:r>
              <w:rPr>
                <w:rFonts w:ascii="黑体" w:hAnsi="黑体" w:eastAsia="黑体"/>
                <w:b/>
                <w:bCs/>
                <w:snapToGrid w:val="0"/>
                <w:color w:val="000000"/>
                <w:spacing w:val="-6"/>
                <w:kern w:val="21"/>
                <w:sz w:val="21"/>
                <w:szCs w:val="21"/>
              </w:rPr>
              <w:instrText xml:space="preserve"> = 4 \* GB3 \* MERGEFORMAT </w:instrText>
            </w:r>
            <w:r>
              <w:rPr>
                <w:rFonts w:ascii="黑体" w:hAnsi="黑体" w:eastAsia="黑体"/>
                <w:b/>
                <w:bCs/>
                <w:snapToGrid w:val="0"/>
                <w:color w:val="000000"/>
                <w:spacing w:val="-6"/>
                <w:kern w:val="21"/>
                <w:sz w:val="21"/>
                <w:szCs w:val="21"/>
              </w:rPr>
              <w:fldChar w:fldCharType="separate"/>
            </w:r>
            <w:r>
              <w:rPr>
                <w:rFonts w:hint="eastAsia" w:ascii="黑体" w:hAnsi="黑体" w:eastAsia="黑体" w:cs="宋体"/>
                <w:b/>
                <w:bCs/>
                <w:color w:val="000000"/>
                <w:sz w:val="21"/>
                <w:szCs w:val="21"/>
              </w:rPr>
              <w:t>④</w:t>
            </w:r>
            <w:r>
              <w:rPr>
                <w:rFonts w:ascii="黑体" w:hAnsi="黑体" w:eastAsia="黑体"/>
                <w:b/>
                <w:bCs/>
                <w:snapToGrid w:val="0"/>
                <w:color w:val="000000"/>
                <w:spacing w:val="-6"/>
                <w:kern w:val="21"/>
                <w:sz w:val="21"/>
                <w:szCs w:val="21"/>
              </w:rPr>
              <w:fldChar w:fldCharType="end"/>
            </w:r>
          </w:p>
        </w:tc>
        <w:tc>
          <w:tcPr>
            <w:tcW w:w="1445" w:type="dxa"/>
            <w:tcMar>
              <w:left w:w="28" w:type="dxa"/>
              <w:right w:w="28" w:type="dxa"/>
            </w:tcMar>
            <w:vAlign w:val="center"/>
          </w:tcPr>
          <w:p w14:paraId="2D9118A6">
            <w:pPr>
              <w:adjustRightInd w:val="0"/>
              <w:snapToGrid w:val="0"/>
              <w:spacing w:line="240" w:lineRule="auto"/>
              <w:jc w:val="center"/>
              <w:rPr>
                <w:rFonts w:ascii="黑体" w:hAnsi="黑体" w:eastAsia="黑体"/>
                <w:b/>
                <w:bCs/>
                <w:snapToGrid w:val="0"/>
                <w:color w:val="000000"/>
                <w:spacing w:val="-16"/>
                <w:kern w:val="21"/>
                <w:sz w:val="21"/>
                <w:szCs w:val="21"/>
              </w:rPr>
            </w:pPr>
            <w:r>
              <w:rPr>
                <w:rFonts w:ascii="黑体" w:hAnsi="黑体" w:eastAsia="黑体"/>
                <w:b/>
                <w:bCs/>
                <w:snapToGrid w:val="0"/>
                <w:color w:val="000000"/>
                <w:spacing w:val="-16"/>
                <w:kern w:val="21"/>
                <w:sz w:val="21"/>
                <w:szCs w:val="21"/>
              </w:rPr>
              <w:t>以新带老削减量（新建项目不填）</w:t>
            </w:r>
            <w:r>
              <w:rPr>
                <w:rFonts w:ascii="黑体" w:hAnsi="黑体" w:eastAsia="黑体"/>
                <w:b/>
                <w:bCs/>
                <w:snapToGrid w:val="0"/>
                <w:color w:val="000000"/>
                <w:spacing w:val="-16"/>
                <w:kern w:val="21"/>
                <w:sz w:val="21"/>
                <w:szCs w:val="21"/>
              </w:rPr>
              <w:fldChar w:fldCharType="begin"/>
            </w:r>
            <w:r>
              <w:rPr>
                <w:rFonts w:ascii="黑体" w:hAnsi="黑体" w:eastAsia="黑体"/>
                <w:b/>
                <w:bCs/>
                <w:snapToGrid w:val="0"/>
                <w:color w:val="000000"/>
                <w:spacing w:val="-16"/>
                <w:kern w:val="21"/>
                <w:sz w:val="21"/>
                <w:szCs w:val="21"/>
              </w:rPr>
              <w:instrText xml:space="preserve"> = 5 \* GB3 \* MERGEFORMAT </w:instrText>
            </w:r>
            <w:r>
              <w:rPr>
                <w:rFonts w:ascii="黑体" w:hAnsi="黑体" w:eastAsia="黑体"/>
                <w:b/>
                <w:bCs/>
                <w:snapToGrid w:val="0"/>
                <w:color w:val="000000"/>
                <w:spacing w:val="-16"/>
                <w:kern w:val="21"/>
                <w:sz w:val="21"/>
                <w:szCs w:val="21"/>
              </w:rPr>
              <w:fldChar w:fldCharType="separate"/>
            </w:r>
            <w:r>
              <w:rPr>
                <w:rFonts w:hint="eastAsia" w:ascii="黑体" w:hAnsi="黑体" w:eastAsia="黑体" w:cs="宋体"/>
                <w:b/>
                <w:bCs/>
                <w:color w:val="000000"/>
                <w:sz w:val="21"/>
                <w:szCs w:val="21"/>
              </w:rPr>
              <w:t>⑤</w:t>
            </w:r>
            <w:r>
              <w:rPr>
                <w:rFonts w:ascii="黑体" w:hAnsi="黑体" w:eastAsia="黑体"/>
                <w:b/>
                <w:bCs/>
                <w:snapToGrid w:val="0"/>
                <w:color w:val="000000"/>
                <w:spacing w:val="-16"/>
                <w:kern w:val="21"/>
                <w:sz w:val="21"/>
                <w:szCs w:val="21"/>
              </w:rPr>
              <w:fldChar w:fldCharType="end"/>
            </w:r>
          </w:p>
        </w:tc>
        <w:tc>
          <w:tcPr>
            <w:tcW w:w="1391" w:type="dxa"/>
            <w:tcMar>
              <w:left w:w="28" w:type="dxa"/>
              <w:right w:w="28" w:type="dxa"/>
            </w:tcMar>
            <w:vAlign w:val="center"/>
          </w:tcPr>
          <w:p w14:paraId="2669D72C">
            <w:pPr>
              <w:adjustRightInd w:val="0"/>
              <w:snapToGrid w:val="0"/>
              <w:spacing w:line="240" w:lineRule="auto"/>
              <w:jc w:val="center"/>
              <w:rPr>
                <w:rFonts w:ascii="黑体" w:hAnsi="黑体" w:eastAsia="黑体"/>
                <w:b/>
                <w:bCs/>
                <w:snapToGrid w:val="0"/>
                <w:color w:val="000000"/>
                <w:spacing w:val="-16"/>
                <w:kern w:val="21"/>
                <w:sz w:val="21"/>
                <w:szCs w:val="21"/>
              </w:rPr>
            </w:pPr>
            <w:r>
              <w:rPr>
                <w:rFonts w:ascii="黑体" w:hAnsi="黑体" w:eastAsia="黑体"/>
                <w:b/>
                <w:bCs/>
                <w:snapToGrid w:val="0"/>
                <w:color w:val="000000"/>
                <w:spacing w:val="-16"/>
                <w:kern w:val="21"/>
                <w:sz w:val="21"/>
                <w:szCs w:val="21"/>
              </w:rPr>
              <w:t>本项目建成后</w:t>
            </w:r>
            <w:r>
              <w:rPr>
                <w:rFonts w:hint="eastAsia" w:ascii="黑体" w:hAnsi="黑体" w:eastAsia="黑体"/>
                <w:b/>
                <w:bCs/>
                <w:snapToGrid w:val="0"/>
                <w:color w:val="000000"/>
                <w:spacing w:val="-16"/>
                <w:kern w:val="21"/>
                <w:sz w:val="21"/>
                <w:szCs w:val="21"/>
              </w:rPr>
              <w:t>全厂</w:t>
            </w:r>
            <w:r>
              <w:rPr>
                <w:rFonts w:ascii="黑体" w:hAnsi="黑体" w:eastAsia="黑体"/>
                <w:b/>
                <w:bCs/>
                <w:snapToGrid w:val="0"/>
                <w:color w:val="000000"/>
                <w:spacing w:val="-16"/>
                <w:kern w:val="21"/>
                <w:sz w:val="21"/>
                <w:szCs w:val="21"/>
              </w:rPr>
              <w:t>排放量（固</w:t>
            </w:r>
            <w:r>
              <w:rPr>
                <w:rFonts w:hint="eastAsia" w:ascii="黑体" w:hAnsi="黑体" w:eastAsia="黑体"/>
                <w:b/>
                <w:bCs/>
                <w:snapToGrid w:val="0"/>
                <w:color w:val="000000"/>
                <w:spacing w:val="-16"/>
                <w:kern w:val="21"/>
                <w:sz w:val="21"/>
                <w:szCs w:val="21"/>
              </w:rPr>
              <w:t>体</w:t>
            </w:r>
            <w:r>
              <w:rPr>
                <w:rFonts w:ascii="黑体" w:hAnsi="黑体" w:eastAsia="黑体"/>
                <w:b/>
                <w:bCs/>
                <w:snapToGrid w:val="0"/>
                <w:color w:val="000000"/>
                <w:spacing w:val="-16"/>
                <w:kern w:val="21"/>
                <w:sz w:val="21"/>
                <w:szCs w:val="21"/>
              </w:rPr>
              <w:t>废</w:t>
            </w:r>
            <w:r>
              <w:rPr>
                <w:rFonts w:hint="eastAsia" w:ascii="黑体" w:hAnsi="黑体" w:eastAsia="黑体"/>
                <w:b/>
                <w:bCs/>
                <w:snapToGrid w:val="0"/>
                <w:color w:val="000000"/>
                <w:spacing w:val="-16"/>
                <w:kern w:val="21"/>
                <w:sz w:val="21"/>
                <w:szCs w:val="21"/>
              </w:rPr>
              <w:t>物</w:t>
            </w:r>
            <w:r>
              <w:rPr>
                <w:rFonts w:ascii="黑体" w:hAnsi="黑体" w:eastAsia="黑体"/>
                <w:b/>
                <w:bCs/>
                <w:snapToGrid w:val="0"/>
                <w:color w:val="000000"/>
                <w:spacing w:val="-16"/>
                <w:kern w:val="21"/>
                <w:sz w:val="21"/>
                <w:szCs w:val="21"/>
              </w:rPr>
              <w:t>产生量）</w:t>
            </w:r>
            <w:r>
              <w:rPr>
                <w:rFonts w:ascii="黑体" w:hAnsi="黑体" w:eastAsia="黑体"/>
                <w:b/>
                <w:bCs/>
                <w:snapToGrid w:val="0"/>
                <w:color w:val="000000"/>
                <w:spacing w:val="-16"/>
                <w:kern w:val="21"/>
                <w:sz w:val="21"/>
                <w:szCs w:val="21"/>
              </w:rPr>
              <w:fldChar w:fldCharType="begin"/>
            </w:r>
            <w:r>
              <w:rPr>
                <w:rFonts w:ascii="黑体" w:hAnsi="黑体" w:eastAsia="黑体"/>
                <w:b/>
                <w:bCs/>
                <w:snapToGrid w:val="0"/>
                <w:color w:val="000000"/>
                <w:spacing w:val="-16"/>
                <w:kern w:val="21"/>
                <w:sz w:val="21"/>
                <w:szCs w:val="21"/>
              </w:rPr>
              <w:instrText xml:space="preserve"> = 6 \* GB3 \* MERGEFORMAT </w:instrText>
            </w:r>
            <w:r>
              <w:rPr>
                <w:rFonts w:ascii="黑体" w:hAnsi="黑体" w:eastAsia="黑体"/>
                <w:b/>
                <w:bCs/>
                <w:snapToGrid w:val="0"/>
                <w:color w:val="000000"/>
                <w:spacing w:val="-16"/>
                <w:kern w:val="21"/>
                <w:sz w:val="21"/>
                <w:szCs w:val="21"/>
              </w:rPr>
              <w:fldChar w:fldCharType="separate"/>
            </w:r>
            <w:r>
              <w:rPr>
                <w:rFonts w:hint="eastAsia" w:ascii="黑体" w:hAnsi="黑体" w:eastAsia="黑体" w:cs="宋体"/>
                <w:b/>
                <w:bCs/>
                <w:color w:val="000000"/>
                <w:sz w:val="21"/>
                <w:szCs w:val="21"/>
              </w:rPr>
              <w:t>⑥</w:t>
            </w:r>
            <w:r>
              <w:rPr>
                <w:rFonts w:ascii="黑体" w:hAnsi="黑体" w:eastAsia="黑体"/>
                <w:b/>
                <w:bCs/>
                <w:snapToGrid w:val="0"/>
                <w:color w:val="000000"/>
                <w:spacing w:val="-16"/>
                <w:kern w:val="21"/>
                <w:sz w:val="21"/>
                <w:szCs w:val="21"/>
              </w:rPr>
              <w:fldChar w:fldCharType="end"/>
            </w:r>
          </w:p>
        </w:tc>
        <w:tc>
          <w:tcPr>
            <w:tcW w:w="1482" w:type="dxa"/>
            <w:tcMar>
              <w:left w:w="28" w:type="dxa"/>
              <w:right w:w="28" w:type="dxa"/>
            </w:tcMar>
            <w:vAlign w:val="center"/>
          </w:tcPr>
          <w:p w14:paraId="43AE4834">
            <w:pPr>
              <w:adjustRightInd w:val="0"/>
              <w:snapToGrid w:val="0"/>
              <w:spacing w:line="240" w:lineRule="auto"/>
              <w:jc w:val="center"/>
              <w:rPr>
                <w:rFonts w:ascii="黑体" w:hAnsi="黑体" w:eastAsia="黑体"/>
                <w:b/>
                <w:bCs/>
                <w:snapToGrid w:val="0"/>
                <w:color w:val="000000"/>
                <w:spacing w:val="-6"/>
                <w:kern w:val="21"/>
                <w:sz w:val="21"/>
                <w:szCs w:val="21"/>
              </w:rPr>
            </w:pPr>
            <w:r>
              <w:rPr>
                <w:rFonts w:ascii="黑体" w:hAnsi="黑体" w:eastAsia="黑体"/>
                <w:b/>
                <w:bCs/>
                <w:snapToGrid w:val="0"/>
                <w:color w:val="000000"/>
                <w:spacing w:val="-6"/>
                <w:kern w:val="21"/>
                <w:sz w:val="21"/>
                <w:szCs w:val="21"/>
              </w:rPr>
              <w:t>变化量</w:t>
            </w:r>
          </w:p>
          <w:p w14:paraId="542DD629">
            <w:pPr>
              <w:adjustRightInd w:val="0"/>
              <w:snapToGrid w:val="0"/>
              <w:spacing w:line="240" w:lineRule="auto"/>
              <w:jc w:val="center"/>
              <w:rPr>
                <w:rFonts w:ascii="黑体" w:hAnsi="黑体" w:eastAsia="黑体"/>
                <w:b/>
                <w:bCs/>
                <w:snapToGrid w:val="0"/>
                <w:color w:val="000000"/>
                <w:spacing w:val="-6"/>
                <w:kern w:val="21"/>
                <w:sz w:val="21"/>
                <w:szCs w:val="21"/>
              </w:rPr>
            </w:pPr>
            <w:r>
              <w:rPr>
                <w:rFonts w:ascii="黑体" w:hAnsi="黑体" w:eastAsia="黑体"/>
                <w:b/>
                <w:bCs/>
                <w:snapToGrid w:val="0"/>
                <w:color w:val="000000"/>
                <w:spacing w:val="-6"/>
                <w:kern w:val="21"/>
                <w:sz w:val="21"/>
                <w:szCs w:val="21"/>
              </w:rPr>
              <w:fldChar w:fldCharType="begin"/>
            </w:r>
            <w:r>
              <w:rPr>
                <w:rFonts w:ascii="黑体" w:hAnsi="黑体" w:eastAsia="黑体"/>
                <w:b/>
                <w:bCs/>
                <w:snapToGrid w:val="0"/>
                <w:color w:val="000000"/>
                <w:spacing w:val="-6"/>
                <w:kern w:val="21"/>
                <w:sz w:val="21"/>
                <w:szCs w:val="21"/>
              </w:rPr>
              <w:instrText xml:space="preserve"> = 7 \* GB3 \* MERGEFORMAT </w:instrText>
            </w:r>
            <w:r>
              <w:rPr>
                <w:rFonts w:ascii="黑体" w:hAnsi="黑体" w:eastAsia="黑体"/>
                <w:b/>
                <w:bCs/>
                <w:snapToGrid w:val="0"/>
                <w:color w:val="000000"/>
                <w:spacing w:val="-6"/>
                <w:kern w:val="21"/>
                <w:sz w:val="21"/>
                <w:szCs w:val="21"/>
              </w:rPr>
              <w:fldChar w:fldCharType="separate"/>
            </w:r>
            <w:r>
              <w:rPr>
                <w:rFonts w:hint="eastAsia" w:ascii="黑体" w:hAnsi="黑体" w:eastAsia="黑体" w:cs="宋体"/>
                <w:b/>
                <w:bCs/>
                <w:color w:val="000000"/>
                <w:sz w:val="21"/>
                <w:szCs w:val="21"/>
              </w:rPr>
              <w:t>⑦</w:t>
            </w:r>
            <w:r>
              <w:rPr>
                <w:rFonts w:ascii="黑体" w:hAnsi="黑体" w:eastAsia="黑体"/>
                <w:b/>
                <w:bCs/>
                <w:snapToGrid w:val="0"/>
                <w:color w:val="000000"/>
                <w:spacing w:val="-6"/>
                <w:kern w:val="21"/>
                <w:sz w:val="21"/>
                <w:szCs w:val="21"/>
              </w:rPr>
              <w:fldChar w:fldCharType="end"/>
            </w:r>
          </w:p>
        </w:tc>
      </w:tr>
      <w:tr w14:paraId="14D8A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Align w:val="center"/>
          </w:tcPr>
          <w:p w14:paraId="0763336D">
            <w:pPr>
              <w:adjustRightInd w:val="0"/>
              <w:snapToGrid w:val="0"/>
              <w:spacing w:line="240" w:lineRule="auto"/>
              <w:jc w:val="center"/>
              <w:rPr>
                <w:rFonts w:hAnsi="宋体" w:cs="宋体"/>
                <w:snapToGrid w:val="0"/>
                <w:color w:val="000000"/>
                <w:kern w:val="21"/>
                <w:sz w:val="21"/>
                <w:szCs w:val="21"/>
              </w:rPr>
            </w:pPr>
            <w:r>
              <w:rPr>
                <w:rFonts w:hint="eastAsia" w:hAnsi="宋体" w:cs="宋体"/>
                <w:snapToGrid w:val="0"/>
                <w:color w:val="000000"/>
                <w:kern w:val="21"/>
                <w:sz w:val="21"/>
                <w:szCs w:val="21"/>
              </w:rPr>
              <w:t>废气</w:t>
            </w:r>
          </w:p>
        </w:tc>
        <w:tc>
          <w:tcPr>
            <w:tcW w:w="3014" w:type="dxa"/>
            <w:vAlign w:val="center"/>
          </w:tcPr>
          <w:p w14:paraId="7AB75265">
            <w:pPr>
              <w:adjustRightInd w:val="0"/>
              <w:snapToGrid w:val="0"/>
              <w:spacing w:line="240" w:lineRule="auto"/>
              <w:jc w:val="center"/>
              <w:rPr>
                <w:rFonts w:hint="eastAsia" w:hAnsi="宋体" w:eastAsia="宋体" w:cs="宋体"/>
                <w:snapToGrid w:val="0"/>
                <w:color w:val="000000" w:themeColor="text1"/>
                <w:kern w:val="21"/>
                <w:sz w:val="21"/>
                <w:szCs w:val="21"/>
                <w:highlight w:val="none"/>
                <w:lang w:eastAsia="zh-CN"/>
                <w14:textFill>
                  <w14:solidFill>
                    <w14:schemeClr w14:val="tx1"/>
                  </w14:solidFill>
                </w14:textFill>
              </w:rPr>
            </w:pPr>
            <w:r>
              <w:rPr>
                <w:rFonts w:hint="eastAsia" w:hAnsi="宋体" w:cs="宋体"/>
                <w:snapToGrid w:val="0"/>
                <w:color w:val="000000" w:themeColor="text1"/>
                <w:kern w:val="21"/>
                <w:sz w:val="21"/>
                <w:szCs w:val="21"/>
                <w:highlight w:val="none"/>
                <w:lang w:eastAsia="zh-CN"/>
                <w14:textFill>
                  <w14:solidFill>
                    <w14:schemeClr w14:val="tx1"/>
                  </w14:solidFill>
                </w14:textFill>
              </w:rPr>
              <w:t>氨</w:t>
            </w:r>
          </w:p>
        </w:tc>
        <w:tc>
          <w:tcPr>
            <w:tcW w:w="1773" w:type="dxa"/>
            <w:vAlign w:val="center"/>
          </w:tcPr>
          <w:p w14:paraId="696DECB6">
            <w:pPr>
              <w:adjustRightInd w:val="0"/>
              <w:snapToGrid w:val="0"/>
              <w:spacing w:line="240" w:lineRule="auto"/>
              <w:jc w:val="center"/>
              <w:rPr>
                <w:rFonts w:hint="eastAsia" w:hAnsi="宋体" w:eastAsia="宋体" w:cs="宋体"/>
                <w:snapToGrid w:val="0"/>
                <w:color w:val="000000" w:themeColor="text1"/>
                <w:kern w:val="21"/>
                <w:sz w:val="21"/>
                <w:szCs w:val="21"/>
                <w:highlight w:val="none"/>
                <w:lang w:eastAsia="zh-CN"/>
                <w14:textFill>
                  <w14:solidFill>
                    <w14:schemeClr w14:val="tx1"/>
                  </w14:solidFill>
                </w14:textFill>
              </w:rPr>
            </w:pPr>
            <w:r>
              <w:rPr>
                <w:rFonts w:hint="eastAsia"/>
                <w:color w:val="000000" w:themeColor="text1"/>
                <w:kern w:val="0"/>
                <w:sz w:val="21"/>
                <w:szCs w:val="20"/>
                <w:highlight w:val="none"/>
                <w:lang w:val="en-US" w:eastAsia="zh-CN"/>
                <w14:textFill>
                  <w14:solidFill>
                    <w14:schemeClr w14:val="tx1"/>
                  </w14:solidFill>
                </w14:textFill>
              </w:rPr>
              <w:t>0</w:t>
            </w:r>
          </w:p>
        </w:tc>
        <w:tc>
          <w:tcPr>
            <w:tcW w:w="1172" w:type="dxa"/>
            <w:vAlign w:val="center"/>
          </w:tcPr>
          <w:p w14:paraId="2C289B8E">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569" w:type="dxa"/>
            <w:vAlign w:val="center"/>
          </w:tcPr>
          <w:p w14:paraId="6395B0BD">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377" w:type="dxa"/>
            <w:vAlign w:val="center"/>
          </w:tcPr>
          <w:p w14:paraId="11BF47D5">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1.082</w:t>
            </w:r>
            <w:r>
              <w:rPr>
                <w:rFonts w:hint="eastAsia" w:hAnsi="宋体" w:cs="宋体"/>
                <w:snapToGrid w:val="0"/>
                <w:color w:val="000000" w:themeColor="text1"/>
                <w:kern w:val="21"/>
                <w:sz w:val="21"/>
                <w:szCs w:val="21"/>
                <w:highlight w:val="none"/>
                <w14:textFill>
                  <w14:solidFill>
                    <w14:schemeClr w14:val="tx1"/>
                  </w14:solidFill>
                </w14:textFill>
              </w:rPr>
              <w:t>t/a</w:t>
            </w:r>
          </w:p>
        </w:tc>
        <w:tc>
          <w:tcPr>
            <w:tcW w:w="1445" w:type="dxa"/>
            <w:vAlign w:val="center"/>
          </w:tcPr>
          <w:p w14:paraId="4C7AFC3B">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391" w:type="dxa"/>
            <w:vAlign w:val="center"/>
          </w:tcPr>
          <w:p w14:paraId="34C738EE">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1.</w:t>
            </w:r>
            <w:r>
              <w:rPr>
                <w:rFonts w:hint="eastAsia" w:hAnsi="宋体" w:cs="宋体"/>
                <w:snapToGrid w:val="0"/>
                <w:color w:val="000000" w:themeColor="text1"/>
                <w:kern w:val="21"/>
                <w:sz w:val="21"/>
                <w:szCs w:val="21"/>
                <w:highlight w:val="none"/>
                <w:lang w:val="en-US" w:eastAsia="zh-CN"/>
                <w14:textFill>
                  <w14:solidFill>
                    <w14:schemeClr w14:val="tx1"/>
                  </w14:solidFill>
                </w14:textFill>
              </w:rPr>
              <w:t>082</w:t>
            </w:r>
            <w:r>
              <w:rPr>
                <w:rFonts w:hint="eastAsia" w:hAnsi="宋体" w:cs="宋体"/>
                <w:snapToGrid w:val="0"/>
                <w:color w:val="000000" w:themeColor="text1"/>
                <w:kern w:val="21"/>
                <w:sz w:val="21"/>
                <w:szCs w:val="21"/>
                <w:highlight w:val="none"/>
                <w14:textFill>
                  <w14:solidFill>
                    <w14:schemeClr w14:val="tx1"/>
                  </w14:solidFill>
                </w14:textFill>
              </w:rPr>
              <w:t>t/a</w:t>
            </w:r>
          </w:p>
        </w:tc>
        <w:tc>
          <w:tcPr>
            <w:tcW w:w="1482" w:type="dxa"/>
            <w:vAlign w:val="center"/>
          </w:tcPr>
          <w:p w14:paraId="4D2D275C">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+1.</w:t>
            </w:r>
            <w:r>
              <w:rPr>
                <w:rFonts w:hint="eastAsia" w:hAnsi="宋体" w:cs="宋体"/>
                <w:snapToGrid w:val="0"/>
                <w:color w:val="000000" w:themeColor="text1"/>
                <w:kern w:val="21"/>
                <w:sz w:val="21"/>
                <w:szCs w:val="21"/>
                <w:highlight w:val="none"/>
                <w:lang w:val="en-US" w:eastAsia="zh-CN"/>
                <w14:textFill>
                  <w14:solidFill>
                    <w14:schemeClr w14:val="tx1"/>
                  </w14:solidFill>
                </w14:textFill>
              </w:rPr>
              <w:t>082</w:t>
            </w:r>
            <w:r>
              <w:rPr>
                <w:rFonts w:hint="eastAsia" w:hAnsi="宋体" w:cs="宋体"/>
                <w:snapToGrid w:val="0"/>
                <w:color w:val="000000" w:themeColor="text1"/>
                <w:kern w:val="21"/>
                <w:sz w:val="21"/>
                <w:szCs w:val="21"/>
                <w:highlight w:val="none"/>
                <w14:textFill>
                  <w14:solidFill>
                    <w14:schemeClr w14:val="tx1"/>
                  </w14:solidFill>
                </w14:textFill>
              </w:rPr>
              <w:t>t/a</w:t>
            </w:r>
          </w:p>
        </w:tc>
      </w:tr>
      <w:tr w14:paraId="6ABB5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restart"/>
            <w:vAlign w:val="center"/>
          </w:tcPr>
          <w:p w14:paraId="64EA1181">
            <w:pPr>
              <w:adjustRightInd w:val="0"/>
              <w:snapToGrid w:val="0"/>
              <w:spacing w:line="240" w:lineRule="auto"/>
              <w:jc w:val="center"/>
              <w:rPr>
                <w:rFonts w:hAnsi="宋体" w:cs="宋体"/>
                <w:snapToGrid w:val="0"/>
                <w:color w:val="000000"/>
                <w:kern w:val="21"/>
                <w:sz w:val="21"/>
                <w:szCs w:val="21"/>
              </w:rPr>
            </w:pPr>
            <w:r>
              <w:rPr>
                <w:rFonts w:hint="eastAsia" w:hAnsi="宋体" w:cs="宋体"/>
                <w:snapToGrid w:val="0"/>
                <w:color w:val="000000"/>
                <w:kern w:val="21"/>
                <w:sz w:val="21"/>
                <w:szCs w:val="21"/>
              </w:rPr>
              <w:t>废水</w:t>
            </w:r>
          </w:p>
        </w:tc>
        <w:tc>
          <w:tcPr>
            <w:tcW w:w="3014" w:type="dxa"/>
            <w:vAlign w:val="center"/>
          </w:tcPr>
          <w:p w14:paraId="20DBCFB3">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COD</w:t>
            </w:r>
            <w:r>
              <w:rPr>
                <w:rFonts w:hint="eastAsia"/>
                <w:color w:val="000000" w:themeColor="text1"/>
                <w:sz w:val="21"/>
                <w:highlight w:val="none"/>
                <w:vertAlign w:val="subscript"/>
                <w14:textFill>
                  <w14:solidFill>
                    <w14:schemeClr w14:val="tx1"/>
                  </w14:solidFill>
                </w14:textFill>
              </w:rPr>
              <w:t>Cr</w:t>
            </w:r>
          </w:p>
        </w:tc>
        <w:tc>
          <w:tcPr>
            <w:tcW w:w="1773" w:type="dxa"/>
            <w:vAlign w:val="center"/>
          </w:tcPr>
          <w:p w14:paraId="3613EC76">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172" w:type="dxa"/>
            <w:vAlign w:val="center"/>
          </w:tcPr>
          <w:p w14:paraId="7737D472">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569" w:type="dxa"/>
            <w:vAlign w:val="center"/>
          </w:tcPr>
          <w:p w14:paraId="6A7E886C">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77" w:type="dxa"/>
            <w:vAlign w:val="center"/>
          </w:tcPr>
          <w:p w14:paraId="6B04FDCA">
            <w:pPr>
              <w:pStyle w:val="14"/>
              <w:bidi w:val="0"/>
              <w:rPr>
                <w:color w:val="000000" w:themeColor="text1"/>
                <w:sz w:val="21"/>
                <w:highlight w:val="none"/>
                <w14:textFill>
                  <w14:solidFill>
                    <w14:schemeClr w14:val="tx1"/>
                  </w14:solidFill>
                </w14:textFill>
              </w:rPr>
            </w:pPr>
            <w:r>
              <w:rPr>
                <w:rFonts w:hint="eastAsia"/>
                <w:lang w:val="en-US" w:eastAsia="zh-CN"/>
              </w:rPr>
              <w:t>0.0663t/a</w:t>
            </w:r>
          </w:p>
        </w:tc>
        <w:tc>
          <w:tcPr>
            <w:tcW w:w="1445" w:type="dxa"/>
            <w:vAlign w:val="center"/>
          </w:tcPr>
          <w:p w14:paraId="038457D1">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74EE5BC2">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0.0663t/a</w:t>
            </w:r>
          </w:p>
        </w:tc>
        <w:tc>
          <w:tcPr>
            <w:tcW w:w="1482" w:type="dxa"/>
            <w:vAlign w:val="center"/>
          </w:tcPr>
          <w:p w14:paraId="445469AC">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+0.0663t/a</w:t>
            </w:r>
          </w:p>
        </w:tc>
      </w:tr>
      <w:tr w14:paraId="2FC1E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54651A47">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6954FC3D">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BOD</w:t>
            </w:r>
            <w:r>
              <w:rPr>
                <w:rFonts w:hint="eastAsia"/>
                <w:color w:val="000000" w:themeColor="text1"/>
                <w:sz w:val="21"/>
                <w:highlight w:val="none"/>
                <w:vertAlign w:val="subscript"/>
                <w14:textFill>
                  <w14:solidFill>
                    <w14:schemeClr w14:val="tx1"/>
                  </w14:solidFill>
                </w14:textFill>
              </w:rPr>
              <w:t>5</w:t>
            </w:r>
          </w:p>
        </w:tc>
        <w:tc>
          <w:tcPr>
            <w:tcW w:w="1773" w:type="dxa"/>
            <w:vAlign w:val="center"/>
          </w:tcPr>
          <w:p w14:paraId="5FA0F383">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172" w:type="dxa"/>
            <w:vAlign w:val="center"/>
          </w:tcPr>
          <w:p w14:paraId="59F73C12">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569" w:type="dxa"/>
            <w:vAlign w:val="center"/>
          </w:tcPr>
          <w:p w14:paraId="13007524">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77" w:type="dxa"/>
            <w:vAlign w:val="center"/>
          </w:tcPr>
          <w:p w14:paraId="409BC24A">
            <w:pPr>
              <w:pStyle w:val="14"/>
              <w:bidi w:val="0"/>
              <w:rPr>
                <w:color w:val="000000" w:themeColor="text1"/>
                <w:sz w:val="21"/>
                <w:highlight w:val="none"/>
                <w14:textFill>
                  <w14:solidFill>
                    <w14:schemeClr w14:val="tx1"/>
                  </w14:solidFill>
                </w14:textFill>
              </w:rPr>
            </w:pPr>
            <w:r>
              <w:rPr>
                <w:rFonts w:hint="eastAsia"/>
                <w:lang w:val="en-US" w:eastAsia="zh-CN"/>
              </w:rPr>
              <w:t>0.021t/a</w:t>
            </w:r>
          </w:p>
        </w:tc>
        <w:tc>
          <w:tcPr>
            <w:tcW w:w="1445" w:type="dxa"/>
            <w:vAlign w:val="center"/>
          </w:tcPr>
          <w:p w14:paraId="033618CD">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1F70B1D9">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0.021t/a</w:t>
            </w:r>
          </w:p>
        </w:tc>
        <w:tc>
          <w:tcPr>
            <w:tcW w:w="1482" w:type="dxa"/>
            <w:vAlign w:val="center"/>
          </w:tcPr>
          <w:p w14:paraId="0D6AD1C3">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+0.021t/a</w:t>
            </w:r>
          </w:p>
        </w:tc>
      </w:tr>
      <w:tr w14:paraId="3054C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141B4052">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62F8E2B3">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悬浮物</w:t>
            </w:r>
          </w:p>
        </w:tc>
        <w:tc>
          <w:tcPr>
            <w:tcW w:w="1773" w:type="dxa"/>
            <w:vAlign w:val="center"/>
          </w:tcPr>
          <w:p w14:paraId="00EF75AA">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172" w:type="dxa"/>
            <w:vAlign w:val="center"/>
          </w:tcPr>
          <w:p w14:paraId="3AC5AC8B">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569" w:type="dxa"/>
            <w:vAlign w:val="center"/>
          </w:tcPr>
          <w:p w14:paraId="63DF16D5">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77" w:type="dxa"/>
            <w:vAlign w:val="center"/>
          </w:tcPr>
          <w:p w14:paraId="1BCF6B15">
            <w:pPr>
              <w:pStyle w:val="14"/>
              <w:bidi w:val="0"/>
              <w:rPr>
                <w:color w:val="000000" w:themeColor="text1"/>
                <w:sz w:val="21"/>
                <w:highlight w:val="none"/>
                <w14:textFill>
                  <w14:solidFill>
                    <w14:schemeClr w14:val="tx1"/>
                  </w14:solidFill>
                </w14:textFill>
              </w:rPr>
            </w:pPr>
            <w:r>
              <w:rPr>
                <w:rFonts w:hint="eastAsia"/>
                <w:lang w:val="en-US" w:eastAsia="zh-CN"/>
              </w:rPr>
              <w:t>0.0043t/a</w:t>
            </w:r>
          </w:p>
        </w:tc>
        <w:tc>
          <w:tcPr>
            <w:tcW w:w="1445" w:type="dxa"/>
            <w:vAlign w:val="center"/>
          </w:tcPr>
          <w:p w14:paraId="135680E2">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5F6915BF">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0.0043t/a</w:t>
            </w:r>
          </w:p>
        </w:tc>
        <w:tc>
          <w:tcPr>
            <w:tcW w:w="1482" w:type="dxa"/>
            <w:vAlign w:val="center"/>
          </w:tcPr>
          <w:p w14:paraId="7640EACD">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+0.0043t/a</w:t>
            </w:r>
          </w:p>
        </w:tc>
      </w:tr>
      <w:tr w14:paraId="7963C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13DC2972">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72FD44B1">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氨氮</w:t>
            </w:r>
          </w:p>
        </w:tc>
        <w:tc>
          <w:tcPr>
            <w:tcW w:w="1773" w:type="dxa"/>
            <w:vAlign w:val="center"/>
          </w:tcPr>
          <w:p w14:paraId="49A91EEB">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172" w:type="dxa"/>
            <w:vAlign w:val="center"/>
          </w:tcPr>
          <w:p w14:paraId="0A9B5F84">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569" w:type="dxa"/>
            <w:vAlign w:val="center"/>
          </w:tcPr>
          <w:p w14:paraId="56AD7AC0">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77" w:type="dxa"/>
            <w:vAlign w:val="center"/>
          </w:tcPr>
          <w:p w14:paraId="3741053C">
            <w:pPr>
              <w:pStyle w:val="14"/>
              <w:bidi w:val="0"/>
              <w:rPr>
                <w:color w:val="000000" w:themeColor="text1"/>
                <w:sz w:val="21"/>
                <w:highlight w:val="none"/>
                <w14:textFill>
                  <w14:solidFill>
                    <w14:schemeClr w14:val="tx1"/>
                  </w14:solidFill>
                </w14:textFill>
              </w:rPr>
            </w:pPr>
            <w:r>
              <w:rPr>
                <w:rFonts w:hint="eastAsia"/>
                <w:lang w:val="en-US" w:eastAsia="zh-CN"/>
              </w:rPr>
              <w:t>0.0113t/a</w:t>
            </w:r>
          </w:p>
        </w:tc>
        <w:tc>
          <w:tcPr>
            <w:tcW w:w="1445" w:type="dxa"/>
            <w:vAlign w:val="center"/>
          </w:tcPr>
          <w:p w14:paraId="796FCE4E">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1F116AE5">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0.0113t/a</w:t>
            </w:r>
          </w:p>
        </w:tc>
        <w:tc>
          <w:tcPr>
            <w:tcW w:w="1482" w:type="dxa"/>
            <w:vAlign w:val="center"/>
          </w:tcPr>
          <w:p w14:paraId="24944B7C">
            <w:pPr>
              <w:pStyle w:val="14"/>
              <w:bidi w:val="0"/>
              <w:rPr>
                <w:color w:val="000000" w:themeColor="text1"/>
                <w:sz w:val="21"/>
                <w:highlight w:val="none"/>
                <w14:textFill>
                  <w14:solidFill>
                    <w14:schemeClr w14:val="tx1"/>
                  </w14:solidFill>
                </w14:textFill>
              </w:rPr>
            </w:pPr>
            <w:r>
              <w:rPr>
                <w:rFonts w:hint="eastAsia"/>
                <w:lang w:val="en-US" w:eastAsia="zh-CN"/>
              </w:rPr>
              <w:t>+0.0113t/a</w:t>
            </w:r>
          </w:p>
        </w:tc>
      </w:tr>
      <w:tr w14:paraId="7B4AA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7A93B5A3">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736774F5">
            <w:pPr>
              <w:adjustRightInd w:val="0"/>
              <w:snapToGrid w:val="0"/>
              <w:spacing w:line="240" w:lineRule="auto"/>
              <w:jc w:val="center"/>
              <w:rPr>
                <w:rFonts w:hint="eastAsia" w:eastAsia="宋体"/>
                <w:color w:val="000000" w:themeColor="text1"/>
                <w:sz w:val="21"/>
                <w:highlight w:val="none"/>
                <w:lang w:eastAsia="zh-CN"/>
                <w14:textFill>
                  <w14:solidFill>
                    <w14:schemeClr w14:val="tx1"/>
                  </w14:solidFill>
                </w14:textFill>
              </w:rPr>
            </w:pPr>
            <w:r>
              <w:rPr>
                <w:rFonts w:hint="eastAsia"/>
                <w:color w:val="000000" w:themeColor="text1"/>
                <w:sz w:val="21"/>
                <w:highlight w:val="none"/>
                <w:lang w:eastAsia="zh-CN"/>
                <w14:textFill>
                  <w14:solidFill>
                    <w14:schemeClr w14:val="tx1"/>
                  </w14:solidFill>
                </w14:textFill>
              </w:rPr>
              <w:t>总磷</w:t>
            </w:r>
          </w:p>
        </w:tc>
        <w:tc>
          <w:tcPr>
            <w:tcW w:w="1773" w:type="dxa"/>
            <w:vAlign w:val="center"/>
          </w:tcPr>
          <w:p w14:paraId="2DF44560">
            <w:pPr>
              <w:adjustRightInd w:val="0"/>
              <w:snapToGrid w:val="0"/>
              <w:spacing w:line="240" w:lineRule="auto"/>
              <w:jc w:val="center"/>
              <w:rPr>
                <w:rFonts w:hint="eastAsia"/>
                <w:color w:val="000000" w:themeColor="text1"/>
                <w:sz w:val="21"/>
                <w:highlight w:val="none"/>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172" w:type="dxa"/>
            <w:vAlign w:val="center"/>
          </w:tcPr>
          <w:p w14:paraId="643149BD">
            <w:pPr>
              <w:adjustRightInd w:val="0"/>
              <w:snapToGrid w:val="0"/>
              <w:spacing w:line="240" w:lineRule="auto"/>
              <w:jc w:val="center"/>
              <w:rPr>
                <w:rFonts w:hint="eastAsia" w:hAnsi="宋体" w:eastAsia="宋体" w:cs="宋体"/>
                <w:snapToGrid w:val="0"/>
                <w:color w:val="000000" w:themeColor="text1"/>
                <w:kern w:val="21"/>
                <w:sz w:val="21"/>
                <w:szCs w:val="21"/>
                <w:highlight w:val="none"/>
                <w:lang w:val="en-US" w:eastAsia="zh-CN"/>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569" w:type="dxa"/>
            <w:vAlign w:val="center"/>
          </w:tcPr>
          <w:p w14:paraId="5E7847A9">
            <w:pPr>
              <w:adjustRightInd w:val="0"/>
              <w:snapToGrid w:val="0"/>
              <w:spacing w:line="240" w:lineRule="auto"/>
              <w:jc w:val="center"/>
              <w:rPr>
                <w:rFonts w:hint="eastAsia" w:hAnsi="宋体" w:eastAsia="宋体" w:cs="宋体"/>
                <w:snapToGrid w:val="0"/>
                <w:color w:val="000000" w:themeColor="text1"/>
                <w:kern w:val="21"/>
                <w:sz w:val="21"/>
                <w:szCs w:val="21"/>
                <w:highlight w:val="none"/>
                <w:lang w:val="en-US" w:eastAsia="zh-CN"/>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377" w:type="dxa"/>
            <w:vAlign w:val="center"/>
          </w:tcPr>
          <w:p w14:paraId="414A6B1B">
            <w:pPr>
              <w:pStyle w:val="14"/>
              <w:bidi w:val="0"/>
              <w:rPr>
                <w:rFonts w:hint="eastAsia"/>
                <w:color w:val="000000" w:themeColor="text1"/>
                <w:sz w:val="21"/>
                <w:highlight w:val="none"/>
                <w14:textFill>
                  <w14:solidFill>
                    <w14:schemeClr w14:val="tx1"/>
                  </w14:solidFill>
                </w14:textFill>
              </w:rPr>
            </w:pPr>
            <w:r>
              <w:rPr>
                <w:rFonts w:hint="eastAsia"/>
                <w:lang w:val="en-US" w:eastAsia="zh-CN"/>
              </w:rPr>
              <w:t>0.0017t/a</w:t>
            </w:r>
          </w:p>
        </w:tc>
        <w:tc>
          <w:tcPr>
            <w:tcW w:w="1445" w:type="dxa"/>
            <w:vAlign w:val="center"/>
          </w:tcPr>
          <w:p w14:paraId="79F20346">
            <w:pPr>
              <w:adjustRightInd w:val="0"/>
              <w:snapToGrid w:val="0"/>
              <w:spacing w:line="240" w:lineRule="auto"/>
              <w:jc w:val="center"/>
              <w:rPr>
                <w:rFonts w:hint="eastAsia" w:hAnsi="宋体" w:cs="宋体"/>
                <w:snapToGrid w:val="0"/>
                <w:color w:val="000000" w:themeColor="text1"/>
                <w:kern w:val="21"/>
                <w:sz w:val="21"/>
                <w:szCs w:val="21"/>
                <w:highlight w:val="none"/>
                <w14:textFill>
                  <w14:solidFill>
                    <w14:schemeClr w14:val="tx1"/>
                  </w14:solidFill>
                </w14:textFill>
              </w:rPr>
            </w:pPr>
          </w:p>
        </w:tc>
        <w:tc>
          <w:tcPr>
            <w:tcW w:w="1391" w:type="dxa"/>
            <w:vAlign w:val="center"/>
          </w:tcPr>
          <w:p w14:paraId="0DC70D96">
            <w:pPr>
              <w:pStyle w:val="14"/>
              <w:bidi w:val="0"/>
              <w:rPr>
                <w:rFonts w:hint="eastAsia"/>
                <w:color w:val="000000" w:themeColor="text1"/>
                <w:sz w:val="21"/>
                <w:highlight w:val="none"/>
                <w14:textFill>
                  <w14:solidFill>
                    <w14:schemeClr w14:val="tx1"/>
                  </w14:solidFill>
                </w14:textFill>
              </w:rPr>
            </w:pPr>
            <w:r>
              <w:rPr>
                <w:rFonts w:hint="eastAsia"/>
                <w:lang w:val="en-US" w:eastAsia="zh-CN"/>
              </w:rPr>
              <w:t>0.0017t/a</w:t>
            </w:r>
          </w:p>
        </w:tc>
        <w:tc>
          <w:tcPr>
            <w:tcW w:w="1482" w:type="dxa"/>
            <w:vAlign w:val="center"/>
          </w:tcPr>
          <w:p w14:paraId="440EA14F">
            <w:pPr>
              <w:pStyle w:val="14"/>
              <w:bidi w:val="0"/>
              <w:rPr>
                <w:rFonts w:hint="eastAsia"/>
                <w:color w:val="000000" w:themeColor="text1"/>
                <w:sz w:val="21"/>
                <w:highlight w:val="none"/>
                <w14:textFill>
                  <w14:solidFill>
                    <w14:schemeClr w14:val="tx1"/>
                  </w14:solidFill>
                </w14:textFill>
              </w:rPr>
            </w:pPr>
            <w:r>
              <w:rPr>
                <w:rFonts w:hint="eastAsia"/>
                <w:lang w:val="en-US" w:eastAsia="zh-CN"/>
              </w:rPr>
              <w:t>+0.0017t/a</w:t>
            </w:r>
          </w:p>
        </w:tc>
      </w:tr>
      <w:tr w14:paraId="53843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0BD291F7">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5074705F">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动植物油</w:t>
            </w:r>
          </w:p>
        </w:tc>
        <w:tc>
          <w:tcPr>
            <w:tcW w:w="1773" w:type="dxa"/>
            <w:vAlign w:val="center"/>
          </w:tcPr>
          <w:p w14:paraId="446245BC">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172" w:type="dxa"/>
            <w:vAlign w:val="center"/>
          </w:tcPr>
          <w:p w14:paraId="2F752A43">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569" w:type="dxa"/>
            <w:vAlign w:val="center"/>
          </w:tcPr>
          <w:p w14:paraId="6829C374">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77" w:type="dxa"/>
            <w:vAlign w:val="center"/>
          </w:tcPr>
          <w:p w14:paraId="4267B1E9">
            <w:pPr>
              <w:pStyle w:val="14"/>
              <w:bidi w:val="0"/>
              <w:rPr>
                <w:color w:val="000000" w:themeColor="text1"/>
                <w:sz w:val="21"/>
                <w:highlight w:val="none"/>
                <w14:textFill>
                  <w14:solidFill>
                    <w14:schemeClr w14:val="tx1"/>
                  </w14:solidFill>
                </w14:textFill>
              </w:rPr>
            </w:pPr>
            <w:r>
              <w:rPr>
                <w:rFonts w:hint="eastAsia"/>
                <w:lang w:val="en-US" w:eastAsia="zh-CN"/>
              </w:rPr>
              <w:t>0.003t/a</w:t>
            </w:r>
          </w:p>
        </w:tc>
        <w:tc>
          <w:tcPr>
            <w:tcW w:w="1445" w:type="dxa"/>
            <w:vAlign w:val="center"/>
          </w:tcPr>
          <w:p w14:paraId="215EEBD1">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3597DCFC">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0.003t/a</w:t>
            </w:r>
          </w:p>
        </w:tc>
        <w:tc>
          <w:tcPr>
            <w:tcW w:w="1482" w:type="dxa"/>
            <w:vAlign w:val="center"/>
          </w:tcPr>
          <w:p w14:paraId="5FA2AF45">
            <w:pPr>
              <w:pStyle w:val="14"/>
              <w:bidi w:val="0"/>
              <w:rPr>
                <w:rFonts w:hAnsi="宋体" w:cs="宋体"/>
                <w:snapToGrid w:val="0"/>
                <w:color w:val="000000" w:themeColor="text1"/>
                <w:kern w:val="21"/>
                <w:sz w:val="21"/>
                <w:szCs w:val="21"/>
                <w:highlight w:val="none"/>
                <w14:textFill>
                  <w14:solidFill>
                    <w14:schemeClr w14:val="tx1"/>
                  </w14:solidFill>
                </w14:textFill>
              </w:rPr>
            </w:pPr>
            <w:r>
              <w:rPr>
                <w:rFonts w:hint="eastAsia"/>
                <w:lang w:val="en-US" w:eastAsia="zh-CN"/>
              </w:rPr>
              <w:t>+0.003t/a</w:t>
            </w:r>
          </w:p>
        </w:tc>
      </w:tr>
      <w:tr w14:paraId="62927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restart"/>
            <w:vAlign w:val="center"/>
          </w:tcPr>
          <w:p w14:paraId="3163FE49">
            <w:pPr>
              <w:adjustRightInd w:val="0"/>
              <w:snapToGrid w:val="0"/>
              <w:spacing w:line="240" w:lineRule="auto"/>
              <w:jc w:val="center"/>
              <w:rPr>
                <w:rFonts w:hAnsi="宋体" w:cs="宋体"/>
                <w:snapToGrid w:val="0"/>
                <w:color w:val="000000"/>
                <w:kern w:val="21"/>
                <w:sz w:val="21"/>
                <w:szCs w:val="21"/>
              </w:rPr>
            </w:pPr>
            <w:r>
              <w:rPr>
                <w:rFonts w:hint="eastAsia" w:hAnsi="宋体" w:cs="宋体"/>
                <w:snapToGrid w:val="0"/>
                <w:color w:val="000000"/>
                <w:kern w:val="21"/>
                <w:sz w:val="21"/>
                <w:szCs w:val="21"/>
              </w:rPr>
              <w:t>一般工业</w:t>
            </w:r>
          </w:p>
          <w:p w14:paraId="1794EE08">
            <w:pPr>
              <w:adjustRightInd w:val="0"/>
              <w:snapToGrid w:val="0"/>
              <w:spacing w:line="240" w:lineRule="auto"/>
              <w:jc w:val="center"/>
              <w:rPr>
                <w:rFonts w:hAnsi="宋体" w:cs="宋体"/>
                <w:snapToGrid w:val="0"/>
                <w:color w:val="000000"/>
                <w:kern w:val="21"/>
                <w:sz w:val="21"/>
                <w:szCs w:val="21"/>
              </w:rPr>
            </w:pPr>
            <w:r>
              <w:rPr>
                <w:rFonts w:hint="eastAsia" w:hAnsi="宋体" w:cs="宋体"/>
                <w:snapToGrid w:val="0"/>
                <w:color w:val="000000"/>
                <w:kern w:val="21"/>
                <w:sz w:val="21"/>
                <w:szCs w:val="21"/>
              </w:rPr>
              <w:t>固体废物</w:t>
            </w:r>
          </w:p>
        </w:tc>
        <w:tc>
          <w:tcPr>
            <w:tcW w:w="3014" w:type="dxa"/>
            <w:vAlign w:val="center"/>
          </w:tcPr>
          <w:p w14:paraId="7139F6C8">
            <w:pPr>
              <w:pStyle w:val="14"/>
              <w:bidi w:val="0"/>
            </w:pPr>
            <w:r>
              <w:t>生活垃圾</w:t>
            </w:r>
          </w:p>
        </w:tc>
        <w:tc>
          <w:tcPr>
            <w:tcW w:w="1773" w:type="dxa"/>
            <w:vAlign w:val="center"/>
          </w:tcPr>
          <w:p w14:paraId="0B4B3DEB">
            <w:pPr>
              <w:adjustRightInd w:val="0"/>
              <w:snapToGrid w:val="0"/>
              <w:spacing w:line="240" w:lineRule="auto"/>
              <w:jc w:val="center"/>
              <w:rPr>
                <w:rFonts w:hint="eastAsia" w:hAnsi="宋体" w:eastAsia="宋体" w:cs="宋体"/>
                <w:snapToGrid w:val="0"/>
                <w:color w:val="000000" w:themeColor="text1"/>
                <w:kern w:val="21"/>
                <w:sz w:val="21"/>
                <w:szCs w:val="21"/>
                <w:highlight w:val="none"/>
                <w:lang w:val="en-US" w:eastAsia="zh-CN"/>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172" w:type="dxa"/>
            <w:vAlign w:val="center"/>
          </w:tcPr>
          <w:p w14:paraId="476A40CB">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569" w:type="dxa"/>
            <w:vAlign w:val="center"/>
          </w:tcPr>
          <w:p w14:paraId="5226D1DB">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377" w:type="dxa"/>
            <w:vAlign w:val="center"/>
          </w:tcPr>
          <w:p w14:paraId="396AA8A3">
            <w:pPr>
              <w:adjustRightInd w:val="0"/>
              <w:snapToGrid w:val="0"/>
              <w:spacing w:line="240" w:lineRule="auto"/>
              <w:jc w:val="center"/>
              <w:rPr>
                <w:rFonts w:hAnsi="宋体" w:cs="宋体"/>
                <w:snapToGrid w:val="0"/>
                <w:color w:val="000000" w:themeColor="text1"/>
                <w:kern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7</w:t>
            </w:r>
            <w:r>
              <w:rPr>
                <w:rFonts w:hint="eastAsia"/>
                <w:color w:val="000000" w:themeColor="text1"/>
                <w:sz w:val="21"/>
                <w:highlight w:val="none"/>
                <w:lang w:val="en-US" w:eastAsia="zh-CN"/>
                <w14:textFill>
                  <w14:solidFill>
                    <w14:schemeClr w14:val="tx1"/>
                  </w14:solidFill>
                </w14:textFill>
              </w:rPr>
              <w:t>.0</w:t>
            </w:r>
            <w:r>
              <w:rPr>
                <w:rFonts w:hint="eastAsia"/>
                <w:color w:val="000000" w:themeColor="text1"/>
                <w:sz w:val="21"/>
                <w:highlight w:val="none"/>
                <w14:textFill>
                  <w14:solidFill>
                    <w14:schemeClr w14:val="tx1"/>
                  </w14:solidFill>
                </w14:textFill>
              </w:rPr>
              <w:t>5t/a</w:t>
            </w:r>
          </w:p>
        </w:tc>
        <w:tc>
          <w:tcPr>
            <w:tcW w:w="1445" w:type="dxa"/>
            <w:vAlign w:val="center"/>
          </w:tcPr>
          <w:p w14:paraId="6F35A19C">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52608EDF">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7.05</w:t>
            </w:r>
            <w:r>
              <w:rPr>
                <w:rFonts w:hint="eastAsia"/>
                <w:color w:val="000000" w:themeColor="text1"/>
                <w:sz w:val="21"/>
                <w:highlight w:val="none"/>
                <w14:textFill>
                  <w14:solidFill>
                    <w14:schemeClr w14:val="tx1"/>
                  </w14:solidFill>
                </w14:textFill>
              </w:rPr>
              <w:t>t/a</w:t>
            </w:r>
          </w:p>
        </w:tc>
        <w:tc>
          <w:tcPr>
            <w:tcW w:w="1482" w:type="dxa"/>
            <w:vAlign w:val="center"/>
          </w:tcPr>
          <w:p w14:paraId="3203C243">
            <w:pP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+7.05</w:t>
            </w:r>
            <w:r>
              <w:rPr>
                <w:rFonts w:hint="eastAsia"/>
                <w:color w:val="000000" w:themeColor="text1"/>
                <w:sz w:val="21"/>
                <w:highlight w:val="none"/>
                <w14:textFill>
                  <w14:solidFill>
                    <w14:schemeClr w14:val="tx1"/>
                  </w14:solidFill>
                </w14:textFill>
              </w:rPr>
              <w:t>t/a</w:t>
            </w:r>
          </w:p>
        </w:tc>
      </w:tr>
      <w:tr w14:paraId="70E22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47561F78">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06BF46CB">
            <w:pPr>
              <w:pStyle w:val="14"/>
              <w:bidi w:val="0"/>
              <w:rPr>
                <w:rFonts w:hint="eastAsia"/>
                <w:lang w:eastAsia="zh-CN"/>
              </w:rPr>
            </w:pPr>
            <w:r>
              <w:rPr>
                <w:rFonts w:hint="eastAsia"/>
                <w:lang w:eastAsia="zh-CN"/>
              </w:rPr>
              <w:t>废树脂</w:t>
            </w:r>
          </w:p>
        </w:tc>
        <w:tc>
          <w:tcPr>
            <w:tcW w:w="1773" w:type="dxa"/>
            <w:vAlign w:val="center"/>
          </w:tcPr>
          <w:p w14:paraId="73D29D2C">
            <w:pPr>
              <w:adjustRightInd w:val="0"/>
              <w:snapToGrid w:val="0"/>
              <w:spacing w:line="240" w:lineRule="auto"/>
              <w:jc w:val="center"/>
              <w:rPr>
                <w:rFonts w:hint="eastAsia" w:hAnsi="宋体" w:eastAsia="宋体" w:cs="宋体"/>
                <w:snapToGrid w:val="0"/>
                <w:color w:val="000000" w:themeColor="text1"/>
                <w:kern w:val="21"/>
                <w:sz w:val="21"/>
                <w:szCs w:val="21"/>
                <w:highlight w:val="none"/>
                <w:lang w:val="en-US" w:eastAsia="zh-CN"/>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172" w:type="dxa"/>
            <w:vAlign w:val="center"/>
          </w:tcPr>
          <w:p w14:paraId="3E876AC6">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569" w:type="dxa"/>
            <w:vAlign w:val="center"/>
          </w:tcPr>
          <w:p w14:paraId="6CBE37AC">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377" w:type="dxa"/>
            <w:vAlign w:val="center"/>
          </w:tcPr>
          <w:p w14:paraId="3DE3509B">
            <w:pPr>
              <w:adjustRightInd w:val="0"/>
              <w:snapToGrid w:val="0"/>
              <w:spacing w:line="240" w:lineRule="auto"/>
              <w:jc w:val="center"/>
              <w:rPr>
                <w:rFonts w:hAnsi="宋体" w:cs="宋体"/>
                <w:snapToGrid w:val="0"/>
                <w:color w:val="000000" w:themeColor="text1"/>
                <w:kern w:val="21"/>
                <w:szCs w:val="21"/>
                <w:highlight w:val="none"/>
                <w14:textFill>
                  <w14:solidFill>
                    <w14:schemeClr w14:val="tx1"/>
                  </w14:solidFill>
                </w14:textFill>
              </w:rPr>
            </w:pPr>
            <w:r>
              <w:rPr>
                <w:rFonts w:hint="eastAsia"/>
                <w:color w:val="000000" w:themeColor="text1"/>
                <w:kern w:val="0"/>
                <w:sz w:val="21"/>
                <w:szCs w:val="20"/>
                <w:highlight w:val="none"/>
                <w:lang w:val="en-US" w:eastAsia="zh-CN"/>
                <w14:textFill>
                  <w14:solidFill>
                    <w14:schemeClr w14:val="tx1"/>
                  </w14:solidFill>
                </w14:textFill>
              </w:rPr>
              <w:t>0.8</w:t>
            </w:r>
            <w:r>
              <w:rPr>
                <w:rFonts w:hint="eastAsia"/>
                <w:color w:val="000000" w:themeColor="text1"/>
                <w:kern w:val="0"/>
                <w:sz w:val="21"/>
                <w:szCs w:val="20"/>
                <w:highlight w:val="none"/>
                <w14:textFill>
                  <w14:solidFill>
                    <w14:schemeClr w14:val="tx1"/>
                  </w14:solidFill>
                </w14:textFill>
              </w:rPr>
              <w:t>t/a</w:t>
            </w:r>
          </w:p>
        </w:tc>
        <w:tc>
          <w:tcPr>
            <w:tcW w:w="1445" w:type="dxa"/>
            <w:vAlign w:val="center"/>
          </w:tcPr>
          <w:p w14:paraId="5031DE94">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29334047">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0.8</w:t>
            </w:r>
            <w:r>
              <w:rPr>
                <w:rFonts w:hint="eastAsia"/>
                <w:color w:val="000000" w:themeColor="text1"/>
                <w:sz w:val="21"/>
                <w:highlight w:val="none"/>
                <w14:textFill>
                  <w14:solidFill>
                    <w14:schemeClr w14:val="tx1"/>
                  </w14:solidFill>
                </w14:textFill>
              </w:rPr>
              <w:t>t/a</w:t>
            </w:r>
          </w:p>
        </w:tc>
        <w:tc>
          <w:tcPr>
            <w:tcW w:w="1482" w:type="dxa"/>
            <w:vAlign w:val="center"/>
          </w:tcPr>
          <w:p w14:paraId="33E8906D">
            <w:pP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sz w:val="21"/>
                <w:szCs w:val="20"/>
                <w:highlight w:val="none"/>
                <w:lang w:val="en-US" w:eastAsia="zh-CN"/>
                <w14:textFill>
                  <w14:solidFill>
                    <w14:schemeClr w14:val="tx1"/>
                  </w14:solidFill>
                </w14:textFill>
              </w:rPr>
              <w:t>+0.8</w:t>
            </w:r>
            <w:r>
              <w:rPr>
                <w:rFonts w:hint="eastAsia"/>
                <w:color w:val="000000" w:themeColor="text1"/>
                <w:kern w:val="0"/>
                <w:sz w:val="21"/>
                <w:szCs w:val="20"/>
                <w:highlight w:val="none"/>
                <w14:textFill>
                  <w14:solidFill>
                    <w14:schemeClr w14:val="tx1"/>
                  </w14:solidFill>
                </w14:textFill>
              </w:rPr>
              <w:t>t/a</w:t>
            </w:r>
          </w:p>
        </w:tc>
      </w:tr>
      <w:tr w14:paraId="19ED7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restart"/>
            <w:vAlign w:val="center"/>
          </w:tcPr>
          <w:p w14:paraId="3784D7E4">
            <w:pPr>
              <w:adjustRightInd w:val="0"/>
              <w:snapToGrid w:val="0"/>
              <w:spacing w:line="240" w:lineRule="auto"/>
              <w:jc w:val="center"/>
              <w:rPr>
                <w:rFonts w:hAnsi="宋体" w:cs="宋体"/>
                <w:snapToGrid w:val="0"/>
                <w:color w:val="000000"/>
                <w:kern w:val="21"/>
                <w:sz w:val="21"/>
                <w:szCs w:val="21"/>
              </w:rPr>
            </w:pPr>
            <w:r>
              <w:rPr>
                <w:rFonts w:hint="eastAsia" w:hAnsi="宋体" w:cs="宋体"/>
                <w:snapToGrid w:val="0"/>
                <w:color w:val="000000"/>
                <w:kern w:val="21"/>
                <w:sz w:val="21"/>
                <w:szCs w:val="21"/>
              </w:rPr>
              <w:t>危险废物</w:t>
            </w:r>
          </w:p>
        </w:tc>
        <w:tc>
          <w:tcPr>
            <w:tcW w:w="3014" w:type="dxa"/>
            <w:vAlign w:val="center"/>
          </w:tcPr>
          <w:p w14:paraId="005FB29F">
            <w:pPr>
              <w:adjustRightInd w:val="0"/>
              <w:snapToGrid w:val="0"/>
              <w:spacing w:line="240" w:lineRule="auto"/>
              <w:jc w:val="center"/>
              <w:rPr>
                <w:rFonts w:hint="eastAsia" w:hAnsi="宋体" w:eastAsia="宋体" w:cs="宋体"/>
                <w:snapToGrid w:val="0"/>
                <w:color w:val="000000" w:themeColor="text1"/>
                <w:kern w:val="21"/>
                <w:sz w:val="21"/>
                <w:szCs w:val="21"/>
                <w:highlight w:val="none"/>
                <w:lang w:eastAsia="zh-CN"/>
                <w14:textFill>
                  <w14:solidFill>
                    <w14:schemeClr w14:val="tx1"/>
                  </w14:solidFill>
                </w14:textFill>
              </w:rPr>
            </w:pPr>
            <w:r>
              <w:rPr>
                <w:rFonts w:hint="eastAsia"/>
                <w:color w:val="000000" w:themeColor="text1"/>
                <w:sz w:val="21"/>
                <w:highlight w:val="none"/>
                <w:lang w:eastAsia="zh-CN"/>
                <w14:textFill>
                  <w14:solidFill>
                    <w14:schemeClr w14:val="tx1"/>
                  </w14:solidFill>
                </w14:textFill>
              </w:rPr>
              <w:t>废机油</w:t>
            </w:r>
          </w:p>
        </w:tc>
        <w:tc>
          <w:tcPr>
            <w:tcW w:w="1773" w:type="dxa"/>
            <w:vAlign w:val="center"/>
          </w:tcPr>
          <w:p w14:paraId="08AB9830">
            <w:pPr>
              <w:adjustRightInd w:val="0"/>
              <w:snapToGrid w:val="0"/>
              <w:spacing w:line="240" w:lineRule="auto"/>
              <w:jc w:val="center"/>
              <w:rPr>
                <w:rFonts w:hint="eastAsia" w:hAnsi="宋体" w:eastAsia="宋体" w:cs="宋体"/>
                <w:snapToGrid w:val="0"/>
                <w:color w:val="000000" w:themeColor="text1"/>
                <w:kern w:val="21"/>
                <w:sz w:val="21"/>
                <w:szCs w:val="21"/>
                <w:highlight w:val="none"/>
                <w:lang w:val="en-US" w:eastAsia="zh-CN"/>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172" w:type="dxa"/>
            <w:vAlign w:val="center"/>
          </w:tcPr>
          <w:p w14:paraId="0AF8537F">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569" w:type="dxa"/>
            <w:vAlign w:val="center"/>
          </w:tcPr>
          <w:p w14:paraId="23961814">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0"/>
                <w:highlight w:val="none"/>
                <w14:textFill>
                  <w14:solidFill>
                    <w14:schemeClr w14:val="tx1"/>
                  </w14:solidFill>
                </w14:textFill>
              </w:rPr>
              <w:t>0</w:t>
            </w:r>
          </w:p>
        </w:tc>
        <w:tc>
          <w:tcPr>
            <w:tcW w:w="1377" w:type="dxa"/>
            <w:vAlign w:val="center"/>
          </w:tcPr>
          <w:p w14:paraId="41B0B510">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0.</w:t>
            </w:r>
            <w:r>
              <w:rPr>
                <w:rFonts w:hint="eastAsia"/>
                <w:color w:val="000000" w:themeColor="text1"/>
                <w:sz w:val="21"/>
                <w:highlight w:val="none"/>
                <w:lang w:val="en-US" w:eastAsia="zh-CN"/>
                <w14:textFill>
                  <w14:solidFill>
                    <w14:schemeClr w14:val="tx1"/>
                  </w14:solidFill>
                </w14:textFill>
              </w:rPr>
              <w:t>1</w:t>
            </w:r>
            <w:r>
              <w:rPr>
                <w:rFonts w:hint="eastAsia"/>
                <w:color w:val="000000" w:themeColor="text1"/>
                <w:sz w:val="21"/>
                <w:highlight w:val="none"/>
                <w14:textFill>
                  <w14:solidFill>
                    <w14:schemeClr w14:val="tx1"/>
                  </w14:solidFill>
                </w14:textFill>
              </w:rPr>
              <w:t>t/a</w:t>
            </w:r>
          </w:p>
        </w:tc>
        <w:tc>
          <w:tcPr>
            <w:tcW w:w="1445" w:type="dxa"/>
            <w:vAlign w:val="center"/>
          </w:tcPr>
          <w:p w14:paraId="00144754">
            <w:pPr>
              <w:adjustRightInd w:val="0"/>
              <w:snapToGrid w:val="0"/>
              <w:spacing w:line="240" w:lineRule="auto"/>
              <w:jc w:val="center"/>
              <w:rPr>
                <w:rFonts w:hAnsi="宋体" w:cs="宋体"/>
                <w:snapToGrid w:val="0"/>
                <w:color w:val="000000" w:themeColor="text1"/>
                <w:kern w:val="21"/>
                <w:sz w:val="21"/>
                <w:szCs w:val="21"/>
                <w:highlight w:val="none"/>
                <w14:textFill>
                  <w14:solidFill>
                    <w14:schemeClr w14:val="tx1"/>
                  </w14:solidFill>
                </w14:textFill>
              </w:rPr>
            </w:pPr>
            <w:r>
              <w:rPr>
                <w:rFonts w:hint="eastAsia" w:hAnsi="宋体" w:cs="宋体"/>
                <w:snapToGrid w:val="0"/>
                <w:color w:val="000000" w:themeColor="text1"/>
                <w:kern w:val="21"/>
                <w:sz w:val="21"/>
                <w:szCs w:val="21"/>
                <w:highlight w:val="none"/>
                <w14:textFill>
                  <w14:solidFill>
                    <w14:schemeClr w14:val="tx1"/>
                  </w14:solidFill>
                </w14:textFill>
              </w:rPr>
              <w:t>0</w:t>
            </w:r>
          </w:p>
        </w:tc>
        <w:tc>
          <w:tcPr>
            <w:tcW w:w="1391" w:type="dxa"/>
            <w:vAlign w:val="center"/>
          </w:tcPr>
          <w:p w14:paraId="0D7D8838">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0.</w:t>
            </w:r>
            <w:r>
              <w:rPr>
                <w:rFonts w:hint="eastAsia"/>
                <w:color w:val="000000" w:themeColor="text1"/>
                <w:sz w:val="21"/>
                <w:highlight w:val="none"/>
                <w:lang w:val="en-US" w:eastAsia="zh-CN"/>
                <w14:textFill>
                  <w14:solidFill>
                    <w14:schemeClr w14:val="tx1"/>
                  </w14:solidFill>
                </w14:textFill>
              </w:rPr>
              <w:t>1</w:t>
            </w:r>
            <w:r>
              <w:rPr>
                <w:rFonts w:hint="eastAsia"/>
                <w:color w:val="000000" w:themeColor="text1"/>
                <w:sz w:val="21"/>
                <w:highlight w:val="none"/>
                <w14:textFill>
                  <w14:solidFill>
                    <w14:schemeClr w14:val="tx1"/>
                  </w14:solidFill>
                </w14:textFill>
              </w:rPr>
              <w:t>t/a</w:t>
            </w:r>
          </w:p>
        </w:tc>
        <w:tc>
          <w:tcPr>
            <w:tcW w:w="1482" w:type="dxa"/>
            <w:vAlign w:val="center"/>
          </w:tcPr>
          <w:p w14:paraId="5E4A5A71">
            <w:pPr>
              <w:adjustRightInd w:val="0"/>
              <w:snapToGrid w:val="0"/>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w:t>
            </w:r>
            <w:r>
              <w:rPr>
                <w:rFonts w:hint="eastAsia"/>
                <w:color w:val="000000" w:themeColor="text1"/>
                <w:sz w:val="21"/>
                <w:highlight w:val="none"/>
                <w14:textFill>
                  <w14:solidFill>
                    <w14:schemeClr w14:val="tx1"/>
                  </w14:solidFill>
                </w14:textFill>
              </w:rPr>
              <w:t>0.</w:t>
            </w:r>
            <w:r>
              <w:rPr>
                <w:rFonts w:hint="eastAsia"/>
                <w:color w:val="000000" w:themeColor="text1"/>
                <w:sz w:val="21"/>
                <w:highlight w:val="none"/>
                <w:lang w:val="en-US" w:eastAsia="zh-CN"/>
                <w14:textFill>
                  <w14:solidFill>
                    <w14:schemeClr w14:val="tx1"/>
                  </w14:solidFill>
                </w14:textFill>
              </w:rPr>
              <w:t>1</w:t>
            </w:r>
            <w:r>
              <w:rPr>
                <w:rFonts w:hint="eastAsia"/>
                <w:color w:val="000000" w:themeColor="text1"/>
                <w:sz w:val="21"/>
                <w:highlight w:val="none"/>
                <w14:textFill>
                  <w14:solidFill>
                    <w14:schemeClr w14:val="tx1"/>
                  </w14:solidFill>
                </w14:textFill>
              </w:rPr>
              <w:t>t/a</w:t>
            </w:r>
          </w:p>
        </w:tc>
      </w:tr>
      <w:tr w14:paraId="70177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6" w:type="dxa"/>
            <w:vMerge w:val="continue"/>
            <w:vAlign w:val="center"/>
          </w:tcPr>
          <w:p w14:paraId="53F47CB3">
            <w:pPr>
              <w:adjustRightInd w:val="0"/>
              <w:snapToGrid w:val="0"/>
              <w:spacing w:line="240" w:lineRule="auto"/>
              <w:jc w:val="center"/>
              <w:rPr>
                <w:rFonts w:hAnsi="宋体" w:cs="宋体"/>
                <w:snapToGrid w:val="0"/>
                <w:color w:val="000000"/>
                <w:kern w:val="21"/>
                <w:sz w:val="21"/>
                <w:szCs w:val="21"/>
              </w:rPr>
            </w:pPr>
          </w:p>
        </w:tc>
        <w:tc>
          <w:tcPr>
            <w:tcW w:w="3014" w:type="dxa"/>
            <w:vAlign w:val="center"/>
          </w:tcPr>
          <w:p w14:paraId="06F792EC">
            <w:pPr>
              <w:adjustRightInd w:val="0"/>
              <w:snapToGrid w:val="0"/>
              <w:spacing w:line="240" w:lineRule="auto"/>
              <w:jc w:val="center"/>
              <w:rPr>
                <w:rFonts w:hint="eastAsia" w:eastAsia="宋体"/>
                <w:color w:val="000000" w:themeColor="text1"/>
                <w:sz w:val="21"/>
                <w:highlight w:val="none"/>
                <w:lang w:eastAsia="zh-CN"/>
                <w14:textFill>
                  <w14:solidFill>
                    <w14:schemeClr w14:val="tx1"/>
                  </w14:solidFill>
                </w14:textFill>
              </w:rPr>
            </w:pPr>
            <w:r>
              <w:rPr>
                <w:rFonts w:hint="eastAsia"/>
                <w:color w:val="000000" w:themeColor="text1"/>
                <w:sz w:val="21"/>
                <w:highlight w:val="none"/>
                <w:lang w:eastAsia="zh-CN"/>
                <w14:textFill>
                  <w14:solidFill>
                    <w14:schemeClr w14:val="tx1"/>
                  </w14:solidFill>
                </w14:textFill>
              </w:rPr>
              <w:t>含油抹布、手套</w:t>
            </w:r>
          </w:p>
        </w:tc>
        <w:tc>
          <w:tcPr>
            <w:tcW w:w="1773" w:type="dxa"/>
            <w:vAlign w:val="center"/>
          </w:tcPr>
          <w:p w14:paraId="7D405BD4">
            <w:pPr>
              <w:adjustRightInd w:val="0"/>
              <w:snapToGrid w:val="0"/>
              <w:spacing w:line="240" w:lineRule="auto"/>
              <w:jc w:val="center"/>
              <w:rPr>
                <w:rFonts w:hint="default" w:eastAsia="宋体"/>
                <w:color w:val="000000" w:themeColor="text1"/>
                <w:kern w:val="0"/>
                <w:sz w:val="21"/>
                <w:szCs w:val="20"/>
                <w:highlight w:val="none"/>
                <w:lang w:val="en-US" w:eastAsia="zh-CN"/>
                <w14:textFill>
                  <w14:solidFill>
                    <w14:schemeClr w14:val="tx1"/>
                  </w14:solidFill>
                </w14:textFill>
              </w:rPr>
            </w:pPr>
            <w:r>
              <w:rPr>
                <w:rFonts w:hint="eastAsia"/>
                <w:color w:val="000000" w:themeColor="text1"/>
                <w:kern w:val="0"/>
                <w:sz w:val="21"/>
                <w:szCs w:val="20"/>
                <w:highlight w:val="none"/>
                <w:lang w:val="en-US" w:eastAsia="zh-CN"/>
                <w14:textFill>
                  <w14:solidFill>
                    <w14:schemeClr w14:val="tx1"/>
                  </w14:solidFill>
                </w14:textFill>
              </w:rPr>
              <w:t>0</w:t>
            </w:r>
          </w:p>
        </w:tc>
        <w:tc>
          <w:tcPr>
            <w:tcW w:w="1172" w:type="dxa"/>
            <w:vAlign w:val="center"/>
          </w:tcPr>
          <w:p w14:paraId="309F761F">
            <w:pPr>
              <w:adjustRightInd w:val="0"/>
              <w:snapToGrid w:val="0"/>
              <w:spacing w:line="240" w:lineRule="auto"/>
              <w:jc w:val="center"/>
              <w:rPr>
                <w:rFonts w:hint="eastAsia" w:eastAsia="宋体"/>
                <w:color w:val="000000" w:themeColor="text1"/>
                <w:kern w:val="0"/>
                <w:sz w:val="21"/>
                <w:szCs w:val="20"/>
                <w:highlight w:val="none"/>
                <w:lang w:val="en-US" w:eastAsia="zh-CN"/>
                <w14:textFill>
                  <w14:solidFill>
                    <w14:schemeClr w14:val="tx1"/>
                  </w14:solidFill>
                </w14:textFill>
              </w:rPr>
            </w:pPr>
            <w:r>
              <w:rPr>
                <w:rFonts w:hint="eastAsia"/>
                <w:color w:val="000000" w:themeColor="text1"/>
                <w:kern w:val="0"/>
                <w:sz w:val="21"/>
                <w:szCs w:val="20"/>
                <w:highlight w:val="none"/>
                <w:lang w:val="en-US" w:eastAsia="zh-CN"/>
                <w14:textFill>
                  <w14:solidFill>
                    <w14:schemeClr w14:val="tx1"/>
                  </w14:solidFill>
                </w14:textFill>
              </w:rPr>
              <w:t>0</w:t>
            </w:r>
          </w:p>
        </w:tc>
        <w:tc>
          <w:tcPr>
            <w:tcW w:w="1569" w:type="dxa"/>
            <w:vAlign w:val="center"/>
          </w:tcPr>
          <w:p w14:paraId="07C4621B">
            <w:pPr>
              <w:adjustRightInd w:val="0"/>
              <w:snapToGrid w:val="0"/>
              <w:spacing w:line="240" w:lineRule="auto"/>
              <w:jc w:val="center"/>
              <w:rPr>
                <w:rFonts w:hint="eastAsia" w:eastAsia="宋体"/>
                <w:color w:val="000000" w:themeColor="text1"/>
                <w:kern w:val="0"/>
                <w:sz w:val="21"/>
                <w:szCs w:val="20"/>
                <w:highlight w:val="none"/>
                <w:lang w:val="en-US" w:eastAsia="zh-CN"/>
                <w14:textFill>
                  <w14:solidFill>
                    <w14:schemeClr w14:val="tx1"/>
                  </w14:solidFill>
                </w14:textFill>
              </w:rPr>
            </w:pPr>
            <w:r>
              <w:rPr>
                <w:rFonts w:hint="eastAsia"/>
                <w:color w:val="000000" w:themeColor="text1"/>
                <w:kern w:val="0"/>
                <w:sz w:val="21"/>
                <w:szCs w:val="20"/>
                <w:highlight w:val="none"/>
                <w:lang w:val="en-US" w:eastAsia="zh-CN"/>
                <w14:textFill>
                  <w14:solidFill>
                    <w14:schemeClr w14:val="tx1"/>
                  </w14:solidFill>
                </w14:textFill>
              </w:rPr>
              <w:t>0</w:t>
            </w:r>
          </w:p>
        </w:tc>
        <w:tc>
          <w:tcPr>
            <w:tcW w:w="1377" w:type="dxa"/>
            <w:vAlign w:val="center"/>
          </w:tcPr>
          <w:p w14:paraId="705B3CA4">
            <w:pPr>
              <w:adjustRightInd w:val="0"/>
              <w:snapToGrid w:val="0"/>
              <w:spacing w:line="240" w:lineRule="auto"/>
              <w:jc w:val="center"/>
              <w:rPr>
                <w:rFonts w:hint="default" w:eastAsia="宋体"/>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0.05t/a</w:t>
            </w:r>
          </w:p>
        </w:tc>
        <w:tc>
          <w:tcPr>
            <w:tcW w:w="1445" w:type="dxa"/>
            <w:vAlign w:val="center"/>
          </w:tcPr>
          <w:p w14:paraId="622583F0">
            <w:pPr>
              <w:adjustRightInd w:val="0"/>
              <w:snapToGrid w:val="0"/>
              <w:spacing w:line="240" w:lineRule="auto"/>
              <w:jc w:val="center"/>
              <w:rPr>
                <w:rFonts w:hint="eastAsia" w:hAnsi="宋体" w:eastAsia="宋体" w:cs="宋体"/>
                <w:snapToGrid w:val="0"/>
                <w:color w:val="000000" w:themeColor="text1"/>
                <w:kern w:val="21"/>
                <w:sz w:val="21"/>
                <w:szCs w:val="21"/>
                <w:highlight w:val="none"/>
                <w:lang w:val="en-US" w:eastAsia="zh-CN"/>
                <w14:textFill>
                  <w14:solidFill>
                    <w14:schemeClr w14:val="tx1"/>
                  </w14:solidFill>
                </w14:textFill>
              </w:rPr>
            </w:pPr>
            <w:r>
              <w:rPr>
                <w:rFonts w:hint="eastAsia" w:hAnsi="宋体" w:cs="宋体"/>
                <w:snapToGrid w:val="0"/>
                <w:color w:val="000000" w:themeColor="text1"/>
                <w:kern w:val="21"/>
                <w:sz w:val="21"/>
                <w:szCs w:val="21"/>
                <w:highlight w:val="none"/>
                <w:lang w:val="en-US" w:eastAsia="zh-CN"/>
                <w14:textFill>
                  <w14:solidFill>
                    <w14:schemeClr w14:val="tx1"/>
                  </w14:solidFill>
                </w14:textFill>
              </w:rPr>
              <w:t>0</w:t>
            </w:r>
          </w:p>
        </w:tc>
        <w:tc>
          <w:tcPr>
            <w:tcW w:w="1391" w:type="dxa"/>
            <w:vAlign w:val="center"/>
          </w:tcPr>
          <w:p w14:paraId="51A326E3">
            <w:pPr>
              <w:adjustRightInd w:val="0"/>
              <w:snapToGrid w:val="0"/>
              <w:spacing w:line="240" w:lineRule="auto"/>
              <w:jc w:val="center"/>
              <w:rPr>
                <w:rFonts w:hint="eastAsia"/>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0.05t/a</w:t>
            </w:r>
          </w:p>
        </w:tc>
        <w:tc>
          <w:tcPr>
            <w:tcW w:w="1482" w:type="dxa"/>
            <w:vAlign w:val="center"/>
          </w:tcPr>
          <w:p w14:paraId="177F0251">
            <w:pPr>
              <w:adjustRightInd w:val="0"/>
              <w:snapToGrid w:val="0"/>
              <w:spacing w:line="240" w:lineRule="auto"/>
              <w:jc w:val="center"/>
              <w:rPr>
                <w:rFonts w:hint="eastAsia"/>
                <w:color w:val="000000" w:themeColor="text1"/>
                <w:sz w:val="21"/>
                <w:highlight w:val="none"/>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w:t>
            </w:r>
            <w:r>
              <w:rPr>
                <w:rFonts w:hint="eastAsia"/>
                <w:color w:val="000000" w:themeColor="text1"/>
                <w:sz w:val="21"/>
                <w:highlight w:val="none"/>
                <w14:textFill>
                  <w14:solidFill>
                    <w14:schemeClr w14:val="tx1"/>
                  </w14:solidFill>
                </w14:textFill>
              </w:rPr>
              <w:t>0.0</w:t>
            </w:r>
            <w:r>
              <w:rPr>
                <w:rFonts w:hint="eastAsia"/>
                <w:color w:val="000000" w:themeColor="text1"/>
                <w:sz w:val="21"/>
                <w:highlight w:val="none"/>
                <w:lang w:val="en-US" w:eastAsia="zh-CN"/>
                <w14:textFill>
                  <w14:solidFill>
                    <w14:schemeClr w14:val="tx1"/>
                  </w14:solidFill>
                </w14:textFill>
              </w:rPr>
              <w:t>5</w:t>
            </w:r>
            <w:r>
              <w:rPr>
                <w:rFonts w:hint="eastAsia"/>
                <w:color w:val="000000" w:themeColor="text1"/>
                <w:sz w:val="21"/>
                <w:highlight w:val="none"/>
                <w14:textFill>
                  <w14:solidFill>
                    <w14:schemeClr w14:val="tx1"/>
                  </w14:solidFill>
                </w14:textFill>
              </w:rPr>
              <w:t>t/a</w:t>
            </w:r>
          </w:p>
        </w:tc>
      </w:tr>
    </w:tbl>
    <w:p w14:paraId="5FCA8003">
      <w:pPr>
        <w:adjustRightInd w:val="0"/>
        <w:snapToGrid w:val="0"/>
        <w:spacing w:line="240" w:lineRule="auto"/>
        <w:jc w:val="left"/>
        <w:rPr>
          <w:rFonts w:hAnsi="宋体"/>
          <w:snapToGrid w:val="0"/>
          <w:color w:val="000000"/>
          <w:spacing w:val="-6"/>
          <w:kern w:val="21"/>
          <w:szCs w:val="21"/>
        </w:rPr>
      </w:pPr>
      <w:r>
        <w:rPr>
          <w:sz w:val="21"/>
        </w:rPr>
        <w:t>注：</w:t>
      </w:r>
      <w:r>
        <w:rPr>
          <w:sz w:val="21"/>
        </w:rPr>
        <w:fldChar w:fldCharType="begin"/>
      </w:r>
      <w:r>
        <w:rPr>
          <w:sz w:val="21"/>
        </w:rPr>
        <w:instrText xml:space="preserve"> = 6 \* GB3 \* MERGEFORMAT </w:instrText>
      </w:r>
      <w:r>
        <w:rPr>
          <w:sz w:val="21"/>
        </w:rPr>
        <w:fldChar w:fldCharType="separate"/>
      </w:r>
      <w:r>
        <w:rPr>
          <w:rFonts w:hint="eastAsia"/>
          <w:sz w:val="21"/>
        </w:rPr>
        <w:t>⑥</w:t>
      </w:r>
      <w:r>
        <w:rPr>
          <w:sz w:val="21"/>
        </w:rPr>
        <w:fldChar w:fldCharType="end"/>
      </w:r>
      <w:r>
        <w:rPr>
          <w:sz w:val="21"/>
        </w:rPr>
        <w:t>=</w:t>
      </w:r>
      <w:r>
        <w:rPr>
          <w:sz w:val="21"/>
        </w:rPr>
        <w:fldChar w:fldCharType="begin"/>
      </w:r>
      <w:r>
        <w:rPr>
          <w:sz w:val="21"/>
        </w:rPr>
        <w:instrText xml:space="preserve"> = 1 \* GB3 \* MERGEFORMAT </w:instrText>
      </w:r>
      <w:r>
        <w:rPr>
          <w:sz w:val="21"/>
        </w:rPr>
        <w:fldChar w:fldCharType="separate"/>
      </w:r>
      <w:r>
        <w:rPr>
          <w:rFonts w:hint="eastAsia"/>
          <w:sz w:val="21"/>
        </w:rPr>
        <w:t>①</w:t>
      </w:r>
      <w:r>
        <w:rPr>
          <w:sz w:val="21"/>
        </w:rPr>
        <w:fldChar w:fldCharType="end"/>
      </w:r>
      <w:r>
        <w:rPr>
          <w:sz w:val="21"/>
        </w:rPr>
        <w:t>+</w:t>
      </w:r>
      <w:r>
        <w:rPr>
          <w:sz w:val="21"/>
        </w:rPr>
        <w:fldChar w:fldCharType="begin"/>
      </w:r>
      <w:r>
        <w:rPr>
          <w:sz w:val="21"/>
        </w:rPr>
        <w:instrText xml:space="preserve"> = 3 \* GB3 \* MERGEFORMAT </w:instrText>
      </w:r>
      <w:r>
        <w:rPr>
          <w:sz w:val="21"/>
        </w:rPr>
        <w:fldChar w:fldCharType="separate"/>
      </w:r>
      <w:r>
        <w:rPr>
          <w:rFonts w:hint="eastAsia"/>
          <w:sz w:val="21"/>
        </w:rPr>
        <w:t>③</w:t>
      </w:r>
      <w:r>
        <w:rPr>
          <w:sz w:val="21"/>
        </w:rPr>
        <w:fldChar w:fldCharType="end"/>
      </w:r>
      <w:r>
        <w:rPr>
          <w:sz w:val="21"/>
        </w:rPr>
        <w:t>+</w:t>
      </w:r>
      <w:r>
        <w:rPr>
          <w:sz w:val="21"/>
        </w:rPr>
        <w:fldChar w:fldCharType="begin"/>
      </w:r>
      <w:r>
        <w:rPr>
          <w:sz w:val="21"/>
        </w:rPr>
        <w:instrText xml:space="preserve"> = 4 \* GB3 \* MERGEFORMAT </w:instrText>
      </w:r>
      <w:r>
        <w:rPr>
          <w:sz w:val="21"/>
        </w:rPr>
        <w:fldChar w:fldCharType="separate"/>
      </w:r>
      <w:r>
        <w:rPr>
          <w:rFonts w:hint="eastAsia"/>
          <w:sz w:val="21"/>
        </w:rPr>
        <w:t>④</w:t>
      </w:r>
      <w:r>
        <w:rPr>
          <w:sz w:val="21"/>
        </w:rPr>
        <w:fldChar w:fldCharType="end"/>
      </w:r>
      <w:r>
        <w:rPr>
          <w:sz w:val="21"/>
        </w:rPr>
        <w:t>-</w:t>
      </w:r>
      <w:r>
        <w:rPr>
          <w:sz w:val="21"/>
        </w:rPr>
        <w:fldChar w:fldCharType="begin"/>
      </w:r>
      <w:r>
        <w:rPr>
          <w:sz w:val="21"/>
        </w:rPr>
        <w:instrText xml:space="preserve"> = 5 \* GB3 \* MERGEFORMAT </w:instrText>
      </w:r>
      <w:r>
        <w:rPr>
          <w:sz w:val="21"/>
        </w:rPr>
        <w:fldChar w:fldCharType="separate"/>
      </w:r>
      <w:r>
        <w:rPr>
          <w:rFonts w:hint="eastAsia"/>
          <w:sz w:val="21"/>
        </w:rPr>
        <w:t>⑤</w:t>
      </w:r>
      <w:r>
        <w:rPr>
          <w:sz w:val="21"/>
        </w:rPr>
        <w:fldChar w:fldCharType="end"/>
      </w:r>
      <w:r>
        <w:rPr>
          <w:sz w:val="21"/>
        </w:rPr>
        <w:t>；</w:t>
      </w:r>
      <w:r>
        <w:rPr>
          <w:sz w:val="21"/>
        </w:rPr>
        <w:fldChar w:fldCharType="begin"/>
      </w:r>
      <w:r>
        <w:rPr>
          <w:sz w:val="21"/>
        </w:rPr>
        <w:instrText xml:space="preserve"> = 7 \* GB3 \* MERGEFORMAT </w:instrText>
      </w:r>
      <w:r>
        <w:rPr>
          <w:sz w:val="21"/>
        </w:rPr>
        <w:fldChar w:fldCharType="separate"/>
      </w:r>
      <w:r>
        <w:rPr>
          <w:rFonts w:hint="eastAsia"/>
          <w:sz w:val="21"/>
        </w:rPr>
        <w:t>⑦</w:t>
      </w:r>
      <w:r>
        <w:rPr>
          <w:sz w:val="21"/>
        </w:rPr>
        <w:fldChar w:fldCharType="end"/>
      </w:r>
      <w:r>
        <w:rPr>
          <w:sz w:val="21"/>
        </w:rPr>
        <w:t>=</w:t>
      </w:r>
      <w:r>
        <w:rPr>
          <w:sz w:val="21"/>
        </w:rPr>
        <w:fldChar w:fldCharType="begin"/>
      </w:r>
      <w:r>
        <w:rPr>
          <w:sz w:val="21"/>
        </w:rPr>
        <w:instrText xml:space="preserve"> = 6 \* GB3 \* MERGEFORMAT </w:instrText>
      </w:r>
      <w:r>
        <w:rPr>
          <w:sz w:val="21"/>
        </w:rPr>
        <w:fldChar w:fldCharType="separate"/>
      </w:r>
      <w:r>
        <w:rPr>
          <w:rFonts w:hint="eastAsia"/>
          <w:sz w:val="21"/>
        </w:rPr>
        <w:t>⑥</w:t>
      </w:r>
      <w:r>
        <w:rPr>
          <w:sz w:val="21"/>
        </w:rPr>
        <w:fldChar w:fldCharType="end"/>
      </w:r>
      <w:r>
        <w:rPr>
          <w:sz w:val="21"/>
        </w:rPr>
        <w:t>-</w:t>
      </w:r>
      <w:r>
        <w:rPr>
          <w:sz w:val="21"/>
        </w:rPr>
        <w:fldChar w:fldCharType="begin"/>
      </w:r>
      <w:r>
        <w:rPr>
          <w:sz w:val="21"/>
        </w:rPr>
        <w:instrText xml:space="preserve"> = 1 \* GB3 \* MERGEFORMAT </w:instrText>
      </w:r>
      <w:r>
        <w:rPr>
          <w:sz w:val="21"/>
        </w:rPr>
        <w:fldChar w:fldCharType="separate"/>
      </w:r>
      <w:r>
        <w:rPr>
          <w:rFonts w:hint="eastAsia"/>
          <w:sz w:val="21"/>
        </w:rPr>
        <w:t>①</w:t>
      </w:r>
      <w:r>
        <w:rPr>
          <w:sz w:val="21"/>
        </w:rPr>
        <w:fldChar w:fldCharType="end"/>
      </w:r>
    </w:p>
    <w:p w14:paraId="06E8FAF4"/>
    <w:p w14:paraId="51C2D1E9">
      <w:pPr>
        <w:sectPr>
          <w:footerReference r:id="rId8" w:type="default"/>
          <w:pgSz w:w="16838" w:h="11906" w:orient="landscape"/>
          <w:pgMar w:top="1020" w:right="1020" w:bottom="1020" w:left="1020" w:header="851" w:footer="851" w:gutter="0"/>
          <w:pgBorders>
            <w:top w:val="none" w:sz="0" w:space="0"/>
            <w:left w:val="none" w:sz="0" w:space="0"/>
            <w:bottom w:val="none" w:sz="0" w:space="0"/>
            <w:right w:val="none" w:sz="0" w:space="0"/>
          </w:pgBorders>
          <w:cols w:space="720" w:num="1"/>
          <w:docGrid w:linePitch="312" w:charSpace="0"/>
        </w:sectPr>
      </w:pPr>
    </w:p>
    <w:p w14:paraId="5D0502C0">
      <w:pPr>
        <w:pStyle w:val="14"/>
        <w:bidi w:val="0"/>
        <w:rPr>
          <w:rFonts w:hint="eastAsia"/>
        </w:rPr>
      </w:pPr>
      <w:r>
        <w:rPr>
          <w:rFonts w:hint="eastAsia"/>
        </w:rPr>
        <w:drawing>
          <wp:inline distT="0" distB="0" distL="114300" distR="114300">
            <wp:extent cx="8874760" cy="5753735"/>
            <wp:effectExtent l="0" t="0" r="2540" b="18415"/>
            <wp:docPr id="16" name="图片 22" descr="F:/53、广东省泓磬环保科技有限公司液氨储存及配套氨水生产项目/37、广东省泓磬环保科技有限公司液氨储存及配套氨水生产项目/4、报告图片/项目位置-02.png项目位置-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F:/53、广东省泓磬环保科技有限公司液氨储存及配套氨水生产项目/37、广东省泓磬环保科技有限公司液氨储存及配套氨水生产项目/4、报告图片/项目位置-02.png项目位置-02"/>
                    <pic:cNvPicPr>
                      <a:picLocks noChangeAspect="1"/>
                    </pic:cNvPicPr>
                  </pic:nvPicPr>
                  <pic:blipFill>
                    <a:blip r:embed="rId42"/>
                    <a:srcRect l="39" r="39"/>
                    <a:stretch>
                      <a:fillRect/>
                    </a:stretch>
                  </pic:blipFill>
                  <pic:spPr>
                    <a:xfrm>
                      <a:off x="0" y="0"/>
                      <a:ext cx="8874760" cy="5753735"/>
                    </a:xfrm>
                    <a:prstGeom prst="rect">
                      <a:avLst/>
                    </a:prstGeom>
                    <a:noFill/>
                    <a:ln>
                      <a:noFill/>
                    </a:ln>
                  </pic:spPr>
                </pic:pic>
              </a:graphicData>
            </a:graphic>
          </wp:inline>
        </w:drawing>
      </w:r>
    </w:p>
    <w:p w14:paraId="356E02A5">
      <w:pPr>
        <w:pStyle w:val="2"/>
        <w:spacing w:line="240" w:lineRule="auto"/>
        <w:jc w:val="center"/>
        <w:rPr>
          <w:color w:val="000000" w:themeColor="text1"/>
          <w14:textFill>
            <w14:solidFill>
              <w14:schemeClr w14:val="tx1"/>
            </w14:solidFill>
          </w14:textFill>
        </w:rPr>
      </w:pPr>
      <w:bookmarkStart w:id="9" w:name="_Toc4865"/>
      <w:r>
        <w:rPr>
          <w:rFonts w:hint="eastAsia"/>
          <w:color w:val="000000" w:themeColor="text1"/>
          <w14:textFill>
            <w14:solidFill>
              <w14:schemeClr w14:val="tx1"/>
            </w14:solidFill>
          </w14:textFill>
        </w:rPr>
        <w:t>附图1项目地理位置图</w:t>
      </w:r>
      <w:bookmarkEnd w:id="9"/>
    </w:p>
    <w:p w14:paraId="0945D172">
      <w:pPr>
        <w:jc w:val="center"/>
        <w:rPr>
          <w:color w:val="000000" w:themeColor="text1"/>
          <w14:textFill>
            <w14:solidFill>
              <w14:schemeClr w14:val="tx1"/>
            </w14:solidFill>
          </w14:textFill>
        </w:rPr>
        <w:sectPr>
          <w:footerReference r:id="rId9" w:type="default"/>
          <w:pgSz w:w="16838" w:h="11906" w:orient="landscape"/>
          <w:pgMar w:top="1020" w:right="1020" w:bottom="1020" w:left="1020" w:header="851" w:footer="851" w:gutter="0"/>
          <w:pgBorders>
            <w:top w:val="none" w:sz="0" w:space="0"/>
            <w:left w:val="none" w:sz="0" w:space="0"/>
            <w:bottom w:val="none" w:sz="0" w:space="0"/>
            <w:right w:val="none" w:sz="0" w:space="0"/>
          </w:pgBorders>
          <w:cols w:space="720" w:num="1"/>
          <w:docGrid w:linePitch="312" w:charSpace="0"/>
        </w:sectPr>
      </w:pPr>
    </w:p>
    <w:p w14:paraId="6D32C6EA">
      <w:pPr>
        <w:keepNext/>
        <w:keepLines/>
        <w:outlineLvl w:val="0"/>
        <w:rPr>
          <w:b/>
          <w:kern w:val="44"/>
          <w:sz w:val="36"/>
        </w:rPr>
      </w:pPr>
      <w:bookmarkStart w:id="10" w:name="_Toc12166"/>
      <w:bookmarkStart w:id="11" w:name="_Toc22912"/>
      <w:r>
        <w:rPr>
          <w:b/>
          <w:kern w:val="44"/>
          <w:sz w:val="36"/>
        </w:rPr>
        <w:t>附件</w:t>
      </w:r>
      <w:r>
        <w:rPr>
          <w:rFonts w:hint="eastAsia"/>
          <w:b/>
          <w:kern w:val="44"/>
          <w:sz w:val="36"/>
        </w:rPr>
        <w:t>1</w:t>
      </w:r>
      <w:r>
        <w:rPr>
          <w:b/>
          <w:kern w:val="44"/>
          <w:sz w:val="36"/>
        </w:rPr>
        <w:t>：建设项目营业执照</w:t>
      </w:r>
      <w:bookmarkEnd w:id="10"/>
      <w:bookmarkEnd w:id="11"/>
    </w:p>
    <w:p w14:paraId="04C19FAC">
      <w:pPr>
        <w:spacing w:line="240" w:lineRule="auto"/>
        <w:jc w:val="center"/>
        <w:rPr>
          <w:sz w:val="21"/>
        </w:rPr>
      </w:pPr>
    </w:p>
    <w:p w14:paraId="0F06CF14">
      <w:pPr>
        <w:sectPr>
          <w:pgSz w:w="16783" w:h="11850" w:orient="landscape"/>
          <w:pgMar w:top="1077" w:right="1440" w:bottom="1077" w:left="1440" w:header="851" w:footer="992" w:gutter="0"/>
          <w:pgBorders>
            <w:top w:val="none" w:sz="0" w:space="0"/>
            <w:left w:val="none" w:sz="0" w:space="0"/>
            <w:bottom w:val="none" w:sz="0" w:space="0"/>
            <w:right w:val="none" w:sz="0" w:space="0"/>
          </w:pgBorders>
          <w:cols w:space="720" w:num="1"/>
          <w:docGrid w:linePitch="312" w:charSpace="0"/>
        </w:sectPr>
      </w:pPr>
    </w:p>
    <w:p w14:paraId="17A110CF">
      <w:pPr>
        <w:keepNext/>
        <w:keepLines/>
        <w:outlineLvl w:val="0"/>
        <w:rPr>
          <w:b/>
          <w:kern w:val="44"/>
          <w:sz w:val="36"/>
        </w:rPr>
      </w:pPr>
      <w:bookmarkStart w:id="12" w:name="_Toc12083"/>
      <w:bookmarkStart w:id="13" w:name="_Toc28417"/>
      <w:r>
        <w:rPr>
          <w:b/>
          <w:kern w:val="44"/>
          <w:sz w:val="36"/>
        </w:rPr>
        <w:t>附件</w:t>
      </w:r>
      <w:r>
        <w:rPr>
          <w:rFonts w:hint="eastAsia"/>
          <w:b/>
          <w:kern w:val="44"/>
          <w:sz w:val="36"/>
        </w:rPr>
        <w:t>2</w:t>
      </w:r>
      <w:r>
        <w:rPr>
          <w:b/>
          <w:kern w:val="44"/>
          <w:sz w:val="36"/>
        </w:rPr>
        <w:t>：建设项目法人代表身份证</w:t>
      </w:r>
      <w:bookmarkEnd w:id="12"/>
      <w:bookmarkEnd w:id="13"/>
    </w:p>
    <w:p w14:paraId="76932BAF">
      <w:pPr>
        <w:spacing w:line="240" w:lineRule="auto"/>
        <w:jc w:val="center"/>
        <w:rPr>
          <w:rFonts w:hint="eastAsia" w:eastAsia="宋体"/>
          <w:sz w:val="21"/>
          <w:lang w:eastAsia="zh-CN"/>
        </w:rPr>
      </w:pPr>
    </w:p>
    <w:p w14:paraId="5D861C14">
      <w:pPr>
        <w:sectPr>
          <w:pgSz w:w="11850" w:h="16783"/>
          <w:pgMar w:top="1440" w:right="1077" w:bottom="1440" w:left="1077" w:header="851" w:footer="992" w:gutter="0"/>
          <w:pgBorders>
            <w:top w:val="none" w:sz="0" w:space="0"/>
            <w:left w:val="none" w:sz="0" w:space="0"/>
            <w:bottom w:val="none" w:sz="0" w:space="0"/>
            <w:right w:val="none" w:sz="0" w:space="0"/>
          </w:pgBorders>
          <w:cols w:space="720" w:num="1"/>
          <w:docGrid w:linePitch="312" w:charSpace="0"/>
        </w:sectPr>
      </w:pPr>
      <w:bookmarkStart w:id="14" w:name="_Toc21096"/>
    </w:p>
    <w:p w14:paraId="1551A8BB">
      <w:pPr>
        <w:keepNext/>
        <w:keepLines/>
        <w:outlineLvl w:val="0"/>
        <w:rPr>
          <w:b/>
          <w:kern w:val="44"/>
          <w:sz w:val="36"/>
        </w:rPr>
      </w:pPr>
      <w:bookmarkStart w:id="15" w:name="_Toc16448"/>
      <w:r>
        <w:rPr>
          <w:b/>
          <w:kern w:val="44"/>
          <w:sz w:val="36"/>
        </w:rPr>
        <w:t>附件</w:t>
      </w:r>
      <w:r>
        <w:rPr>
          <w:rFonts w:hint="eastAsia"/>
          <w:b/>
          <w:kern w:val="44"/>
          <w:sz w:val="36"/>
        </w:rPr>
        <w:t>3</w:t>
      </w:r>
      <w:r>
        <w:rPr>
          <w:b/>
          <w:kern w:val="44"/>
          <w:sz w:val="36"/>
        </w:rPr>
        <w:t>：建设项目土地使用证</w:t>
      </w:r>
      <w:r>
        <w:rPr>
          <w:rFonts w:hint="eastAsia"/>
          <w:b/>
          <w:kern w:val="44"/>
          <w:sz w:val="36"/>
        </w:rPr>
        <w:t>及租赁合同</w:t>
      </w:r>
      <w:bookmarkEnd w:id="14"/>
      <w:bookmarkEnd w:id="15"/>
    </w:p>
    <w:p w14:paraId="5F90D9E6">
      <w:pPr>
        <w:spacing w:line="240" w:lineRule="auto"/>
        <w:jc w:val="center"/>
        <w:rPr>
          <w:rFonts w:hint="eastAsia" w:eastAsia="宋体"/>
          <w:sz w:val="21"/>
          <w:lang w:eastAsia="zh-CN"/>
        </w:rPr>
      </w:pPr>
    </w:p>
    <w:p w14:paraId="09DB0B48">
      <w:pPr>
        <w:spacing w:line="240" w:lineRule="auto"/>
        <w:jc w:val="center"/>
        <w:rPr>
          <w:sz w:val="21"/>
        </w:rPr>
      </w:pPr>
    </w:p>
    <w:p w14:paraId="50BB843C">
      <w:pPr>
        <w:sectPr>
          <w:pgSz w:w="11850" w:h="16783"/>
          <w:pgMar w:top="1440" w:right="1077" w:bottom="1440" w:left="1077" w:header="851" w:footer="992" w:gutter="0"/>
          <w:pgBorders>
            <w:top w:val="none" w:sz="0" w:space="0"/>
            <w:left w:val="none" w:sz="0" w:space="0"/>
            <w:bottom w:val="none" w:sz="0" w:space="0"/>
            <w:right w:val="none" w:sz="0" w:space="0"/>
          </w:pgBorders>
          <w:cols w:space="720" w:num="1"/>
          <w:docGrid w:linePitch="312" w:charSpace="0"/>
        </w:sectPr>
      </w:pPr>
    </w:p>
    <w:p w14:paraId="490746A4">
      <w:pPr>
        <w:pStyle w:val="14"/>
        <w:bidi w:val="0"/>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6" w:name="_Toc14130"/>
      <w:bookmarkStart w:id="17" w:name="_Toc11231"/>
      <w:r>
        <w:rPr>
          <w:rFonts w:hint="eastAsia"/>
          <w:b/>
          <w:color w:val="000000" w:themeColor="text1"/>
          <w:kern w:val="44"/>
          <w:sz w:val="36"/>
          <w14:textFill>
            <w14:solidFill>
              <w14:schemeClr w14:val="tx1"/>
            </w14:solidFill>
          </w14:textFill>
        </w:rPr>
        <w:t>附件4：</w:t>
      </w:r>
      <w:bookmarkEnd w:id="16"/>
      <w:r>
        <w:rPr>
          <w:rFonts w:hint="eastAsia"/>
          <w:b/>
          <w:color w:val="000000" w:themeColor="text1"/>
          <w:kern w:val="44"/>
          <w:sz w:val="36"/>
          <w:lang w:eastAsia="zh-CN"/>
          <w14:textFill>
            <w14:solidFill>
              <w14:schemeClr w14:val="tx1"/>
            </w14:solidFill>
          </w14:textFill>
        </w:rPr>
        <w:t>项目投资备案证</w:t>
      </w:r>
      <w:bookmarkEnd w:id="17"/>
    </w:p>
    <w:p w14:paraId="552E1237">
      <w:pPr>
        <w:pStyle w:val="2"/>
      </w:pPr>
      <w:bookmarkStart w:id="18" w:name="_Toc10053"/>
      <w:r>
        <w:rPr>
          <w:rFonts w:hint="eastAsia"/>
        </w:rPr>
        <w:t>附件8：</w:t>
      </w:r>
      <w:r>
        <w:rPr>
          <w:rFonts w:hint="eastAsia"/>
          <w:lang w:eastAsia="zh-CN"/>
        </w:rPr>
        <w:t>液氨</w:t>
      </w:r>
      <w:r>
        <w:rPr>
          <w:rFonts w:hint="eastAsia"/>
        </w:rPr>
        <w:t>MSDS</w:t>
      </w:r>
      <w:bookmarkEnd w:id="18"/>
    </w:p>
    <w:p w14:paraId="05069153">
      <w:pPr>
        <w:pStyle w:val="14"/>
      </w:pPr>
    </w:p>
    <w:p w14:paraId="30CC71F7">
      <w:pPr>
        <w:pStyle w:val="2"/>
        <w:rPr>
          <w:rFonts w:hint="eastAsia"/>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68FB599">
      <w:pPr>
        <w:pStyle w:val="2"/>
        <w:bidi w:val="0"/>
        <w:rPr>
          <w:rFonts w:hint="eastAsia"/>
          <w:color w:val="000000" w:themeColor="text1"/>
          <w:lang w:val="en-US" w:eastAsia="zh-CN"/>
          <w14:textFill>
            <w14:solidFill>
              <w14:schemeClr w14:val="tx1"/>
            </w14:solidFill>
          </w14:textFill>
        </w:rPr>
      </w:pPr>
      <w:bookmarkStart w:id="19" w:name="_Toc4697"/>
      <w:r>
        <w:rPr>
          <w:rFonts w:hint="eastAsia"/>
          <w:color w:val="000000" w:themeColor="text1"/>
          <w:lang w:val="en-US" w:eastAsia="zh-CN"/>
          <w14:textFill>
            <w14:solidFill>
              <w14:schemeClr w14:val="tx1"/>
            </w14:solidFill>
          </w14:textFill>
        </w:rPr>
        <w:t>附件9：氨水（25%）MSDS</w:t>
      </w:r>
      <w:bookmarkEnd w:id="19"/>
    </w:p>
    <w:p w14:paraId="4259BB0A">
      <w:pPr>
        <w:jc w:val="center"/>
        <w:rPr>
          <w:rFonts w:hint="eastAsia"/>
          <w:lang w:val="en-US" w:eastAsia="zh-CN"/>
        </w:rPr>
      </w:pPr>
    </w:p>
    <w:p w14:paraId="4A894BEE">
      <w:pPr>
        <w:pStyle w:val="14"/>
        <w:bidi w:val="0"/>
        <w:rPr>
          <w:rFonts w:hint="default"/>
          <w:color w:val="000000" w:themeColor="text1"/>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6A60E08">
      <w:pPr>
        <w:rPr>
          <w:rFonts w:eastAsia="宋体"/>
          <w:color w:val="000000" w:themeColor="text1"/>
          <w14:textFill>
            <w14:solidFill>
              <w14:schemeClr w14:val="tx1"/>
            </w14:solidFill>
          </w14:textFill>
        </w:rPr>
      </w:pPr>
    </w:p>
    <w:p w14:paraId="340ACD2D">
      <w:pPr>
        <w:rPr>
          <w:rFonts w:eastAsia="宋体"/>
          <w:color w:val="000000" w:themeColor="text1"/>
          <w14:textFill>
            <w14:solidFill>
              <w14:schemeClr w14:val="tx1"/>
            </w14:solidFill>
          </w14:textFill>
        </w:rPr>
      </w:pPr>
    </w:p>
    <w:p w14:paraId="32382E8B">
      <w:pPr>
        <w:rPr>
          <w:rFonts w:eastAsia="宋体"/>
          <w:color w:val="000000" w:themeColor="text1"/>
          <w14:textFill>
            <w14:solidFill>
              <w14:schemeClr w14:val="tx1"/>
            </w14:solidFill>
          </w14:textFill>
        </w:rPr>
      </w:pPr>
    </w:p>
    <w:p w14:paraId="3FFD3543">
      <w:pPr>
        <w:jc w:val="center"/>
        <w:rPr>
          <w:rFonts w:hint="eastAsia" w:eastAsia="宋体"/>
          <w:b/>
          <w:bCs/>
          <w:color w:val="000000" w:themeColor="text1"/>
          <w:sz w:val="44"/>
          <w:szCs w:val="44"/>
          <w:lang w:eastAsia="zh-CN"/>
          <w14:textFill>
            <w14:solidFill>
              <w14:schemeClr w14:val="tx1"/>
            </w14:solidFill>
          </w14:textFill>
        </w:rPr>
      </w:pPr>
      <w:r>
        <w:rPr>
          <w:rFonts w:hint="eastAsia" w:eastAsia="宋体"/>
          <w:b/>
          <w:bCs/>
          <w:color w:val="000000" w:themeColor="text1"/>
          <w:sz w:val="44"/>
          <w:szCs w:val="44"/>
          <w:lang w:eastAsia="zh-CN"/>
          <w14:textFill>
            <w14:solidFill>
              <w14:schemeClr w14:val="tx1"/>
            </w14:solidFill>
          </w14:textFill>
        </w:rPr>
        <w:t>广东省泓磬环保科技有限公司液氨储存</w:t>
      </w:r>
    </w:p>
    <w:p w14:paraId="69C91CED">
      <w:pPr>
        <w:jc w:val="center"/>
        <w:rPr>
          <w:rFonts w:hint="eastAsia" w:eastAsia="宋体"/>
          <w:color w:val="000000" w:themeColor="text1"/>
          <w:lang w:eastAsia="zh-CN"/>
          <w14:textFill>
            <w14:solidFill>
              <w14:schemeClr w14:val="tx1"/>
            </w14:solidFill>
          </w14:textFill>
        </w:rPr>
      </w:pPr>
      <w:r>
        <w:rPr>
          <w:rFonts w:hint="eastAsia" w:eastAsia="宋体"/>
          <w:b/>
          <w:bCs/>
          <w:color w:val="000000" w:themeColor="text1"/>
          <w:sz w:val="44"/>
          <w:szCs w:val="44"/>
          <w:lang w:eastAsia="zh-CN"/>
          <w14:textFill>
            <w14:solidFill>
              <w14:schemeClr w14:val="tx1"/>
            </w14:solidFill>
          </w14:textFill>
        </w:rPr>
        <w:t>及配套氨水生产项目</w:t>
      </w:r>
    </w:p>
    <w:p w14:paraId="55E72F0A">
      <w:pPr>
        <w:rPr>
          <w:rFonts w:eastAsia="宋体"/>
          <w:color w:val="000000" w:themeColor="text1"/>
          <w14:textFill>
            <w14:solidFill>
              <w14:schemeClr w14:val="tx1"/>
            </w14:solidFill>
          </w14:textFill>
        </w:rPr>
      </w:pPr>
    </w:p>
    <w:p w14:paraId="38D3FC3F">
      <w:pPr>
        <w:rPr>
          <w:rFonts w:eastAsia="宋体"/>
          <w:color w:val="000000" w:themeColor="text1"/>
          <w14:textFill>
            <w14:solidFill>
              <w14:schemeClr w14:val="tx1"/>
            </w14:solidFill>
          </w14:textFill>
        </w:rPr>
      </w:pPr>
    </w:p>
    <w:p w14:paraId="06FB2CF7">
      <w:pPr>
        <w:jc w:val="center"/>
        <w:outlineLvl w:val="0"/>
        <w:rPr>
          <w:rFonts w:eastAsia="宋体"/>
          <w:color w:val="000000" w:themeColor="text1"/>
          <w:sz w:val="28"/>
          <w:szCs w:val="28"/>
          <w14:textFill>
            <w14:solidFill>
              <w14:schemeClr w14:val="tx1"/>
            </w14:solidFill>
          </w14:textFill>
        </w:rPr>
      </w:pPr>
      <w:bookmarkStart w:id="20" w:name="_Toc20422"/>
      <w:bookmarkStart w:id="21" w:name="_Toc5853"/>
      <w:r>
        <w:rPr>
          <w:rFonts w:hint="eastAsia" w:eastAsia="宋体"/>
          <w:b/>
          <w:bCs/>
          <w:color w:val="000000" w:themeColor="text1"/>
          <w:sz w:val="44"/>
          <w:szCs w:val="44"/>
          <w14:textFill>
            <w14:solidFill>
              <w14:schemeClr w14:val="tx1"/>
            </w14:solidFill>
          </w14:textFill>
        </w:rPr>
        <w:t>环境风险影响专项评价</w:t>
      </w:r>
      <w:bookmarkEnd w:id="20"/>
      <w:bookmarkEnd w:id="21"/>
    </w:p>
    <w:p w14:paraId="4462140F">
      <w:pPr>
        <w:rPr>
          <w:rFonts w:eastAsia="宋体"/>
          <w:color w:val="000000" w:themeColor="text1"/>
          <w14:textFill>
            <w14:solidFill>
              <w14:schemeClr w14:val="tx1"/>
            </w14:solidFill>
          </w14:textFill>
        </w:rPr>
      </w:pPr>
    </w:p>
    <w:p w14:paraId="491CF701">
      <w:pPr>
        <w:rPr>
          <w:rFonts w:eastAsia="宋体"/>
          <w:color w:val="000000" w:themeColor="text1"/>
          <w14:textFill>
            <w14:solidFill>
              <w14:schemeClr w14:val="tx1"/>
            </w14:solidFill>
          </w14:textFill>
        </w:rPr>
      </w:pPr>
    </w:p>
    <w:p w14:paraId="385192A5">
      <w:pPr>
        <w:rPr>
          <w:rFonts w:eastAsia="宋体"/>
          <w:color w:val="000000" w:themeColor="text1"/>
          <w14:textFill>
            <w14:solidFill>
              <w14:schemeClr w14:val="tx1"/>
            </w14:solidFill>
          </w14:textFill>
        </w:rPr>
      </w:pPr>
    </w:p>
    <w:p w14:paraId="3DD4B3B2">
      <w:pPr>
        <w:rPr>
          <w:rFonts w:eastAsia="宋体"/>
          <w:color w:val="000000" w:themeColor="text1"/>
          <w14:textFill>
            <w14:solidFill>
              <w14:schemeClr w14:val="tx1"/>
            </w14:solidFill>
          </w14:textFill>
        </w:rPr>
      </w:pPr>
    </w:p>
    <w:p w14:paraId="4D329380">
      <w:pPr>
        <w:rPr>
          <w:rFonts w:eastAsia="宋体"/>
          <w:color w:val="000000" w:themeColor="text1"/>
          <w14:textFill>
            <w14:solidFill>
              <w14:schemeClr w14:val="tx1"/>
            </w14:solidFill>
          </w14:textFill>
        </w:rPr>
      </w:pPr>
    </w:p>
    <w:p w14:paraId="4BAA9A1F">
      <w:pPr>
        <w:rPr>
          <w:rFonts w:eastAsia="宋体"/>
          <w:color w:val="000000" w:themeColor="text1"/>
          <w14:textFill>
            <w14:solidFill>
              <w14:schemeClr w14:val="tx1"/>
            </w14:solidFill>
          </w14:textFill>
        </w:rPr>
      </w:pPr>
    </w:p>
    <w:p w14:paraId="2862969F">
      <w:pPr>
        <w:rPr>
          <w:rFonts w:eastAsia="宋体"/>
          <w:color w:val="000000" w:themeColor="text1"/>
          <w14:textFill>
            <w14:solidFill>
              <w14:schemeClr w14:val="tx1"/>
            </w14:solidFill>
          </w14:textFill>
        </w:rPr>
      </w:pPr>
    </w:p>
    <w:p w14:paraId="71061C8C">
      <w:pPr>
        <w:rPr>
          <w:rFonts w:eastAsia="宋体"/>
          <w:color w:val="000000" w:themeColor="text1"/>
          <w14:textFill>
            <w14:solidFill>
              <w14:schemeClr w14:val="tx1"/>
            </w14:solidFill>
          </w14:textFill>
        </w:rPr>
      </w:pPr>
    </w:p>
    <w:p w14:paraId="70E3C153">
      <w:pPr>
        <w:rPr>
          <w:rFonts w:eastAsia="宋体"/>
          <w:color w:val="000000" w:themeColor="text1"/>
          <w14:textFill>
            <w14:solidFill>
              <w14:schemeClr w14:val="tx1"/>
            </w14:solidFill>
          </w14:textFill>
        </w:rPr>
      </w:pPr>
    </w:p>
    <w:p w14:paraId="29431976">
      <w:pPr>
        <w:rPr>
          <w:rFonts w:eastAsia="宋体"/>
          <w:color w:val="000000" w:themeColor="text1"/>
          <w14:textFill>
            <w14:solidFill>
              <w14:schemeClr w14:val="tx1"/>
            </w14:solidFill>
          </w14:textFill>
        </w:rPr>
      </w:pPr>
    </w:p>
    <w:p w14:paraId="1BBB7088">
      <w:pPr>
        <w:rPr>
          <w:rFonts w:eastAsia="宋体"/>
          <w:color w:val="000000" w:themeColor="text1"/>
          <w14:textFill>
            <w14:solidFill>
              <w14:schemeClr w14:val="tx1"/>
            </w14:solidFill>
          </w14:textFill>
        </w:rPr>
      </w:pPr>
    </w:p>
    <w:p w14:paraId="35C951E1">
      <w:pPr>
        <w:rPr>
          <w:rFonts w:eastAsia="宋体"/>
          <w:color w:val="000000" w:themeColor="text1"/>
          <w14:textFill>
            <w14:solidFill>
              <w14:schemeClr w14:val="tx1"/>
            </w14:solidFill>
          </w14:textFill>
        </w:rPr>
      </w:pPr>
    </w:p>
    <w:p w14:paraId="53640747">
      <w:pPr>
        <w:rPr>
          <w:rFonts w:eastAsia="宋体"/>
          <w:color w:val="000000" w:themeColor="text1"/>
          <w14:textFill>
            <w14:solidFill>
              <w14:schemeClr w14:val="tx1"/>
            </w14:solidFill>
          </w14:textFill>
        </w:rPr>
      </w:pPr>
    </w:p>
    <w:p w14:paraId="5ADD9118">
      <w:pPr>
        <w:jc w:val="center"/>
        <w:rPr>
          <w:rFonts w:eastAsia="宋体"/>
          <w:b/>
          <w:bCs/>
          <w:color w:val="000000" w:themeColor="text1"/>
          <w:sz w:val="32"/>
          <w:szCs w:val="32"/>
          <w14:textFill>
            <w14:solidFill>
              <w14:schemeClr w14:val="tx1"/>
            </w14:solidFill>
          </w14:textFill>
        </w:rPr>
      </w:pPr>
      <w:r>
        <w:rPr>
          <w:rFonts w:hint="eastAsia" w:eastAsia="宋体"/>
          <w:b/>
          <w:bCs/>
          <w:color w:val="000000" w:themeColor="text1"/>
          <w:sz w:val="32"/>
          <w:szCs w:val="32"/>
          <w14:textFill>
            <w14:solidFill>
              <w14:schemeClr w14:val="tx1"/>
            </w14:solidFill>
          </w14:textFill>
        </w:rPr>
        <w:t>建设单位：</w:t>
      </w:r>
      <w:r>
        <w:rPr>
          <w:rFonts w:hint="eastAsia" w:eastAsia="宋体"/>
          <w:color w:val="000000" w:themeColor="text1"/>
          <w:sz w:val="32"/>
          <w:szCs w:val="32"/>
          <w14:textFill>
            <w14:solidFill>
              <w14:schemeClr w14:val="tx1"/>
            </w14:solidFill>
          </w14:textFill>
        </w:rPr>
        <w:t>广东省泓磬环保科技有限公司</w:t>
      </w:r>
    </w:p>
    <w:p w14:paraId="796E88ED">
      <w:pPr>
        <w:jc w:val="center"/>
        <w:rPr>
          <w:rFonts w:eastAsia="宋体"/>
          <w:b/>
          <w:bCs/>
          <w:color w:val="000000" w:themeColor="text1"/>
          <w:sz w:val="32"/>
          <w:szCs w:val="32"/>
          <w14:textFill>
            <w14:solidFill>
              <w14:schemeClr w14:val="tx1"/>
            </w14:solidFill>
          </w14:textFill>
        </w:rPr>
      </w:pPr>
      <w:r>
        <w:rPr>
          <w:rFonts w:hint="eastAsia" w:eastAsia="宋体"/>
          <w:b/>
          <w:bCs/>
          <w:color w:val="000000" w:themeColor="text1"/>
          <w:sz w:val="32"/>
          <w:szCs w:val="32"/>
          <w14:textFill>
            <w14:solidFill>
              <w14:schemeClr w14:val="tx1"/>
            </w14:solidFill>
          </w14:textFill>
        </w:rPr>
        <w:t>环评单位：</w:t>
      </w:r>
      <w:r>
        <w:rPr>
          <w:rFonts w:hint="eastAsia" w:eastAsia="宋体"/>
          <w:color w:val="000000" w:themeColor="text1"/>
          <w:sz w:val="32"/>
          <w:szCs w:val="32"/>
          <w:lang w:eastAsia="zh-CN"/>
          <w14:textFill>
            <w14:solidFill>
              <w14:schemeClr w14:val="tx1"/>
            </w14:solidFill>
          </w14:textFill>
        </w:rPr>
        <w:t>云浮市金管家环保</w:t>
      </w:r>
      <w:r>
        <w:rPr>
          <w:rFonts w:hint="eastAsia" w:eastAsia="宋体"/>
          <w:color w:val="000000" w:themeColor="text1"/>
          <w:sz w:val="32"/>
          <w:szCs w:val="32"/>
          <w14:textFill>
            <w14:solidFill>
              <w14:schemeClr w14:val="tx1"/>
            </w14:solidFill>
          </w14:textFill>
        </w:rPr>
        <w:t>科技有限公司</w:t>
      </w:r>
    </w:p>
    <w:p w14:paraId="2F698EDA">
      <w:pPr>
        <w:jc w:val="center"/>
        <w:rPr>
          <w:rFonts w:eastAsia="宋体"/>
          <w:color w:val="000000" w:themeColor="text1"/>
          <w14:textFill>
            <w14:solidFill>
              <w14:schemeClr w14:val="tx1"/>
            </w14:solidFill>
          </w14:textFill>
        </w:rPr>
      </w:pPr>
      <w:r>
        <w:rPr>
          <w:rFonts w:hint="eastAsia" w:eastAsia="宋体"/>
          <w:b/>
          <w:bCs/>
          <w:color w:val="000000" w:themeColor="text1"/>
          <w:sz w:val="32"/>
          <w:szCs w:val="32"/>
          <w14:textFill>
            <w14:solidFill>
              <w14:schemeClr w14:val="tx1"/>
            </w14:solidFill>
          </w14:textFill>
        </w:rPr>
        <w:t>二〇二</w:t>
      </w:r>
      <w:r>
        <w:rPr>
          <w:rFonts w:hint="eastAsia" w:eastAsia="宋体"/>
          <w:b/>
          <w:bCs/>
          <w:color w:val="000000" w:themeColor="text1"/>
          <w:sz w:val="32"/>
          <w:szCs w:val="32"/>
          <w:lang w:eastAsia="zh-CN"/>
          <w14:textFill>
            <w14:solidFill>
              <w14:schemeClr w14:val="tx1"/>
            </w14:solidFill>
          </w14:textFill>
        </w:rPr>
        <w:t>五</w:t>
      </w:r>
      <w:r>
        <w:rPr>
          <w:rFonts w:hint="eastAsia" w:eastAsia="宋体"/>
          <w:b/>
          <w:bCs/>
          <w:color w:val="000000" w:themeColor="text1"/>
          <w:sz w:val="32"/>
          <w:szCs w:val="32"/>
          <w14:textFill>
            <w14:solidFill>
              <w14:schemeClr w14:val="tx1"/>
            </w14:solidFill>
          </w14:textFill>
        </w:rPr>
        <w:t>年</w:t>
      </w:r>
      <w:r>
        <w:rPr>
          <w:rFonts w:hint="eastAsia" w:eastAsia="宋体"/>
          <w:b/>
          <w:bCs/>
          <w:color w:val="000000" w:themeColor="text1"/>
          <w:sz w:val="32"/>
          <w:szCs w:val="32"/>
          <w:lang w:eastAsia="zh-CN"/>
          <w14:textFill>
            <w14:solidFill>
              <w14:schemeClr w14:val="tx1"/>
            </w14:solidFill>
          </w14:textFill>
        </w:rPr>
        <w:t>九</w:t>
      </w:r>
      <w:r>
        <w:rPr>
          <w:rFonts w:hint="eastAsia" w:eastAsia="宋体"/>
          <w:b/>
          <w:bCs/>
          <w:color w:val="000000" w:themeColor="text1"/>
          <w:sz w:val="32"/>
          <w:szCs w:val="32"/>
          <w14:textFill>
            <w14:solidFill>
              <w14:schemeClr w14:val="tx1"/>
            </w14:solidFill>
          </w14:textFill>
        </w:rPr>
        <w:t>月</w:t>
      </w:r>
    </w:p>
    <w:p w14:paraId="19A94990">
      <w:pPr>
        <w:rPr>
          <w:rFonts w:eastAsia="宋体"/>
          <w:color w:val="000000" w:themeColor="text1"/>
          <w14:textFill>
            <w14:solidFill>
              <w14:schemeClr w14:val="tx1"/>
            </w14:solidFill>
          </w14:textFill>
        </w:rPr>
      </w:pPr>
    </w:p>
    <w:p w14:paraId="0EB069FF">
      <w:pPr>
        <w:rPr>
          <w:color w:val="000000" w:themeColor="text1"/>
          <w14:textFill>
            <w14:solidFill>
              <w14:schemeClr w14:val="tx1"/>
            </w14:solidFill>
          </w14:textFill>
        </w:rPr>
        <w:sectPr>
          <w:pgSz w:w="11906" w:h="16838"/>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7B320109">
      <w:pPr>
        <w:pStyle w:val="2"/>
        <w:bidi w:val="0"/>
        <w:rPr>
          <w:rFonts w:hint="eastAsia"/>
          <w:lang w:val="en-US" w:eastAsia="zh-CN"/>
        </w:rPr>
      </w:pPr>
      <w:bookmarkStart w:id="22" w:name="_Toc1203"/>
      <w:r>
        <w:rPr>
          <w:rFonts w:hint="eastAsia"/>
          <w:lang w:val="en-US" w:eastAsia="zh-CN"/>
        </w:rPr>
        <w:t>1前言</w:t>
      </w:r>
      <w:bookmarkEnd w:id="22"/>
    </w:p>
    <w:p w14:paraId="2887201D">
      <w:pPr>
        <w:pStyle w:val="3"/>
        <w:bidi w:val="0"/>
        <w:rPr>
          <w:rFonts w:hint="eastAsia"/>
          <w:lang w:val="en-US" w:eastAsia="zh-CN"/>
        </w:rPr>
      </w:pPr>
      <w:r>
        <w:rPr>
          <w:rFonts w:hint="eastAsia"/>
          <w:lang w:val="en-US" w:eastAsia="zh-CN"/>
        </w:rPr>
        <w:t>1.1项目背景</w:t>
      </w:r>
    </w:p>
    <w:p w14:paraId="1F256176">
      <w:pPr>
        <w:ind w:firstLine="480" w:firstLineChars="200"/>
        <w:rPr>
          <w:rFonts w:hint="eastAsia"/>
          <w:lang w:val="en-US" w:eastAsia="zh-CN"/>
        </w:rPr>
      </w:pPr>
      <w:r>
        <w:rPr>
          <w:rFonts w:hint="eastAsia"/>
          <w:lang w:val="en-US" w:eastAsia="zh-CN"/>
        </w:rPr>
        <w:t>广东省泓磬环保科技有限公司液氨储存及配套氨水生产项目位于云浮市云安区六都镇茅坪坑，总投资9000万元，其中环保投资450万元。计划建设一套年产15万吨工业级氨水（氨含量25%）生产装置，建设配套广东广业云硫矿业有限公司10万吨/年精制湿法磷酸项目的架空管廊，年供给该项目1.8万吨液氨，以及一个带充装能力为2000吨/年的液氨充装站。根据《建设项目环境影响报告表编制技术指南（污染影响类）（试行）》（环办环评〔2020〕33号），本项目属于“有毒有害和易燃易爆危险物质存储量超过临界量的建设项目”，需编制环境风险专项评价。现我司受广东省泓磬环保科技有限公司委托，并在其协助下完成环境风险专项评价的编写工作。</w:t>
      </w:r>
    </w:p>
    <w:p w14:paraId="0B68F840">
      <w:pPr>
        <w:pStyle w:val="3"/>
        <w:bidi w:val="0"/>
        <w:rPr>
          <w:rFonts w:hint="eastAsia"/>
          <w:lang w:val="en-US" w:eastAsia="zh-CN"/>
        </w:rPr>
      </w:pPr>
      <w:r>
        <w:rPr>
          <w:rFonts w:hint="eastAsia"/>
          <w:lang w:val="en-US" w:eastAsia="zh-CN"/>
        </w:rPr>
        <w:t>1.2环境风险评价的目的</w:t>
      </w:r>
    </w:p>
    <w:p w14:paraId="7BEE0442">
      <w:pPr>
        <w:ind w:firstLine="480" w:firstLineChars="200"/>
        <w:rPr>
          <w:rFonts w:hint="eastAsia"/>
          <w:lang w:val="en-US" w:eastAsia="zh-CN"/>
        </w:rPr>
      </w:pPr>
      <w:r>
        <w:rPr>
          <w:rFonts w:hint="eastAsia"/>
          <w:lang w:val="en-US" w:eastAsia="zh-CN"/>
        </w:rPr>
        <w:t>风险评价的目的旨在通过风险度的分析，对项目建设和运行过程中可能存在的事故隐患提出事故防范措施和事故后应急措施，为工程设计和安全生产提供依据。</w:t>
      </w:r>
    </w:p>
    <w:p w14:paraId="4D0FA845">
      <w:pPr>
        <w:ind w:firstLine="480" w:firstLineChars="200"/>
        <w:rPr>
          <w:rFonts w:hint="eastAsia"/>
          <w:lang w:val="en-US" w:eastAsia="zh-CN"/>
        </w:rPr>
      </w:pPr>
      <w:r>
        <w:rPr>
          <w:rFonts w:hint="eastAsia"/>
          <w:lang w:val="en-US" w:eastAsia="zh-CN"/>
        </w:rPr>
        <w:t>环境风险评价区别于安全评价的主要条件之一是：环境风险评价范围的着眼点是区域环境，包括自然环境、社会环境、生态环境等，而安全评价着眼于设备安全性事故后暴露范围内的人员与财产损害，通常设备燃爆安全性事故的范围限于厂界内。</w:t>
      </w:r>
    </w:p>
    <w:p w14:paraId="7107EB4B">
      <w:pPr>
        <w:ind w:firstLine="480" w:firstLineChars="200"/>
        <w:rPr>
          <w:rFonts w:hint="eastAsia"/>
          <w:lang w:val="en-US" w:eastAsia="zh-CN"/>
        </w:rPr>
      </w:pPr>
      <w:r>
        <w:rPr>
          <w:rFonts w:hint="eastAsia"/>
          <w:lang w:val="en-US" w:eastAsia="zh-CN"/>
        </w:rPr>
        <w:t>根据《建设项目环境风险评价技术导则（HJ169-2018）》、《关于切实加强风险防范严格环境影响评价管理的通知》（环境保护部，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将风险的可能性和危害性降低到最小程度。</w:t>
      </w:r>
    </w:p>
    <w:p w14:paraId="2455873E">
      <w:pPr>
        <w:pStyle w:val="3"/>
        <w:bidi w:val="0"/>
        <w:rPr>
          <w:rFonts w:hint="eastAsia"/>
          <w:lang w:val="en-US" w:eastAsia="zh-CN"/>
        </w:rPr>
      </w:pPr>
      <w:r>
        <w:rPr>
          <w:rFonts w:hint="eastAsia"/>
          <w:lang w:val="en-US" w:eastAsia="zh-CN"/>
        </w:rPr>
        <w:t>1.3评价依据</w:t>
      </w:r>
    </w:p>
    <w:p w14:paraId="06F1DD3C">
      <w:pPr>
        <w:pStyle w:val="4"/>
        <w:bidi w:val="0"/>
        <w:rPr>
          <w:rFonts w:hint="eastAsia"/>
          <w:lang w:val="en-US" w:eastAsia="zh-CN"/>
        </w:rPr>
      </w:pPr>
      <w:r>
        <w:rPr>
          <w:rFonts w:hint="eastAsia"/>
          <w:lang w:val="en-US" w:eastAsia="zh-CN"/>
        </w:rPr>
        <w:t>1.3.1法律法规、指导性文件</w:t>
      </w:r>
    </w:p>
    <w:p w14:paraId="1B6752B6">
      <w:pPr>
        <w:ind w:firstLine="480" w:firstLineChars="200"/>
        <w:rPr>
          <w:rFonts w:hint="eastAsia"/>
          <w:lang w:val="en-US" w:eastAsia="zh-CN"/>
        </w:rPr>
      </w:pPr>
      <w:r>
        <w:rPr>
          <w:rFonts w:hint="eastAsia"/>
          <w:lang w:val="en-US" w:eastAsia="zh-CN"/>
        </w:rPr>
        <w:t>（1）《中华人民共和国环境保护法》（2015年1月1日）；</w:t>
      </w:r>
    </w:p>
    <w:p w14:paraId="3FCC374A">
      <w:pPr>
        <w:ind w:firstLine="480" w:firstLineChars="200"/>
        <w:rPr>
          <w:rFonts w:hint="eastAsia"/>
          <w:lang w:val="en-US" w:eastAsia="zh-CN"/>
        </w:rPr>
      </w:pPr>
      <w:r>
        <w:rPr>
          <w:rFonts w:hint="eastAsia"/>
          <w:lang w:val="en-US" w:eastAsia="zh-CN"/>
        </w:rPr>
        <w:t>（2）《中华人民共和国环境影响评价法》（2018年12月29日修订）；</w:t>
      </w:r>
    </w:p>
    <w:p w14:paraId="11E07FEA">
      <w:pPr>
        <w:ind w:firstLine="480" w:firstLineChars="200"/>
        <w:rPr>
          <w:rFonts w:hint="eastAsia"/>
          <w:lang w:val="en-US" w:eastAsia="zh-CN"/>
        </w:rPr>
      </w:pPr>
      <w:r>
        <w:rPr>
          <w:rFonts w:hint="eastAsia"/>
          <w:lang w:val="en-US" w:eastAsia="zh-CN"/>
        </w:rPr>
        <w:t>（3）《中华人民共和国水污染防治法》（2018年1月1日修订）；</w:t>
      </w:r>
    </w:p>
    <w:p w14:paraId="403A6706">
      <w:pPr>
        <w:ind w:firstLine="480" w:firstLineChars="200"/>
        <w:rPr>
          <w:rFonts w:hint="eastAsia"/>
          <w:lang w:val="en-US" w:eastAsia="zh-CN"/>
        </w:rPr>
      </w:pPr>
      <w:r>
        <w:rPr>
          <w:rFonts w:hint="eastAsia"/>
          <w:lang w:val="en-US" w:eastAsia="zh-CN"/>
        </w:rPr>
        <w:t>（4）《中华人民共和国大气污染防治法》（2018年10月26日修订）；</w:t>
      </w:r>
    </w:p>
    <w:p w14:paraId="7BE2F49F">
      <w:pPr>
        <w:ind w:firstLine="480" w:firstLineChars="200"/>
        <w:rPr>
          <w:rFonts w:hint="eastAsia"/>
          <w:lang w:val="en-US" w:eastAsia="zh-CN"/>
        </w:rPr>
      </w:pPr>
      <w:r>
        <w:rPr>
          <w:rFonts w:hint="eastAsia"/>
          <w:lang w:val="en-US" w:eastAsia="zh-CN"/>
        </w:rPr>
        <w:t>（5）《中华人民共和国噪声污染防治法》（2022年6月5日）；</w:t>
      </w:r>
    </w:p>
    <w:p w14:paraId="6411466E">
      <w:pPr>
        <w:ind w:firstLine="480" w:firstLineChars="200"/>
        <w:rPr>
          <w:rFonts w:hint="eastAsia"/>
          <w:lang w:val="en-US" w:eastAsia="zh-CN"/>
        </w:rPr>
      </w:pPr>
      <w:r>
        <w:rPr>
          <w:rFonts w:hint="eastAsia"/>
          <w:lang w:val="en-US" w:eastAsia="zh-CN"/>
        </w:rPr>
        <w:t>（6）《中华人民共和国固体废物污染环境防治法》（2020年9月1日）；</w:t>
      </w:r>
    </w:p>
    <w:p w14:paraId="72EF0851">
      <w:pPr>
        <w:ind w:firstLine="480" w:firstLineChars="200"/>
        <w:rPr>
          <w:rFonts w:hint="eastAsia"/>
          <w:lang w:val="en-US" w:eastAsia="zh-CN"/>
        </w:rPr>
      </w:pPr>
      <w:r>
        <w:rPr>
          <w:rFonts w:hint="eastAsia"/>
          <w:lang w:val="en-US" w:eastAsia="zh-CN"/>
        </w:rPr>
        <w:t>（7）《中华人民共和国水法》（2016年7月2日修订）；</w:t>
      </w:r>
    </w:p>
    <w:p w14:paraId="13F18801">
      <w:pPr>
        <w:ind w:firstLine="480" w:firstLineChars="200"/>
        <w:rPr>
          <w:rFonts w:hint="eastAsia"/>
          <w:lang w:val="en-US" w:eastAsia="zh-CN"/>
        </w:rPr>
      </w:pPr>
      <w:r>
        <w:rPr>
          <w:rFonts w:hint="eastAsia"/>
          <w:lang w:val="en-US" w:eastAsia="zh-CN"/>
        </w:rPr>
        <w:t>（8）《中华人民共和国突发事件应对法》（2007年11月1日）；</w:t>
      </w:r>
    </w:p>
    <w:p w14:paraId="6CDFDFB3">
      <w:pPr>
        <w:ind w:firstLine="480" w:firstLineChars="200"/>
        <w:rPr>
          <w:rFonts w:hint="eastAsia"/>
          <w:lang w:val="en-US" w:eastAsia="zh-CN"/>
        </w:rPr>
      </w:pPr>
      <w:r>
        <w:rPr>
          <w:rFonts w:hint="eastAsia"/>
          <w:lang w:val="en-US" w:eastAsia="zh-CN"/>
        </w:rPr>
        <w:t>（9）《国家突发环境事件应急预案》（国办函〔2014〕119号）；</w:t>
      </w:r>
    </w:p>
    <w:p w14:paraId="615A43AF">
      <w:pPr>
        <w:ind w:firstLine="480" w:firstLineChars="200"/>
        <w:rPr>
          <w:rFonts w:hint="eastAsia"/>
          <w:lang w:val="en-US" w:eastAsia="zh-CN"/>
        </w:rPr>
      </w:pPr>
      <w:r>
        <w:rPr>
          <w:rFonts w:hint="eastAsia"/>
          <w:lang w:val="en-US" w:eastAsia="zh-CN"/>
        </w:rPr>
        <w:t>（10）《国家危险废物名录（2025年版）》（2024年11月26日）；</w:t>
      </w:r>
    </w:p>
    <w:p w14:paraId="1D2D1582">
      <w:pPr>
        <w:ind w:firstLine="480" w:firstLineChars="200"/>
        <w:rPr>
          <w:rFonts w:hint="eastAsia"/>
          <w:lang w:val="en-US" w:eastAsia="zh-CN"/>
        </w:rPr>
      </w:pPr>
      <w:r>
        <w:rPr>
          <w:rFonts w:hint="eastAsia"/>
          <w:lang w:val="en-US" w:eastAsia="zh-CN"/>
        </w:rPr>
        <w:t>（11）《危险化学品重大危险源辨识》（GB18218-2018）；</w:t>
      </w:r>
    </w:p>
    <w:p w14:paraId="77F30DDF">
      <w:pPr>
        <w:ind w:firstLine="480" w:firstLineChars="200"/>
        <w:rPr>
          <w:rFonts w:hint="eastAsia"/>
          <w:lang w:val="en-US" w:eastAsia="zh-CN"/>
        </w:rPr>
      </w:pPr>
      <w:r>
        <w:rPr>
          <w:rFonts w:hint="eastAsia"/>
          <w:lang w:val="en-US" w:eastAsia="zh-CN"/>
        </w:rPr>
        <w:t>（12）《危险化学品目录（2015年版）》（应急厅函〔2022〕300号）；</w:t>
      </w:r>
    </w:p>
    <w:p w14:paraId="4EB000B4">
      <w:pPr>
        <w:ind w:firstLine="480" w:firstLineChars="200"/>
        <w:rPr>
          <w:rFonts w:hint="eastAsia"/>
          <w:lang w:val="en-US" w:eastAsia="zh-CN"/>
        </w:rPr>
      </w:pPr>
      <w:r>
        <w:rPr>
          <w:rFonts w:hint="eastAsia"/>
          <w:lang w:val="en-US" w:eastAsia="zh-CN"/>
        </w:rPr>
        <w:t>（13）《突发事件应急预案管理办法》（国办发〔2024〕5号）；</w:t>
      </w:r>
    </w:p>
    <w:p w14:paraId="75A17061">
      <w:pPr>
        <w:ind w:firstLine="480" w:firstLineChars="200"/>
        <w:rPr>
          <w:rFonts w:hint="eastAsia"/>
          <w:lang w:val="en-US" w:eastAsia="zh-CN"/>
        </w:rPr>
      </w:pPr>
      <w:r>
        <w:rPr>
          <w:rFonts w:hint="eastAsia"/>
          <w:lang w:val="en-US" w:eastAsia="zh-CN"/>
        </w:rPr>
        <w:t>（14）《突发环境事件信息报告办法》（部令17号）；</w:t>
      </w:r>
    </w:p>
    <w:p w14:paraId="2F054764">
      <w:pPr>
        <w:ind w:firstLine="480" w:firstLineChars="200"/>
        <w:rPr>
          <w:rFonts w:hint="eastAsia"/>
          <w:lang w:val="en-US" w:eastAsia="zh-CN"/>
        </w:rPr>
      </w:pPr>
      <w:r>
        <w:rPr>
          <w:rFonts w:hint="eastAsia"/>
          <w:lang w:val="en-US" w:eastAsia="zh-CN"/>
        </w:rPr>
        <w:t>（15）《突发环境事件调查处理办法》（环境保护部 部令 第32号）；</w:t>
      </w:r>
    </w:p>
    <w:p w14:paraId="7BA1477E">
      <w:pPr>
        <w:ind w:firstLine="480" w:firstLineChars="200"/>
        <w:rPr>
          <w:rFonts w:hint="eastAsia"/>
          <w:lang w:val="en-US" w:eastAsia="zh-CN"/>
        </w:rPr>
      </w:pPr>
      <w:r>
        <w:rPr>
          <w:rFonts w:hint="eastAsia"/>
          <w:lang w:val="en-US" w:eastAsia="zh-CN"/>
        </w:rPr>
        <w:t>（16）《突发环境事件应急监测技术规范》（HJ589-2021）；</w:t>
      </w:r>
    </w:p>
    <w:p w14:paraId="5E327FEF">
      <w:pPr>
        <w:ind w:firstLine="480" w:firstLineChars="200"/>
        <w:rPr>
          <w:rFonts w:hint="eastAsia"/>
          <w:lang w:val="en-US" w:eastAsia="zh-CN"/>
        </w:rPr>
      </w:pPr>
      <w:r>
        <w:rPr>
          <w:rFonts w:hint="eastAsia"/>
          <w:lang w:val="en-US" w:eastAsia="zh-CN"/>
        </w:rPr>
        <w:t>（17）《企业事业单位突发环境事件应急预案备案管理办法（试行）》（环发〔2015〕4号）；</w:t>
      </w:r>
    </w:p>
    <w:p w14:paraId="7FEFB07D">
      <w:pPr>
        <w:ind w:firstLine="480" w:firstLineChars="200"/>
        <w:rPr>
          <w:rFonts w:hint="eastAsia"/>
          <w:lang w:val="en-US" w:eastAsia="zh-CN"/>
        </w:rPr>
      </w:pPr>
      <w:r>
        <w:rPr>
          <w:rFonts w:hint="eastAsia"/>
          <w:lang w:val="en-US" w:eastAsia="zh-CN"/>
        </w:rPr>
        <w:t>（18）《企业突发环境事件风险评估指南（试行）》（环办〔2014〕34号）；</w:t>
      </w:r>
    </w:p>
    <w:p w14:paraId="5C5E123D">
      <w:pPr>
        <w:ind w:firstLine="480" w:firstLineChars="200"/>
        <w:rPr>
          <w:rFonts w:hint="eastAsia"/>
          <w:lang w:val="en-US" w:eastAsia="zh-CN"/>
        </w:rPr>
      </w:pPr>
      <w:r>
        <w:rPr>
          <w:rFonts w:hint="eastAsia"/>
          <w:lang w:val="en-US" w:eastAsia="zh-CN"/>
        </w:rPr>
        <w:t>（19）《广东省企业事业单位突发环境事件应急预案编制指南(试行)》（粤环办〔2020〕51号）；</w:t>
      </w:r>
    </w:p>
    <w:p w14:paraId="10527070">
      <w:pPr>
        <w:ind w:firstLine="480" w:firstLineChars="200"/>
        <w:rPr>
          <w:rFonts w:hint="eastAsia"/>
          <w:lang w:val="en-US" w:eastAsia="zh-CN"/>
        </w:rPr>
      </w:pPr>
      <w:r>
        <w:rPr>
          <w:rFonts w:hint="eastAsia"/>
          <w:lang w:val="en-US" w:eastAsia="zh-CN"/>
        </w:rPr>
        <w:t>（20）《环境保护部关于加强环境应急管理工作的意见》（环发〔2009〕130号）；</w:t>
      </w:r>
    </w:p>
    <w:p w14:paraId="1F2A59FE">
      <w:pPr>
        <w:ind w:firstLine="480" w:firstLineChars="200"/>
        <w:rPr>
          <w:rFonts w:hint="eastAsia"/>
          <w:lang w:val="en-US" w:eastAsia="zh-CN"/>
        </w:rPr>
      </w:pPr>
      <w:r>
        <w:rPr>
          <w:rFonts w:hint="eastAsia"/>
          <w:lang w:val="en-US" w:eastAsia="zh-CN"/>
        </w:rPr>
        <w:t>（21）《危险化学品安全管理条例》（2013年12月7日修订）。</w:t>
      </w:r>
    </w:p>
    <w:p w14:paraId="29462AE4">
      <w:pPr>
        <w:pStyle w:val="4"/>
        <w:bidi w:val="0"/>
        <w:rPr>
          <w:rFonts w:hint="eastAsia"/>
          <w:lang w:val="en-US" w:eastAsia="zh-CN"/>
        </w:rPr>
      </w:pPr>
      <w:r>
        <w:rPr>
          <w:rFonts w:hint="eastAsia"/>
          <w:lang w:val="en-US" w:eastAsia="zh-CN"/>
        </w:rPr>
        <w:t>1.3.2标准、技术规范</w:t>
      </w:r>
    </w:p>
    <w:p w14:paraId="1140A06D">
      <w:pPr>
        <w:ind w:firstLine="480" w:firstLineChars="200"/>
        <w:rPr>
          <w:rFonts w:hint="eastAsia"/>
          <w:lang w:val="en-US" w:eastAsia="zh-CN"/>
        </w:rPr>
      </w:pPr>
      <w:r>
        <w:rPr>
          <w:rFonts w:hint="eastAsia"/>
          <w:lang w:val="en-US" w:eastAsia="zh-CN"/>
        </w:rPr>
        <w:t>（1）《环境空气质量标准》（GB3095-2012）；</w:t>
      </w:r>
    </w:p>
    <w:p w14:paraId="4A61E1D4">
      <w:pPr>
        <w:ind w:firstLine="480" w:firstLineChars="200"/>
        <w:rPr>
          <w:rFonts w:hint="eastAsia"/>
          <w:lang w:val="en-US" w:eastAsia="zh-CN"/>
        </w:rPr>
      </w:pPr>
      <w:r>
        <w:rPr>
          <w:rFonts w:hint="eastAsia"/>
          <w:lang w:val="en-US" w:eastAsia="zh-CN"/>
        </w:rPr>
        <w:t>（2）《地表水环境质量标准》（GB3838-2002）；</w:t>
      </w:r>
    </w:p>
    <w:p w14:paraId="14326AC1">
      <w:pPr>
        <w:ind w:firstLine="480" w:firstLineChars="200"/>
        <w:rPr>
          <w:rFonts w:hint="eastAsia"/>
          <w:lang w:val="en-US" w:eastAsia="zh-CN"/>
        </w:rPr>
      </w:pPr>
      <w:r>
        <w:rPr>
          <w:rFonts w:hint="eastAsia"/>
          <w:lang w:val="en-US" w:eastAsia="zh-CN"/>
        </w:rPr>
        <w:t>（3）《污水综合排放标准》（GB8978-1996）；</w:t>
      </w:r>
    </w:p>
    <w:p w14:paraId="019BAEE5">
      <w:pPr>
        <w:ind w:firstLine="480" w:firstLineChars="200"/>
        <w:rPr>
          <w:rFonts w:hint="eastAsia"/>
          <w:lang w:val="en-US" w:eastAsia="zh-CN"/>
        </w:rPr>
      </w:pPr>
      <w:r>
        <w:rPr>
          <w:rFonts w:hint="eastAsia"/>
          <w:lang w:val="en-US" w:eastAsia="zh-CN"/>
        </w:rPr>
        <w:t>（4）《大气污染物综合排放标准》（GB16297-1996）；</w:t>
      </w:r>
    </w:p>
    <w:p w14:paraId="2C2D3ACF">
      <w:pPr>
        <w:ind w:firstLine="480" w:firstLineChars="200"/>
        <w:rPr>
          <w:rFonts w:hint="eastAsia"/>
          <w:lang w:val="en-US" w:eastAsia="zh-CN"/>
        </w:rPr>
      </w:pPr>
      <w:r>
        <w:rPr>
          <w:rFonts w:hint="eastAsia"/>
          <w:lang w:val="en-US" w:eastAsia="zh-CN"/>
        </w:rPr>
        <w:t>（5）《危险废物贮存污染控制标准》（GB18597-2023）；</w:t>
      </w:r>
    </w:p>
    <w:p w14:paraId="627ABA38">
      <w:pPr>
        <w:ind w:firstLine="480" w:firstLineChars="200"/>
        <w:rPr>
          <w:rFonts w:hint="eastAsia"/>
          <w:lang w:val="en-US" w:eastAsia="zh-CN"/>
        </w:rPr>
      </w:pPr>
      <w:r>
        <w:rPr>
          <w:rFonts w:hint="eastAsia"/>
          <w:lang w:val="en-US" w:eastAsia="zh-CN"/>
        </w:rPr>
        <w:t>（6）《危险化学品重大危险源辨识》（GB18218-2018）；</w:t>
      </w:r>
    </w:p>
    <w:p w14:paraId="1F4FAD0C">
      <w:pPr>
        <w:ind w:firstLine="480" w:firstLineChars="200"/>
        <w:rPr>
          <w:rFonts w:hint="eastAsia"/>
          <w:lang w:val="en-US" w:eastAsia="zh-CN"/>
        </w:rPr>
      </w:pPr>
      <w:r>
        <w:rPr>
          <w:rFonts w:hint="eastAsia"/>
          <w:lang w:val="en-US" w:eastAsia="zh-CN"/>
        </w:rPr>
        <w:t>（7）《建筑防火通用规范》（GB55037-2022）；</w:t>
      </w:r>
    </w:p>
    <w:p w14:paraId="693E04AD">
      <w:pPr>
        <w:ind w:firstLine="480" w:firstLineChars="200"/>
        <w:rPr>
          <w:rFonts w:hint="eastAsia"/>
          <w:lang w:val="en-US" w:eastAsia="zh-CN"/>
        </w:rPr>
      </w:pPr>
      <w:r>
        <w:rPr>
          <w:rFonts w:hint="eastAsia"/>
          <w:lang w:val="en-US" w:eastAsia="zh-CN"/>
        </w:rPr>
        <w:t>（8）《化学品分类、警示标签和警示性说明安全规程》（GB20576-GB20602）；</w:t>
      </w:r>
    </w:p>
    <w:p w14:paraId="150859E8">
      <w:pPr>
        <w:ind w:firstLine="480" w:firstLineChars="200"/>
        <w:rPr>
          <w:rFonts w:hint="eastAsia"/>
          <w:lang w:val="en-US" w:eastAsia="zh-CN"/>
        </w:rPr>
      </w:pPr>
      <w:r>
        <w:rPr>
          <w:rFonts w:hint="eastAsia"/>
          <w:lang w:val="en-US" w:eastAsia="zh-CN"/>
        </w:rPr>
        <w:t>（9）《危险废物鉴别技术规范》（HJ298-2019）；</w:t>
      </w:r>
    </w:p>
    <w:p w14:paraId="49470DD6">
      <w:pPr>
        <w:ind w:firstLine="480" w:firstLineChars="200"/>
        <w:rPr>
          <w:rFonts w:hint="eastAsia"/>
          <w:lang w:val="en-US" w:eastAsia="zh-CN"/>
        </w:rPr>
      </w:pPr>
      <w:r>
        <w:rPr>
          <w:rFonts w:hint="eastAsia"/>
          <w:lang w:val="en-US" w:eastAsia="zh-CN"/>
        </w:rPr>
        <w:t>（10）《突发环境事件应急监测技术规范》（HJ589-2021）；</w:t>
      </w:r>
    </w:p>
    <w:p w14:paraId="65F9FF20">
      <w:pPr>
        <w:ind w:firstLine="480" w:firstLineChars="200"/>
        <w:rPr>
          <w:rFonts w:hint="eastAsia"/>
          <w:lang w:val="en-US" w:eastAsia="zh-CN"/>
        </w:rPr>
      </w:pPr>
      <w:r>
        <w:rPr>
          <w:rFonts w:hint="eastAsia"/>
          <w:lang w:val="en-US" w:eastAsia="zh-CN"/>
        </w:rPr>
        <w:t>（11）《地表水和污水监测技术规范》（HJ91-2002）；</w:t>
      </w:r>
    </w:p>
    <w:p w14:paraId="0E4590FD">
      <w:pPr>
        <w:ind w:firstLine="480" w:firstLineChars="200"/>
        <w:rPr>
          <w:rFonts w:hint="eastAsia"/>
          <w:lang w:val="en-US" w:eastAsia="zh-CN"/>
        </w:rPr>
      </w:pPr>
      <w:r>
        <w:rPr>
          <w:rFonts w:hint="eastAsia"/>
          <w:lang w:val="en-US" w:eastAsia="zh-CN"/>
        </w:rPr>
        <w:t>（12）《建设项目环境风险评价技术导则》（HJ/T169-2018）；</w:t>
      </w:r>
    </w:p>
    <w:p w14:paraId="555E4E6C">
      <w:pPr>
        <w:ind w:firstLine="480" w:firstLineChars="200"/>
        <w:rPr>
          <w:rFonts w:hint="eastAsia"/>
          <w:lang w:val="en-US" w:eastAsia="zh-CN"/>
        </w:rPr>
      </w:pPr>
      <w:r>
        <w:rPr>
          <w:rFonts w:hint="eastAsia"/>
          <w:lang w:val="en-US" w:eastAsia="zh-CN"/>
        </w:rPr>
        <w:t>（13）《废水排放去向代码》（HJ523-2009）；</w:t>
      </w:r>
    </w:p>
    <w:p w14:paraId="672E1AC5">
      <w:pPr>
        <w:ind w:firstLine="480" w:firstLineChars="200"/>
        <w:rPr>
          <w:rFonts w:hint="eastAsia"/>
          <w:lang w:val="en-US" w:eastAsia="zh-CN"/>
        </w:rPr>
      </w:pPr>
      <w:r>
        <w:rPr>
          <w:rFonts w:hint="eastAsia"/>
          <w:lang w:val="en-US" w:eastAsia="zh-CN"/>
        </w:rPr>
        <w:t>（14）《清洁生产标准 铁矿采选业》（HJ/T294-2006）；</w:t>
      </w:r>
    </w:p>
    <w:p w14:paraId="590B774F">
      <w:pPr>
        <w:ind w:firstLine="480" w:firstLineChars="200"/>
        <w:rPr>
          <w:rFonts w:hint="eastAsia"/>
          <w:lang w:val="en-US" w:eastAsia="zh-CN"/>
        </w:rPr>
      </w:pPr>
      <w:r>
        <w:rPr>
          <w:rFonts w:hint="eastAsia"/>
          <w:lang w:val="en-US" w:eastAsia="zh-CN"/>
        </w:rPr>
        <w:t>（15）《水污染物排放限值》（DB44/26-2001）；</w:t>
      </w:r>
    </w:p>
    <w:p w14:paraId="152D0F52">
      <w:pPr>
        <w:ind w:firstLine="480" w:firstLineChars="200"/>
        <w:rPr>
          <w:rFonts w:hint="eastAsia"/>
          <w:lang w:val="en-US" w:eastAsia="zh-CN"/>
        </w:rPr>
      </w:pPr>
      <w:r>
        <w:rPr>
          <w:rFonts w:hint="eastAsia"/>
          <w:lang w:val="en-US" w:eastAsia="zh-CN"/>
        </w:rPr>
        <w:t>（16）《企业突发环境事件风险分级方法》（HJ941-2018）；</w:t>
      </w:r>
    </w:p>
    <w:p w14:paraId="0AAB165A">
      <w:pPr>
        <w:ind w:firstLine="480" w:firstLineChars="200"/>
        <w:rPr>
          <w:rFonts w:hint="eastAsia"/>
          <w:lang w:val="en-US" w:eastAsia="zh-CN"/>
        </w:rPr>
      </w:pPr>
      <w:r>
        <w:rPr>
          <w:rFonts w:hint="eastAsia"/>
          <w:lang w:val="en-US" w:eastAsia="zh-CN"/>
        </w:rPr>
        <w:t>（17）《生产经营单位生产安全事故应急预案编制导则》(GBT29639-2020)；</w:t>
      </w:r>
    </w:p>
    <w:p w14:paraId="645C4C05">
      <w:pPr>
        <w:ind w:firstLine="480" w:firstLineChars="200"/>
        <w:rPr>
          <w:rFonts w:hint="eastAsia"/>
          <w:lang w:val="en-US" w:eastAsia="zh-CN"/>
        </w:rPr>
      </w:pPr>
      <w:r>
        <w:rPr>
          <w:rFonts w:hint="eastAsia"/>
          <w:lang w:val="en-US" w:eastAsia="zh-CN"/>
        </w:rPr>
        <w:t>（18）《一般工业固体废物贮存和填埋污染控制标准》（GB18599-2020）；</w:t>
      </w:r>
    </w:p>
    <w:p w14:paraId="2236D9FF">
      <w:pPr>
        <w:ind w:firstLine="480" w:firstLineChars="200"/>
        <w:rPr>
          <w:rFonts w:hint="eastAsia"/>
          <w:lang w:val="en-US" w:eastAsia="zh-CN"/>
        </w:rPr>
      </w:pPr>
      <w:r>
        <w:rPr>
          <w:rFonts w:hint="eastAsia"/>
          <w:lang w:val="en-US" w:eastAsia="zh-CN"/>
        </w:rPr>
        <w:t>（19）《化工建设项目环境保护设计规范》（GB50483-2019）；</w:t>
      </w:r>
    </w:p>
    <w:p w14:paraId="20ABD6C8">
      <w:pPr>
        <w:ind w:firstLine="480" w:firstLineChars="200"/>
        <w:rPr>
          <w:rFonts w:hint="eastAsia"/>
          <w:lang w:val="en-US" w:eastAsia="zh-CN"/>
        </w:rPr>
      </w:pPr>
      <w:r>
        <w:rPr>
          <w:rFonts w:hint="eastAsia"/>
          <w:lang w:val="en-US" w:eastAsia="zh-CN"/>
        </w:rPr>
        <w:t>（20）《储罐区防火堤设计规范》（GB50351-2014）；</w:t>
      </w:r>
    </w:p>
    <w:p w14:paraId="33D0C1FB">
      <w:pPr>
        <w:ind w:firstLine="480" w:firstLineChars="200"/>
        <w:rPr>
          <w:rFonts w:hint="eastAsia"/>
          <w:lang w:val="en-US" w:eastAsia="zh-CN"/>
        </w:rPr>
      </w:pPr>
      <w:r>
        <w:rPr>
          <w:rFonts w:hint="eastAsia"/>
          <w:lang w:val="en-US" w:eastAsia="zh-CN"/>
        </w:rPr>
        <w:t>（21）《固定式压力容器安全技术监察规程》（TSG 21-2016）；</w:t>
      </w:r>
    </w:p>
    <w:p w14:paraId="771AC5FC">
      <w:pPr>
        <w:ind w:firstLine="480" w:firstLineChars="200"/>
        <w:rPr>
          <w:rFonts w:hint="eastAsia"/>
          <w:lang w:val="en-US" w:eastAsia="zh-CN"/>
        </w:rPr>
      </w:pPr>
      <w:r>
        <w:rPr>
          <w:rFonts w:hint="eastAsia"/>
          <w:lang w:val="en-US" w:eastAsia="zh-CN"/>
        </w:rPr>
        <w:t>（22）《化学品毒性鉴定技术规范》（卫监督发〔2005〕272号）；</w:t>
      </w:r>
    </w:p>
    <w:p w14:paraId="72FC3570">
      <w:pPr>
        <w:ind w:firstLine="480" w:firstLineChars="200"/>
        <w:rPr>
          <w:rFonts w:hint="eastAsia"/>
          <w:lang w:val="en-US" w:eastAsia="zh-CN"/>
        </w:rPr>
      </w:pPr>
      <w:r>
        <w:rPr>
          <w:rFonts w:hint="eastAsia"/>
          <w:lang w:val="en-US" w:eastAsia="zh-CN"/>
        </w:rPr>
        <w:t>（23）《石油化工企业设计防火规范》（GB50160-2008）。</w:t>
      </w:r>
    </w:p>
    <w:p w14:paraId="53A6D418">
      <w:pPr>
        <w:ind w:firstLine="480" w:firstLineChars="20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57303BD">
      <w:pPr>
        <w:pStyle w:val="2"/>
        <w:bidi w:val="0"/>
        <w:rPr>
          <w:rFonts w:hint="eastAsia"/>
          <w:lang w:val="en-US" w:eastAsia="zh-CN"/>
        </w:rPr>
      </w:pPr>
      <w:bookmarkStart w:id="23" w:name="_Toc8889"/>
      <w:r>
        <w:rPr>
          <w:rFonts w:hint="eastAsia"/>
          <w:lang w:val="en-US" w:eastAsia="zh-CN"/>
        </w:rPr>
        <w:t>2风险调查</w:t>
      </w:r>
      <w:bookmarkEnd w:id="23"/>
    </w:p>
    <w:p w14:paraId="551F26F5">
      <w:pPr>
        <w:ind w:firstLine="480" w:firstLineChars="200"/>
        <w:rPr>
          <w:rFonts w:hint="eastAsia"/>
          <w:lang w:val="en-US" w:eastAsia="zh-CN"/>
        </w:rPr>
      </w:pPr>
      <w:r>
        <w:rPr>
          <w:rFonts w:hint="eastAsia"/>
          <w:lang w:val="en-US" w:eastAsia="zh-CN"/>
        </w:rPr>
        <w:t>本项目主要原辅材料为生产上使用的原料液氨。根据本项目工程分析结果，项目主要风险来源是生产过程涉及的环境风险物质等，见下表1-1。项目的主要环境风险类型为风险物质泄漏、火灾爆炸等引发的环境风险事故。</w:t>
      </w:r>
    </w:p>
    <w:p w14:paraId="6995B6F4">
      <w:pPr>
        <w:bidi w:val="0"/>
        <w:rPr>
          <w:rFonts w:hint="eastAsia"/>
          <w:lang w:val="en-US" w:eastAsia="zh-CN"/>
        </w:rPr>
      </w:pPr>
      <w:r>
        <w:rPr>
          <w:rFonts w:hint="eastAsia"/>
          <w:lang w:val="en-US" w:eastAsia="zh-CN"/>
        </w:rPr>
        <w:t>根据《建设项目环境风险评价技术导则》（HJ169-2018）中附录B所规定的有毒物质、易燃物质、爆炸性物质，对照本项目使用的原辅材料、生产的产品，项目存在的危险化学品为液氨、氨水。在风险导则附录B所列的突发环境事件风险物质及临界量表内，氨水（浓度≥20%）的临界量为10t，液氨的临界量为5t。</w:t>
      </w:r>
      <w:r>
        <w:rPr>
          <w:rFonts w:hint="eastAsia" w:ascii="Times New Roman" w:hAnsi="Times New Roman" w:eastAsia="宋体" w:cs="Times New Roman"/>
          <w:b w:val="0"/>
          <w:bCs/>
          <w:sz w:val="24"/>
          <w:szCs w:val="24"/>
          <w:lang w:val="en-US" w:eastAsia="zh-CN"/>
        </w:rPr>
        <w:t>本项目液氨球罐区内共设置4个1000m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的液氨球罐，液氨采用常温高压储存，储存工作压力为1.9MPa。在此条件下，液氨密度约为602kg/m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，液氨球罐内液氨储存量控制在77.5%以下。综上计算，液氨最大储存量为3100m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，折合18</w:t>
      </w:r>
      <w:r>
        <w:rPr>
          <w:rFonts w:hint="eastAsia" w:eastAsia="宋体" w:cs="Times New Roman"/>
          <w:b w:val="0"/>
          <w:bCs/>
          <w:sz w:val="24"/>
          <w:szCs w:val="24"/>
          <w:lang w:val="en-US" w:eastAsia="zh-CN"/>
        </w:rPr>
        <w:t>66.2</w:t>
      </w:r>
      <w:r>
        <w:rPr>
          <w:rFonts w:hint="eastAsia" w:ascii="Times New Roman" w:hAnsi="Times New Roman" w:eastAsia="宋体" w:cs="Times New Roman"/>
          <w:b w:val="0"/>
          <w:bCs/>
          <w:sz w:val="24"/>
          <w:szCs w:val="24"/>
          <w:lang w:val="en-US" w:eastAsia="zh-CN"/>
        </w:rPr>
        <w:t>t。本项目共设置8个氨水罐（每个容积500m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）储存工业级氨水，一个氨水中间储罐（容积100m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），氨水最大储存量不超过容积的85%；氨水储存条件是密闭储存（设排气阀控制压力），氨含量25%的氨水的密度约为0.91kg/m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，因此本项目工业级氨水最大储存量为</w:t>
      </w:r>
      <w:r>
        <w:rPr>
          <w:rFonts w:hint="eastAsia" w:eastAsia="宋体" w:cs="Times New Roman"/>
          <w:b w:val="0"/>
          <w:bCs/>
          <w:sz w:val="24"/>
          <w:szCs w:val="24"/>
          <w:lang w:val="en-US" w:eastAsia="zh-CN"/>
        </w:rPr>
        <w:t>3845</w:t>
      </w:r>
      <w:r>
        <w:rPr>
          <w:rFonts w:hint="eastAsia" w:ascii="Times New Roman" w:hAnsi="Times New Roman" w:eastAsia="宋体" w:cs="Times New Roman"/>
          <w:b w:val="0"/>
          <w:bCs/>
          <w:sz w:val="24"/>
          <w:szCs w:val="24"/>
          <w:lang w:val="en-US" w:eastAsia="zh-CN"/>
        </w:rPr>
        <w:t>m</w:t>
      </w:r>
      <w:r>
        <w:rPr>
          <w:rFonts w:hint="eastAsia" w:ascii="Times New Roman" w:hAnsi="Times New Roman" w:eastAsia="宋体" w:cs="Times New Roman"/>
          <w:b w:val="0"/>
          <w:bCs/>
          <w:sz w:val="24"/>
          <w:szCs w:val="24"/>
          <w:vertAlign w:val="superscript"/>
          <w:lang w:val="en-US" w:eastAsia="zh-CN"/>
        </w:rPr>
        <w:t>3</w:t>
      </w:r>
      <w:r>
        <w:rPr>
          <w:rFonts w:hint="eastAsia" w:ascii="Times New Roman" w:hAnsi="Times New Roman" w:eastAsia="宋体" w:cs="Times New Roman"/>
          <w:b w:val="0"/>
          <w:bCs/>
          <w:sz w:val="24"/>
          <w:szCs w:val="24"/>
          <w:lang w:val="en-US" w:eastAsia="zh-CN"/>
        </w:rPr>
        <w:t>（折合</w:t>
      </w:r>
      <w:r>
        <w:rPr>
          <w:rFonts w:hint="eastAsia" w:eastAsia="宋体" w:cs="Times New Roman"/>
          <w:b w:val="0"/>
          <w:bCs/>
          <w:sz w:val="24"/>
          <w:szCs w:val="24"/>
          <w:lang w:val="en-US" w:eastAsia="zh-CN"/>
        </w:rPr>
        <w:t>3.499</w:t>
      </w:r>
      <w:r>
        <w:rPr>
          <w:rFonts w:hint="eastAsia" w:ascii="Times New Roman" w:hAnsi="Times New Roman" w:eastAsia="宋体" w:cs="Times New Roman"/>
          <w:b w:val="0"/>
          <w:bCs/>
          <w:sz w:val="24"/>
          <w:szCs w:val="24"/>
          <w:lang w:val="en-US" w:eastAsia="zh-CN"/>
        </w:rPr>
        <w:t>t）。</w:t>
      </w:r>
    </w:p>
    <w:p w14:paraId="12ED2B0F">
      <w:pPr>
        <w:pStyle w:val="15"/>
        <w:bidi w:val="0"/>
        <w:rPr>
          <w:rFonts w:hint="eastAsia"/>
          <w:lang w:val="en-US" w:eastAsia="zh-CN"/>
        </w:rPr>
      </w:pPr>
      <w:r>
        <w:rPr>
          <w:rFonts w:hint="eastAsia"/>
          <w:lang w:val="en-US" w:eastAsia="zh-CN"/>
        </w:rPr>
        <w:t>表2-1 项目危险物质一览表</w:t>
      </w:r>
    </w:p>
    <w:tbl>
      <w:tblPr>
        <w:tblStyle w:val="11"/>
        <w:tblW w:w="85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011"/>
        <w:gridCol w:w="1730"/>
        <w:gridCol w:w="1864"/>
        <w:gridCol w:w="1996"/>
      </w:tblGrid>
      <w:tr w14:paraId="287F83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8" w:type="dxa"/>
            <w:tcBorders>
              <w:tl2br w:val="nil"/>
              <w:tr2bl w:val="nil"/>
            </w:tcBorders>
            <w:vAlign w:val="center"/>
          </w:tcPr>
          <w:p w14:paraId="4DA6C080">
            <w:pPr>
              <w:pStyle w:val="14"/>
              <w:bidi w:val="0"/>
              <w:jc w:val="center"/>
              <w:rPr>
                <w:rFonts w:hint="eastAsia"/>
                <w:b/>
                <w:bCs/>
                <w:lang w:val="en-US" w:eastAsia="zh-CN"/>
              </w:rPr>
            </w:pPr>
            <w:r>
              <w:rPr>
                <w:rFonts w:hint="eastAsia"/>
                <w:b/>
                <w:bCs/>
                <w:lang w:val="en-US" w:eastAsia="zh-CN"/>
              </w:rPr>
              <w:t>序号</w:t>
            </w:r>
          </w:p>
        </w:tc>
        <w:tc>
          <w:tcPr>
            <w:tcW w:w="2011" w:type="dxa"/>
            <w:tcBorders>
              <w:tl2br w:val="nil"/>
              <w:tr2bl w:val="nil"/>
            </w:tcBorders>
            <w:vAlign w:val="center"/>
          </w:tcPr>
          <w:p w14:paraId="2848036A">
            <w:pPr>
              <w:pStyle w:val="14"/>
              <w:bidi w:val="0"/>
              <w:jc w:val="center"/>
              <w:rPr>
                <w:rFonts w:hint="eastAsia"/>
                <w:b/>
                <w:bCs/>
                <w:lang w:val="en-US" w:eastAsia="zh-CN"/>
              </w:rPr>
            </w:pPr>
            <w:r>
              <w:rPr>
                <w:rFonts w:hint="eastAsia"/>
                <w:b/>
                <w:bCs/>
                <w:lang w:val="en-US" w:eastAsia="zh-CN"/>
              </w:rPr>
              <w:t>物质名称</w:t>
            </w:r>
          </w:p>
        </w:tc>
        <w:tc>
          <w:tcPr>
            <w:tcW w:w="1730" w:type="dxa"/>
            <w:tcBorders>
              <w:tl2br w:val="nil"/>
              <w:tr2bl w:val="nil"/>
            </w:tcBorders>
            <w:vAlign w:val="center"/>
          </w:tcPr>
          <w:p w14:paraId="767576DB">
            <w:pPr>
              <w:pStyle w:val="14"/>
              <w:bidi w:val="0"/>
              <w:jc w:val="center"/>
              <w:rPr>
                <w:rFonts w:hint="eastAsia"/>
                <w:b/>
                <w:bCs/>
                <w:lang w:val="en-US" w:eastAsia="zh-CN"/>
              </w:rPr>
            </w:pPr>
            <w:r>
              <w:rPr>
                <w:rFonts w:hint="eastAsia"/>
                <w:b/>
                <w:bCs/>
                <w:lang w:val="en-US" w:eastAsia="zh-CN"/>
              </w:rPr>
              <w:t>物质状态</w:t>
            </w:r>
          </w:p>
        </w:tc>
        <w:tc>
          <w:tcPr>
            <w:tcW w:w="1864" w:type="dxa"/>
            <w:tcBorders>
              <w:tl2br w:val="nil"/>
              <w:tr2bl w:val="nil"/>
            </w:tcBorders>
            <w:vAlign w:val="center"/>
          </w:tcPr>
          <w:p w14:paraId="39E6C648">
            <w:pPr>
              <w:pStyle w:val="14"/>
              <w:bidi w:val="0"/>
              <w:jc w:val="center"/>
              <w:rPr>
                <w:b/>
                <w:bCs/>
                <w:lang w:val="en-US" w:eastAsia="zh-CN"/>
              </w:rPr>
            </w:pPr>
            <w:r>
              <w:rPr>
                <w:rFonts w:hint="eastAsia"/>
                <w:b/>
                <w:bCs/>
                <w:lang w:val="en-US" w:eastAsia="zh-CN"/>
              </w:rPr>
              <w:t>密度k</w:t>
            </w:r>
            <w:r>
              <w:rPr>
                <w:b/>
                <w:bCs/>
                <w:lang w:val="en-US" w:eastAsia="zh-CN"/>
              </w:rPr>
              <w:t>g/m</w:t>
            </w:r>
            <w:r>
              <w:rPr>
                <w:b/>
                <w:bCs/>
                <w:vertAlign w:val="superscript"/>
                <w:lang w:val="en-US" w:eastAsia="zh-CN"/>
              </w:rPr>
              <w:t>3</w:t>
            </w:r>
          </w:p>
        </w:tc>
        <w:tc>
          <w:tcPr>
            <w:tcW w:w="1996" w:type="dxa"/>
            <w:tcBorders>
              <w:tl2br w:val="nil"/>
              <w:tr2bl w:val="nil"/>
            </w:tcBorders>
            <w:vAlign w:val="center"/>
          </w:tcPr>
          <w:p w14:paraId="2863488B">
            <w:pPr>
              <w:pStyle w:val="14"/>
              <w:bidi w:val="0"/>
              <w:jc w:val="center"/>
              <w:rPr>
                <w:rFonts w:hint="eastAsia"/>
                <w:b/>
                <w:bCs/>
                <w:lang w:val="en-US" w:eastAsia="zh-CN"/>
              </w:rPr>
            </w:pPr>
            <w:r>
              <w:rPr>
                <w:rFonts w:hint="eastAsia"/>
                <w:b/>
                <w:bCs/>
                <w:lang w:val="en-US" w:eastAsia="zh-CN"/>
              </w:rPr>
              <w:t>最大储存量</w:t>
            </w:r>
          </w:p>
        </w:tc>
      </w:tr>
      <w:tr w14:paraId="30CD95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8" w:type="dxa"/>
            <w:tcBorders>
              <w:tl2br w:val="nil"/>
              <w:tr2bl w:val="nil"/>
            </w:tcBorders>
            <w:vAlign w:val="center"/>
          </w:tcPr>
          <w:p w14:paraId="72188F56">
            <w:pPr>
              <w:pStyle w:val="14"/>
              <w:bidi w:val="0"/>
              <w:jc w:val="center"/>
              <w:rPr>
                <w:lang w:val="en-US" w:eastAsia="zh-CN"/>
              </w:rPr>
            </w:pPr>
            <w:r>
              <w:rPr>
                <w:lang w:val="en-US" w:eastAsia="zh-CN"/>
              </w:rPr>
              <w:t>1</w:t>
            </w:r>
          </w:p>
        </w:tc>
        <w:tc>
          <w:tcPr>
            <w:tcW w:w="2011" w:type="dxa"/>
            <w:tcBorders>
              <w:tl2br w:val="nil"/>
              <w:tr2bl w:val="nil"/>
            </w:tcBorders>
            <w:shd w:val="clear" w:color="auto" w:fill="auto"/>
            <w:vAlign w:val="center"/>
          </w:tcPr>
          <w:p w14:paraId="1F7E5DB6">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液氨</w:t>
            </w:r>
          </w:p>
        </w:tc>
        <w:tc>
          <w:tcPr>
            <w:tcW w:w="1730" w:type="dxa"/>
            <w:tcBorders>
              <w:tl2br w:val="nil"/>
              <w:tr2bl w:val="nil"/>
            </w:tcBorders>
            <w:shd w:val="clear" w:color="auto" w:fill="auto"/>
            <w:vAlign w:val="center"/>
          </w:tcPr>
          <w:p w14:paraId="22D30E2F">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液体</w:t>
            </w:r>
          </w:p>
        </w:tc>
        <w:tc>
          <w:tcPr>
            <w:tcW w:w="1864" w:type="dxa"/>
            <w:tcBorders>
              <w:tl2br w:val="nil"/>
              <w:tr2bl w:val="nil"/>
            </w:tcBorders>
            <w:shd w:val="clear" w:color="auto" w:fill="auto"/>
            <w:vAlign w:val="center"/>
          </w:tcPr>
          <w:p w14:paraId="65E8B691">
            <w:pPr>
              <w:pStyle w:val="14"/>
              <w:bidi w:val="0"/>
              <w:jc w:val="center"/>
              <w:rPr>
                <w:rFonts w:hint="default" w:ascii="Times New Roman" w:hAnsi="Times New Roman" w:eastAsia="宋体" w:cs="Times New Roman"/>
                <w:kern w:val="0"/>
                <w:sz w:val="21"/>
                <w:szCs w:val="20"/>
                <w:lang w:val="en-US" w:eastAsia="zh-CN" w:bidi="ar-SA"/>
              </w:rPr>
            </w:pPr>
            <w:r>
              <w:rPr>
                <w:rFonts w:hint="eastAsia"/>
                <w:lang w:val="en-US" w:eastAsia="zh-CN"/>
              </w:rPr>
              <w:t>602</w:t>
            </w:r>
          </w:p>
        </w:tc>
        <w:tc>
          <w:tcPr>
            <w:tcW w:w="1996" w:type="dxa"/>
            <w:tcBorders>
              <w:tl2br w:val="nil"/>
              <w:tr2bl w:val="nil"/>
            </w:tcBorders>
            <w:shd w:val="clear" w:color="auto" w:fill="auto"/>
            <w:vAlign w:val="center"/>
          </w:tcPr>
          <w:p w14:paraId="077F4EC1">
            <w:pPr>
              <w:pStyle w:val="14"/>
              <w:bidi w:val="0"/>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3100m</w:t>
            </w:r>
            <w:r>
              <w:rPr>
                <w:rFonts w:hint="eastAsia" w:ascii="Times New Roman" w:hAnsi="Times New Roman" w:eastAsia="宋体" w:cs="Times New Roman"/>
                <w:kern w:val="0"/>
                <w:sz w:val="21"/>
                <w:szCs w:val="20"/>
                <w:vertAlign w:val="superscript"/>
                <w:lang w:val="en-US" w:eastAsia="zh-CN" w:bidi="ar-SA"/>
              </w:rPr>
              <w:t>3</w:t>
            </w:r>
          </w:p>
        </w:tc>
      </w:tr>
      <w:tr w14:paraId="23635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8" w:type="dxa"/>
            <w:tcBorders>
              <w:tl2br w:val="nil"/>
              <w:tr2bl w:val="nil"/>
            </w:tcBorders>
            <w:vAlign w:val="center"/>
          </w:tcPr>
          <w:p w14:paraId="4368AF48">
            <w:pPr>
              <w:pStyle w:val="14"/>
              <w:bidi w:val="0"/>
              <w:jc w:val="center"/>
              <w:rPr>
                <w:lang w:val="en-US" w:eastAsia="zh-CN"/>
              </w:rPr>
            </w:pPr>
            <w:r>
              <w:rPr>
                <w:lang w:val="en-US" w:eastAsia="zh-CN"/>
              </w:rPr>
              <w:t>2</w:t>
            </w:r>
          </w:p>
        </w:tc>
        <w:tc>
          <w:tcPr>
            <w:tcW w:w="2011" w:type="dxa"/>
            <w:tcBorders>
              <w:tl2br w:val="nil"/>
              <w:tr2bl w:val="nil"/>
            </w:tcBorders>
            <w:vAlign w:val="center"/>
          </w:tcPr>
          <w:p w14:paraId="68CB07C9">
            <w:pPr>
              <w:pStyle w:val="14"/>
              <w:bidi w:val="0"/>
              <w:jc w:val="center"/>
              <w:rPr>
                <w:rFonts w:hint="eastAsia"/>
                <w:lang w:val="en-US" w:eastAsia="zh-CN"/>
              </w:rPr>
            </w:pPr>
            <w:r>
              <w:rPr>
                <w:rFonts w:hint="eastAsia"/>
                <w:lang w:val="en-US" w:eastAsia="zh-CN"/>
              </w:rPr>
              <w:t>氨水（</w:t>
            </w:r>
            <w:r>
              <w:rPr>
                <w:lang w:val="en-US" w:eastAsia="zh-CN"/>
              </w:rPr>
              <w:t>25%</w:t>
            </w:r>
            <w:r>
              <w:rPr>
                <w:rFonts w:hint="eastAsia"/>
                <w:lang w:val="en-US" w:eastAsia="zh-CN"/>
              </w:rPr>
              <w:t>）</w:t>
            </w:r>
          </w:p>
        </w:tc>
        <w:tc>
          <w:tcPr>
            <w:tcW w:w="1730" w:type="dxa"/>
            <w:tcBorders>
              <w:tl2br w:val="nil"/>
              <w:tr2bl w:val="nil"/>
            </w:tcBorders>
            <w:vAlign w:val="center"/>
          </w:tcPr>
          <w:p w14:paraId="3DF270A6">
            <w:pPr>
              <w:pStyle w:val="14"/>
              <w:bidi w:val="0"/>
              <w:jc w:val="center"/>
              <w:rPr>
                <w:rFonts w:hint="eastAsia"/>
                <w:lang w:val="en-US" w:eastAsia="zh-CN"/>
              </w:rPr>
            </w:pPr>
            <w:r>
              <w:rPr>
                <w:rFonts w:hint="eastAsia"/>
                <w:lang w:val="en-US" w:eastAsia="zh-CN"/>
              </w:rPr>
              <w:t>液体</w:t>
            </w:r>
          </w:p>
        </w:tc>
        <w:tc>
          <w:tcPr>
            <w:tcW w:w="1864" w:type="dxa"/>
            <w:tcBorders>
              <w:tl2br w:val="nil"/>
              <w:tr2bl w:val="nil"/>
            </w:tcBorders>
            <w:vAlign w:val="center"/>
          </w:tcPr>
          <w:p w14:paraId="3B463CCA">
            <w:pPr>
              <w:pStyle w:val="14"/>
              <w:bidi w:val="0"/>
              <w:jc w:val="center"/>
              <w:rPr>
                <w:rFonts w:hint="default"/>
                <w:lang w:val="en-US" w:eastAsia="zh-CN"/>
              </w:rPr>
            </w:pPr>
            <w:r>
              <w:rPr>
                <w:lang w:val="en-US" w:eastAsia="zh-CN"/>
              </w:rPr>
              <w:t>0.91</w:t>
            </w:r>
          </w:p>
        </w:tc>
        <w:tc>
          <w:tcPr>
            <w:tcW w:w="1996" w:type="dxa"/>
            <w:tcBorders>
              <w:tl2br w:val="nil"/>
              <w:tr2bl w:val="nil"/>
            </w:tcBorders>
            <w:vAlign w:val="center"/>
          </w:tcPr>
          <w:p w14:paraId="5B70A6FD">
            <w:pPr>
              <w:pStyle w:val="14"/>
              <w:bidi w:val="0"/>
              <w:jc w:val="center"/>
              <w:rPr>
                <w:lang w:val="en-US" w:eastAsia="zh-CN"/>
              </w:rPr>
            </w:pPr>
            <w:r>
              <w:rPr>
                <w:rFonts w:hint="eastAsia"/>
                <w:lang w:val="en-US" w:eastAsia="zh-CN"/>
              </w:rPr>
              <w:t>3845m</w:t>
            </w:r>
            <w:r>
              <w:rPr>
                <w:rFonts w:hint="eastAsia"/>
                <w:vertAlign w:val="superscript"/>
                <w:lang w:val="en-US" w:eastAsia="zh-CN"/>
              </w:rPr>
              <w:t>3</w:t>
            </w:r>
          </w:p>
        </w:tc>
      </w:tr>
      <w:tr w14:paraId="01B2DC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8" w:type="dxa"/>
            <w:tcBorders>
              <w:tl2br w:val="nil"/>
              <w:tr2bl w:val="nil"/>
            </w:tcBorders>
            <w:vAlign w:val="center"/>
          </w:tcPr>
          <w:p w14:paraId="690A5EF3">
            <w:pPr>
              <w:pStyle w:val="14"/>
              <w:bidi w:val="0"/>
              <w:jc w:val="center"/>
              <w:rPr>
                <w:lang w:val="en-US" w:eastAsia="zh-CN"/>
              </w:rPr>
            </w:pPr>
            <w:r>
              <w:rPr>
                <w:rFonts w:hint="eastAsia"/>
                <w:lang w:val="en-US" w:eastAsia="zh-CN"/>
              </w:rPr>
              <w:t>3</w:t>
            </w:r>
          </w:p>
        </w:tc>
        <w:tc>
          <w:tcPr>
            <w:tcW w:w="2011" w:type="dxa"/>
            <w:tcBorders>
              <w:tl2br w:val="nil"/>
              <w:tr2bl w:val="nil"/>
            </w:tcBorders>
            <w:vAlign w:val="center"/>
          </w:tcPr>
          <w:p w14:paraId="4B12D8F0">
            <w:pPr>
              <w:pStyle w:val="14"/>
              <w:bidi w:val="0"/>
              <w:jc w:val="center"/>
              <w:rPr>
                <w:rFonts w:hint="eastAsia"/>
                <w:lang w:val="en-US" w:eastAsia="zh-CN"/>
              </w:rPr>
            </w:pPr>
            <w:r>
              <w:rPr>
                <w:rFonts w:hint="eastAsia"/>
                <w:lang w:val="en-US" w:eastAsia="zh-CN"/>
              </w:rPr>
              <w:t>危废间废机油</w:t>
            </w:r>
          </w:p>
        </w:tc>
        <w:tc>
          <w:tcPr>
            <w:tcW w:w="1730" w:type="dxa"/>
            <w:tcBorders>
              <w:tl2br w:val="nil"/>
              <w:tr2bl w:val="nil"/>
            </w:tcBorders>
            <w:vAlign w:val="center"/>
          </w:tcPr>
          <w:p w14:paraId="184EBBA8">
            <w:pPr>
              <w:pStyle w:val="14"/>
              <w:bidi w:val="0"/>
              <w:jc w:val="center"/>
              <w:rPr>
                <w:rFonts w:hint="eastAsia"/>
                <w:lang w:val="en-US" w:eastAsia="zh-CN"/>
              </w:rPr>
            </w:pPr>
            <w:r>
              <w:rPr>
                <w:rFonts w:hint="eastAsia"/>
                <w:lang w:val="en-US" w:eastAsia="zh-CN"/>
              </w:rPr>
              <w:t>液体</w:t>
            </w:r>
          </w:p>
        </w:tc>
        <w:tc>
          <w:tcPr>
            <w:tcW w:w="1864" w:type="dxa"/>
            <w:tcBorders>
              <w:tl2br w:val="nil"/>
              <w:tr2bl w:val="nil"/>
            </w:tcBorders>
            <w:vAlign w:val="center"/>
          </w:tcPr>
          <w:p w14:paraId="7B5D2FA9">
            <w:pPr>
              <w:pStyle w:val="14"/>
              <w:bidi w:val="0"/>
              <w:jc w:val="center"/>
              <w:rPr>
                <w:lang w:val="en-US" w:eastAsia="zh-CN"/>
              </w:rPr>
            </w:pPr>
            <w:r>
              <w:rPr>
                <w:lang w:val="en-US" w:eastAsia="zh-CN"/>
              </w:rPr>
              <w:t>/</w:t>
            </w:r>
          </w:p>
        </w:tc>
        <w:tc>
          <w:tcPr>
            <w:tcW w:w="1996" w:type="dxa"/>
            <w:tcBorders>
              <w:tl2br w:val="nil"/>
              <w:tr2bl w:val="nil"/>
            </w:tcBorders>
            <w:vAlign w:val="center"/>
          </w:tcPr>
          <w:p w14:paraId="0E51806A">
            <w:pPr>
              <w:pStyle w:val="14"/>
              <w:bidi w:val="0"/>
              <w:jc w:val="center"/>
              <w:rPr>
                <w:lang w:val="en-US" w:eastAsia="zh-CN"/>
              </w:rPr>
            </w:pPr>
            <w:r>
              <w:rPr>
                <w:rFonts w:hint="eastAsia"/>
                <w:lang w:val="en-US" w:eastAsia="zh-CN"/>
              </w:rPr>
              <w:t>0.1</w:t>
            </w:r>
            <w:r>
              <w:rPr>
                <w:lang w:val="en-US" w:eastAsia="zh-CN"/>
              </w:rPr>
              <w:t>t</w:t>
            </w:r>
          </w:p>
        </w:tc>
      </w:tr>
      <w:tr w14:paraId="40A90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38" w:type="dxa"/>
            <w:tcBorders>
              <w:tl2br w:val="nil"/>
              <w:tr2bl w:val="nil"/>
            </w:tcBorders>
            <w:vAlign w:val="center"/>
          </w:tcPr>
          <w:p w14:paraId="4FDE2602">
            <w:pPr>
              <w:pStyle w:val="14"/>
              <w:bidi w:val="0"/>
              <w:jc w:val="center"/>
              <w:rPr>
                <w:rFonts w:hint="default"/>
                <w:lang w:val="en-US" w:eastAsia="zh-CN"/>
              </w:rPr>
            </w:pPr>
            <w:r>
              <w:rPr>
                <w:rFonts w:hint="eastAsia"/>
                <w:lang w:val="en-US" w:eastAsia="zh-CN"/>
              </w:rPr>
              <w:t>4</w:t>
            </w:r>
          </w:p>
        </w:tc>
        <w:tc>
          <w:tcPr>
            <w:tcW w:w="2011" w:type="dxa"/>
            <w:tcBorders>
              <w:tl2br w:val="nil"/>
              <w:tr2bl w:val="nil"/>
            </w:tcBorders>
            <w:vAlign w:val="center"/>
          </w:tcPr>
          <w:p w14:paraId="2A19B2B5">
            <w:pPr>
              <w:pStyle w:val="14"/>
              <w:bidi w:val="0"/>
              <w:jc w:val="center"/>
              <w:rPr>
                <w:rFonts w:hint="eastAsia"/>
                <w:lang w:val="en-US" w:eastAsia="zh-CN"/>
              </w:rPr>
            </w:pPr>
            <w:r>
              <w:rPr>
                <w:rFonts w:hint="eastAsia"/>
                <w:lang w:val="en-US" w:eastAsia="zh-CN"/>
              </w:rPr>
              <w:t>柴油</w:t>
            </w:r>
          </w:p>
        </w:tc>
        <w:tc>
          <w:tcPr>
            <w:tcW w:w="1730" w:type="dxa"/>
            <w:tcBorders>
              <w:tl2br w:val="nil"/>
              <w:tr2bl w:val="nil"/>
            </w:tcBorders>
            <w:vAlign w:val="center"/>
          </w:tcPr>
          <w:p w14:paraId="202E93F6">
            <w:pPr>
              <w:pStyle w:val="14"/>
              <w:bidi w:val="0"/>
              <w:jc w:val="center"/>
              <w:rPr>
                <w:rFonts w:hint="eastAsia"/>
                <w:lang w:val="en-US" w:eastAsia="zh-CN"/>
              </w:rPr>
            </w:pPr>
            <w:r>
              <w:rPr>
                <w:rFonts w:hint="eastAsia"/>
                <w:lang w:val="en-US" w:eastAsia="zh-CN"/>
              </w:rPr>
              <w:t>液体</w:t>
            </w:r>
          </w:p>
        </w:tc>
        <w:tc>
          <w:tcPr>
            <w:tcW w:w="1864" w:type="dxa"/>
            <w:tcBorders>
              <w:tl2br w:val="nil"/>
              <w:tr2bl w:val="nil"/>
            </w:tcBorders>
            <w:vAlign w:val="center"/>
          </w:tcPr>
          <w:p w14:paraId="633F76C6">
            <w:pPr>
              <w:pStyle w:val="14"/>
              <w:bidi w:val="0"/>
              <w:jc w:val="center"/>
              <w:rPr>
                <w:rFonts w:hint="default"/>
                <w:lang w:val="en-US" w:eastAsia="zh-CN"/>
              </w:rPr>
            </w:pPr>
            <w:r>
              <w:rPr>
                <w:rFonts w:hint="eastAsia"/>
                <w:lang w:val="en-US" w:eastAsia="zh-CN"/>
              </w:rPr>
              <w:t>840</w:t>
            </w:r>
          </w:p>
        </w:tc>
        <w:tc>
          <w:tcPr>
            <w:tcW w:w="1996" w:type="dxa"/>
            <w:tcBorders>
              <w:tl2br w:val="nil"/>
              <w:tr2bl w:val="nil"/>
            </w:tcBorders>
            <w:vAlign w:val="center"/>
          </w:tcPr>
          <w:p w14:paraId="17E56490">
            <w:pPr>
              <w:pStyle w:val="14"/>
              <w:bidi w:val="0"/>
              <w:jc w:val="center"/>
              <w:rPr>
                <w:rFonts w:hint="default"/>
                <w:lang w:val="en-US" w:eastAsia="zh-CN"/>
              </w:rPr>
            </w:pPr>
            <w:r>
              <w:rPr>
                <w:rFonts w:hint="eastAsia"/>
                <w:lang w:val="en-US" w:eastAsia="zh-CN"/>
              </w:rPr>
              <w:t>1m</w:t>
            </w:r>
            <w:r>
              <w:rPr>
                <w:rFonts w:hint="eastAsia"/>
                <w:vertAlign w:val="superscript"/>
                <w:lang w:val="en-US" w:eastAsia="zh-CN"/>
              </w:rPr>
              <w:t>3</w:t>
            </w:r>
          </w:p>
        </w:tc>
      </w:tr>
    </w:tbl>
    <w:p w14:paraId="1501AEF3">
      <w:pPr>
        <w:pStyle w:val="15"/>
        <w:bidi w:val="0"/>
        <w:rPr>
          <w:rFonts w:hint="eastAsia"/>
          <w:lang w:val="en-US" w:eastAsia="zh-CN"/>
        </w:rPr>
      </w:pPr>
    </w:p>
    <w:p w14:paraId="43F017EB">
      <w:pPr>
        <w:adjustRightInd w:val="0"/>
        <w:snapToGrid w:val="0"/>
        <w:ind w:firstLine="480" w:firstLineChars="200"/>
        <w:rPr>
          <w:rFonts w:eastAsia="宋体"/>
        </w:rPr>
      </w:pPr>
      <w:r>
        <w:rPr>
          <w:rFonts w:hint="eastAsia"/>
          <w:lang w:val="en-US" w:eastAsia="zh-CN"/>
        </w:rPr>
        <w:t>根据《建设项目环境风险评技术导则》（HJ169-2018）附录B 中B.1 突发环境事件风险物质及临界量表、B.2其他危险物质临界量计算方法，计算本项目危险物质数量与临界量比值Q值。</w:t>
      </w:r>
      <w:r>
        <w:rPr>
          <w:rFonts w:hint="eastAsia" w:eastAsia="宋体"/>
        </w:rPr>
        <w:t>单元内存在的危险化学品为多品种时，则按式（1）计算，若满足式（1），则定为重大危险源：</w:t>
      </w:r>
    </w:p>
    <w:p w14:paraId="5E38F66B">
      <w:pPr>
        <w:adjustRightInd w:val="0"/>
        <w:snapToGrid w:val="0"/>
        <w:ind w:firstLine="562" w:firstLineChars="200"/>
        <w:jc w:val="center"/>
        <w:rPr>
          <w:rFonts w:eastAsia="宋体"/>
          <w:b/>
          <w:bCs/>
          <w:sz w:val="28"/>
          <w:szCs w:val="28"/>
        </w:rPr>
      </w:pPr>
      <w:r>
        <w:rPr>
          <w:rFonts w:hint="eastAsia" w:eastAsia="宋体"/>
          <w:b/>
          <w:bCs/>
          <w:sz w:val="28"/>
          <w:szCs w:val="28"/>
        </w:rPr>
        <w:t>Q=q</w:t>
      </w:r>
      <w:r>
        <w:rPr>
          <w:rFonts w:hint="eastAsia" w:eastAsia="宋体"/>
          <w:b/>
          <w:bCs/>
          <w:sz w:val="28"/>
          <w:szCs w:val="28"/>
          <w:vertAlign w:val="subscript"/>
        </w:rPr>
        <w:t>1</w:t>
      </w:r>
      <w:r>
        <w:rPr>
          <w:rFonts w:hint="eastAsia" w:eastAsia="宋体"/>
          <w:b/>
          <w:bCs/>
          <w:sz w:val="28"/>
          <w:szCs w:val="28"/>
        </w:rPr>
        <w:t>/Q</w:t>
      </w:r>
      <w:r>
        <w:rPr>
          <w:rFonts w:hint="eastAsia" w:eastAsia="宋体"/>
          <w:b/>
          <w:bCs/>
          <w:sz w:val="28"/>
          <w:szCs w:val="28"/>
          <w:vertAlign w:val="subscript"/>
        </w:rPr>
        <w:t>1</w:t>
      </w:r>
      <w:r>
        <w:rPr>
          <w:rFonts w:hint="eastAsia" w:eastAsia="宋体"/>
          <w:b/>
          <w:bCs/>
          <w:sz w:val="28"/>
          <w:szCs w:val="28"/>
        </w:rPr>
        <w:t>+q</w:t>
      </w:r>
      <w:r>
        <w:rPr>
          <w:rFonts w:hint="eastAsia" w:eastAsia="宋体"/>
          <w:b/>
          <w:bCs/>
          <w:sz w:val="28"/>
          <w:szCs w:val="28"/>
          <w:vertAlign w:val="subscript"/>
        </w:rPr>
        <w:t>2</w:t>
      </w:r>
      <w:r>
        <w:rPr>
          <w:rFonts w:hint="eastAsia" w:eastAsia="宋体"/>
          <w:b/>
          <w:bCs/>
          <w:sz w:val="28"/>
          <w:szCs w:val="28"/>
        </w:rPr>
        <w:t>/Q</w:t>
      </w:r>
      <w:r>
        <w:rPr>
          <w:rFonts w:hint="eastAsia" w:eastAsia="宋体"/>
          <w:b/>
          <w:bCs/>
          <w:sz w:val="28"/>
          <w:szCs w:val="28"/>
          <w:vertAlign w:val="subscript"/>
        </w:rPr>
        <w:t>2</w:t>
      </w:r>
      <w:r>
        <w:rPr>
          <w:rFonts w:hint="eastAsia" w:eastAsia="宋体"/>
          <w:b/>
          <w:bCs/>
          <w:sz w:val="28"/>
          <w:szCs w:val="28"/>
        </w:rPr>
        <w:t>+…+q</w:t>
      </w:r>
      <w:r>
        <w:rPr>
          <w:rFonts w:hint="eastAsia" w:eastAsia="宋体"/>
          <w:b/>
          <w:bCs/>
          <w:sz w:val="28"/>
          <w:szCs w:val="28"/>
          <w:vertAlign w:val="subscript"/>
        </w:rPr>
        <w:t>n</w:t>
      </w:r>
      <w:r>
        <w:rPr>
          <w:rFonts w:hint="eastAsia" w:eastAsia="宋体"/>
          <w:b/>
          <w:bCs/>
          <w:sz w:val="28"/>
          <w:szCs w:val="28"/>
        </w:rPr>
        <w:t>/Q</w:t>
      </w:r>
      <w:r>
        <w:rPr>
          <w:rFonts w:hint="eastAsia" w:eastAsia="宋体"/>
          <w:b/>
          <w:bCs/>
          <w:sz w:val="28"/>
          <w:szCs w:val="28"/>
          <w:vertAlign w:val="subscript"/>
        </w:rPr>
        <w:t>n</w:t>
      </w:r>
      <w:r>
        <w:rPr>
          <w:rFonts w:hint="eastAsia" w:eastAsia="宋体"/>
          <w:b/>
          <w:bCs/>
          <w:sz w:val="28"/>
          <w:szCs w:val="28"/>
        </w:rPr>
        <w:t xml:space="preserve">  （1）</w:t>
      </w:r>
    </w:p>
    <w:p w14:paraId="698354CD">
      <w:pPr>
        <w:adjustRightInd w:val="0"/>
        <w:snapToGrid w:val="0"/>
        <w:ind w:firstLine="480" w:firstLineChars="200"/>
        <w:rPr>
          <w:rFonts w:eastAsia="宋体"/>
        </w:rPr>
      </w:pPr>
      <w:r>
        <w:rPr>
          <w:rFonts w:hint="eastAsia" w:eastAsia="宋体"/>
        </w:rPr>
        <w:t>式中：</w:t>
      </w:r>
    </w:p>
    <w:p w14:paraId="4B359B45">
      <w:pPr>
        <w:adjustRightInd w:val="0"/>
        <w:snapToGrid w:val="0"/>
        <w:ind w:firstLine="480" w:firstLineChars="200"/>
        <w:rPr>
          <w:rFonts w:eastAsia="宋体"/>
        </w:rPr>
      </w:pPr>
      <w:r>
        <w:rPr>
          <w:rFonts w:hint="eastAsia" w:eastAsia="宋体"/>
        </w:rPr>
        <w:t>q</w:t>
      </w:r>
      <w:r>
        <w:rPr>
          <w:rFonts w:hint="eastAsia" w:eastAsia="宋体"/>
          <w:vertAlign w:val="subscript"/>
        </w:rPr>
        <w:t>1</w:t>
      </w:r>
      <w:r>
        <w:rPr>
          <w:rFonts w:hint="eastAsia" w:eastAsia="宋体"/>
        </w:rPr>
        <w:t>，q</w:t>
      </w:r>
      <w:r>
        <w:rPr>
          <w:rFonts w:hint="eastAsia" w:eastAsia="宋体"/>
          <w:vertAlign w:val="subscript"/>
        </w:rPr>
        <w:t>2</w:t>
      </w:r>
      <w:r>
        <w:rPr>
          <w:rFonts w:hint="eastAsia" w:eastAsia="宋体"/>
        </w:rPr>
        <w:t>，…，q</w:t>
      </w:r>
      <w:r>
        <w:rPr>
          <w:rFonts w:hint="eastAsia" w:eastAsia="宋体"/>
          <w:vertAlign w:val="subscript"/>
        </w:rPr>
        <w:t>n</w:t>
      </w:r>
      <w:r>
        <w:rPr>
          <w:rFonts w:hint="eastAsia" w:eastAsia="宋体"/>
        </w:rPr>
        <w:t>—每种危险物质的最大存在总量，t；</w:t>
      </w:r>
    </w:p>
    <w:p w14:paraId="74B34FAE">
      <w:pPr>
        <w:adjustRightInd w:val="0"/>
        <w:snapToGrid w:val="0"/>
        <w:ind w:firstLine="480" w:firstLineChars="200"/>
        <w:rPr>
          <w:rFonts w:eastAsia="宋体"/>
        </w:rPr>
      </w:pPr>
      <w:r>
        <w:rPr>
          <w:rFonts w:hint="eastAsia" w:eastAsia="宋体"/>
        </w:rPr>
        <w:t>Q</w:t>
      </w:r>
      <w:r>
        <w:rPr>
          <w:rFonts w:hint="eastAsia" w:eastAsia="宋体"/>
          <w:vertAlign w:val="subscript"/>
        </w:rPr>
        <w:t>1</w:t>
      </w:r>
      <w:r>
        <w:rPr>
          <w:rFonts w:hint="eastAsia" w:eastAsia="宋体"/>
        </w:rPr>
        <w:t>，Q</w:t>
      </w:r>
      <w:r>
        <w:rPr>
          <w:rFonts w:hint="eastAsia" w:eastAsia="宋体"/>
          <w:vertAlign w:val="subscript"/>
        </w:rPr>
        <w:t>2</w:t>
      </w:r>
      <w:r>
        <w:rPr>
          <w:rFonts w:hint="eastAsia" w:eastAsia="宋体"/>
        </w:rPr>
        <w:t>，…，Qn—每种危险物质的临界量，t。</w:t>
      </w:r>
    </w:p>
    <w:p w14:paraId="6660A5D0">
      <w:pPr>
        <w:adjustRightInd w:val="0"/>
        <w:snapToGrid w:val="0"/>
        <w:ind w:firstLine="480" w:firstLineChars="200"/>
        <w:rPr>
          <w:rFonts w:eastAsia="宋体"/>
        </w:rPr>
      </w:pPr>
      <w:r>
        <w:rPr>
          <w:rFonts w:hint="eastAsia" w:eastAsia="宋体"/>
        </w:rPr>
        <w:t>当Q＜1时，该项目环境风险潜势为Ⅰ。</w:t>
      </w:r>
    </w:p>
    <w:p w14:paraId="139554BB">
      <w:pPr>
        <w:ind w:firstLine="480" w:firstLineChars="200"/>
        <w:rPr>
          <w:rFonts w:hint="eastAsia"/>
          <w:lang w:val="en-US" w:eastAsia="zh-CN"/>
        </w:rPr>
      </w:pPr>
      <w:r>
        <w:rPr>
          <w:rFonts w:hint="eastAsia" w:eastAsia="宋体"/>
        </w:rPr>
        <w:t>当Q≥1时，将Q值划分为：（1）1≤Q＜10；（2）10≤Q＜100；（3）Q≥100。</w:t>
      </w:r>
    </w:p>
    <w:p w14:paraId="152CAF78">
      <w:pPr>
        <w:pStyle w:val="15"/>
        <w:bidi w:val="0"/>
        <w:rPr>
          <w:rFonts w:hint="eastAsia"/>
          <w:lang w:val="en-US" w:eastAsia="zh-CN"/>
        </w:rPr>
      </w:pPr>
      <w:r>
        <w:rPr>
          <w:rFonts w:hint="eastAsia"/>
          <w:lang w:val="en-US" w:eastAsia="zh-CN"/>
        </w:rPr>
        <w:t>表2-2 本项目危险物质数量与临界量Q值确定表</w:t>
      </w:r>
    </w:p>
    <w:tbl>
      <w:tblPr>
        <w:tblStyle w:val="11"/>
        <w:tblW w:w="868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83"/>
        <w:gridCol w:w="1383"/>
        <w:gridCol w:w="1184"/>
        <w:gridCol w:w="1150"/>
        <w:gridCol w:w="1088"/>
        <w:gridCol w:w="1260"/>
        <w:gridCol w:w="850"/>
        <w:gridCol w:w="1190"/>
      </w:tblGrid>
      <w:tr w14:paraId="34D3C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6F74F3DC">
            <w:pPr>
              <w:pStyle w:val="14"/>
              <w:bidi w:val="0"/>
              <w:jc w:val="center"/>
              <w:rPr>
                <w:rFonts w:hint="eastAsia"/>
                <w:b/>
                <w:bCs/>
                <w:lang w:val="en-US" w:eastAsia="zh-CN"/>
              </w:rPr>
            </w:pPr>
            <w:r>
              <w:rPr>
                <w:rFonts w:hint="eastAsia"/>
                <w:b/>
                <w:bCs/>
                <w:lang w:val="en-US" w:eastAsia="zh-CN"/>
              </w:rPr>
              <w:t>序号</w:t>
            </w:r>
          </w:p>
        </w:tc>
        <w:tc>
          <w:tcPr>
            <w:tcW w:w="1383" w:type="dxa"/>
            <w:tcBorders>
              <w:tl2br w:val="nil"/>
              <w:tr2bl w:val="nil"/>
            </w:tcBorders>
            <w:vAlign w:val="center"/>
          </w:tcPr>
          <w:p w14:paraId="4A9040A9">
            <w:pPr>
              <w:pStyle w:val="14"/>
              <w:bidi w:val="0"/>
              <w:jc w:val="center"/>
              <w:rPr>
                <w:rFonts w:hint="eastAsia"/>
                <w:b/>
                <w:bCs/>
                <w:lang w:val="en-US" w:eastAsia="zh-CN"/>
              </w:rPr>
            </w:pPr>
            <w:r>
              <w:rPr>
                <w:rFonts w:hint="eastAsia"/>
                <w:b/>
                <w:bCs/>
                <w:lang w:val="en-US" w:eastAsia="zh-CN"/>
              </w:rPr>
              <w:t>危险物质名称</w:t>
            </w:r>
          </w:p>
        </w:tc>
        <w:tc>
          <w:tcPr>
            <w:tcW w:w="1184" w:type="dxa"/>
            <w:tcBorders>
              <w:tl2br w:val="nil"/>
              <w:tr2bl w:val="nil"/>
            </w:tcBorders>
            <w:vAlign w:val="center"/>
          </w:tcPr>
          <w:p w14:paraId="34684894">
            <w:pPr>
              <w:pStyle w:val="14"/>
              <w:bidi w:val="0"/>
              <w:jc w:val="center"/>
              <w:rPr>
                <w:rFonts w:hint="eastAsia"/>
                <w:b/>
                <w:bCs/>
                <w:lang w:val="en-US" w:eastAsia="zh-CN"/>
              </w:rPr>
            </w:pPr>
            <w:r>
              <w:rPr>
                <w:rFonts w:hint="eastAsia"/>
                <w:b/>
                <w:bCs/>
                <w:lang w:val="en-US" w:eastAsia="zh-CN"/>
              </w:rPr>
              <w:t>CAS号</w:t>
            </w:r>
          </w:p>
        </w:tc>
        <w:tc>
          <w:tcPr>
            <w:tcW w:w="1150" w:type="dxa"/>
            <w:tcBorders>
              <w:tl2br w:val="nil"/>
              <w:tr2bl w:val="nil"/>
            </w:tcBorders>
            <w:vAlign w:val="center"/>
          </w:tcPr>
          <w:p w14:paraId="179A1192">
            <w:pPr>
              <w:pStyle w:val="14"/>
              <w:bidi w:val="0"/>
              <w:jc w:val="center"/>
              <w:rPr>
                <w:rFonts w:hint="eastAsia"/>
                <w:b/>
                <w:bCs/>
                <w:lang w:val="en-US" w:eastAsia="zh-CN"/>
              </w:rPr>
            </w:pPr>
            <w:r>
              <w:rPr>
                <w:rFonts w:hint="eastAsia"/>
                <w:b/>
                <w:bCs/>
                <w:lang w:val="en-US" w:eastAsia="zh-CN"/>
              </w:rPr>
              <w:t>最大存储体积量</w:t>
            </w:r>
          </w:p>
        </w:tc>
        <w:tc>
          <w:tcPr>
            <w:tcW w:w="1088" w:type="dxa"/>
            <w:tcBorders>
              <w:tl2br w:val="nil"/>
              <w:tr2bl w:val="nil"/>
            </w:tcBorders>
            <w:vAlign w:val="center"/>
          </w:tcPr>
          <w:p w14:paraId="506892F6">
            <w:pPr>
              <w:pStyle w:val="14"/>
              <w:bidi w:val="0"/>
              <w:jc w:val="center"/>
              <w:rPr>
                <w:rFonts w:hint="eastAsia"/>
                <w:b/>
                <w:bCs/>
                <w:lang w:val="en-US" w:eastAsia="zh-CN"/>
              </w:rPr>
            </w:pPr>
            <w:r>
              <w:rPr>
                <w:rFonts w:hint="eastAsia"/>
                <w:b/>
                <w:bCs/>
                <w:lang w:val="en-US" w:eastAsia="zh-CN"/>
              </w:rPr>
              <w:t>最大存储总量</w:t>
            </w:r>
          </w:p>
        </w:tc>
        <w:tc>
          <w:tcPr>
            <w:tcW w:w="1260" w:type="dxa"/>
            <w:tcBorders>
              <w:tl2br w:val="nil"/>
              <w:tr2bl w:val="nil"/>
            </w:tcBorders>
            <w:vAlign w:val="center"/>
          </w:tcPr>
          <w:p w14:paraId="17148766">
            <w:pPr>
              <w:pStyle w:val="14"/>
              <w:bidi w:val="0"/>
              <w:jc w:val="center"/>
              <w:rPr>
                <w:rFonts w:hint="eastAsia"/>
                <w:b/>
                <w:bCs/>
                <w:lang w:val="en-US" w:eastAsia="zh-CN"/>
              </w:rPr>
            </w:pPr>
            <w:r>
              <w:rPr>
                <w:rFonts w:hint="eastAsia"/>
                <w:b/>
                <w:bCs/>
                <w:lang w:val="en-US" w:eastAsia="zh-CN"/>
              </w:rPr>
              <w:t>折纯后最大存储量qn/t</w:t>
            </w:r>
          </w:p>
        </w:tc>
        <w:tc>
          <w:tcPr>
            <w:tcW w:w="850" w:type="dxa"/>
            <w:tcBorders>
              <w:tl2br w:val="nil"/>
              <w:tr2bl w:val="nil"/>
            </w:tcBorders>
            <w:vAlign w:val="center"/>
          </w:tcPr>
          <w:p w14:paraId="6B12F8D7">
            <w:pPr>
              <w:pStyle w:val="14"/>
              <w:bidi w:val="0"/>
              <w:jc w:val="center"/>
              <w:rPr>
                <w:rFonts w:hint="eastAsia"/>
                <w:b/>
                <w:bCs/>
                <w:lang w:val="en-US" w:eastAsia="zh-CN"/>
              </w:rPr>
            </w:pPr>
            <w:r>
              <w:rPr>
                <w:rFonts w:hint="eastAsia"/>
                <w:b/>
                <w:bCs/>
                <w:lang w:val="en-US" w:eastAsia="zh-CN"/>
              </w:rPr>
              <w:t>临界量</w:t>
            </w:r>
          </w:p>
          <w:p w14:paraId="010B304C">
            <w:pPr>
              <w:pStyle w:val="14"/>
              <w:bidi w:val="0"/>
              <w:jc w:val="center"/>
              <w:rPr>
                <w:rFonts w:hint="eastAsia"/>
                <w:b/>
                <w:bCs/>
                <w:lang w:val="en-US" w:eastAsia="zh-CN"/>
              </w:rPr>
            </w:pPr>
            <w:r>
              <w:rPr>
                <w:rFonts w:hint="eastAsia"/>
                <w:b/>
                <w:bCs/>
                <w:lang w:val="en-US" w:eastAsia="zh-CN"/>
              </w:rPr>
              <w:t>Qn/t</w:t>
            </w:r>
          </w:p>
        </w:tc>
        <w:tc>
          <w:tcPr>
            <w:tcW w:w="1190" w:type="dxa"/>
            <w:tcBorders>
              <w:tl2br w:val="nil"/>
              <w:tr2bl w:val="nil"/>
            </w:tcBorders>
            <w:vAlign w:val="center"/>
          </w:tcPr>
          <w:p w14:paraId="58EBABAD">
            <w:pPr>
              <w:pStyle w:val="14"/>
              <w:bidi w:val="0"/>
              <w:jc w:val="center"/>
              <w:rPr>
                <w:rFonts w:hint="eastAsia"/>
                <w:b/>
                <w:bCs/>
                <w:lang w:val="en-US" w:eastAsia="zh-CN"/>
              </w:rPr>
            </w:pPr>
            <w:r>
              <w:rPr>
                <w:rFonts w:hint="eastAsia"/>
                <w:b/>
                <w:bCs/>
                <w:lang w:val="en-US" w:eastAsia="zh-CN"/>
              </w:rPr>
              <w:t>该种物质Q值</w:t>
            </w:r>
          </w:p>
        </w:tc>
      </w:tr>
      <w:tr w14:paraId="604BE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0C241080">
            <w:pPr>
              <w:pStyle w:val="14"/>
              <w:bidi w:val="0"/>
              <w:jc w:val="center"/>
              <w:rPr>
                <w:rFonts w:hint="eastAsia"/>
                <w:lang w:val="en-US" w:eastAsia="zh-CN"/>
              </w:rPr>
            </w:pPr>
            <w:r>
              <w:rPr>
                <w:rFonts w:hint="eastAsia"/>
                <w:lang w:val="en-US" w:eastAsia="zh-CN"/>
              </w:rPr>
              <w:t>1</w:t>
            </w:r>
          </w:p>
        </w:tc>
        <w:tc>
          <w:tcPr>
            <w:tcW w:w="1383" w:type="dxa"/>
            <w:tcBorders>
              <w:tl2br w:val="nil"/>
              <w:tr2bl w:val="nil"/>
            </w:tcBorders>
            <w:shd w:val="clear" w:color="auto" w:fill="auto"/>
            <w:vAlign w:val="center"/>
          </w:tcPr>
          <w:p w14:paraId="1556C5A6">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液氨</w:t>
            </w:r>
          </w:p>
        </w:tc>
        <w:tc>
          <w:tcPr>
            <w:tcW w:w="1184" w:type="dxa"/>
            <w:tcBorders>
              <w:tl2br w:val="nil"/>
              <w:tr2bl w:val="nil"/>
            </w:tcBorders>
            <w:shd w:val="clear" w:color="auto" w:fill="auto"/>
            <w:vAlign w:val="center"/>
          </w:tcPr>
          <w:p w14:paraId="22ADA5F3">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7664-41-7</w:t>
            </w:r>
          </w:p>
        </w:tc>
        <w:tc>
          <w:tcPr>
            <w:tcW w:w="1150" w:type="dxa"/>
            <w:tcBorders>
              <w:tl2br w:val="nil"/>
              <w:tr2bl w:val="nil"/>
            </w:tcBorders>
            <w:vAlign w:val="center"/>
          </w:tcPr>
          <w:p w14:paraId="1EB2B461">
            <w:pPr>
              <w:pStyle w:val="14"/>
              <w:bidi w:val="0"/>
              <w:jc w:val="center"/>
              <w:rPr>
                <w:rFonts w:hint="eastAsia"/>
                <w:lang w:val="en-US" w:eastAsia="zh-CN"/>
              </w:rPr>
            </w:pPr>
            <w:r>
              <w:rPr>
                <w:rFonts w:hint="eastAsia" w:ascii="Times New Roman" w:hAnsi="Times New Roman" w:eastAsia="宋体" w:cs="Times New Roman"/>
                <w:kern w:val="0"/>
                <w:sz w:val="21"/>
                <w:szCs w:val="20"/>
                <w:lang w:val="en-US" w:eastAsia="zh-CN" w:bidi="ar-SA"/>
              </w:rPr>
              <w:t>3100m</w:t>
            </w:r>
            <w:r>
              <w:rPr>
                <w:rFonts w:hint="eastAsia" w:ascii="Times New Roman" w:hAnsi="Times New Roman" w:eastAsia="宋体" w:cs="Times New Roman"/>
                <w:kern w:val="0"/>
                <w:sz w:val="21"/>
                <w:szCs w:val="20"/>
                <w:vertAlign w:val="superscript"/>
                <w:lang w:val="en-US" w:eastAsia="zh-CN" w:bidi="ar-SA"/>
              </w:rPr>
              <w:t>3</w:t>
            </w:r>
          </w:p>
        </w:tc>
        <w:tc>
          <w:tcPr>
            <w:tcW w:w="1088" w:type="dxa"/>
            <w:tcBorders>
              <w:tl2br w:val="nil"/>
              <w:tr2bl w:val="nil"/>
            </w:tcBorders>
            <w:vAlign w:val="center"/>
          </w:tcPr>
          <w:p w14:paraId="02C47A4C">
            <w:pPr>
              <w:pStyle w:val="14"/>
              <w:bidi w:val="0"/>
              <w:jc w:val="center"/>
              <w:rPr>
                <w:rFonts w:hint="eastAsia"/>
                <w:lang w:val="en-US" w:eastAsia="zh-CN"/>
              </w:rPr>
            </w:pPr>
            <w:r>
              <w:rPr>
                <w:rFonts w:hint="eastAsia"/>
                <w:lang w:val="en-US" w:eastAsia="zh-CN"/>
              </w:rPr>
              <w:t>1866.2t</w:t>
            </w:r>
          </w:p>
        </w:tc>
        <w:tc>
          <w:tcPr>
            <w:tcW w:w="1260" w:type="dxa"/>
            <w:tcBorders>
              <w:tl2br w:val="nil"/>
              <w:tr2bl w:val="nil"/>
            </w:tcBorders>
            <w:vAlign w:val="center"/>
          </w:tcPr>
          <w:p w14:paraId="1BC37C48">
            <w:pPr>
              <w:pStyle w:val="14"/>
              <w:bidi w:val="0"/>
              <w:jc w:val="center"/>
              <w:rPr>
                <w:rFonts w:hint="eastAsia"/>
                <w:lang w:val="en-US" w:eastAsia="zh-CN"/>
              </w:rPr>
            </w:pPr>
            <w:r>
              <w:rPr>
                <w:rFonts w:hint="eastAsia"/>
                <w:lang w:val="en-US" w:eastAsia="zh-CN"/>
              </w:rPr>
              <w:t>1866.2</w:t>
            </w:r>
          </w:p>
        </w:tc>
        <w:tc>
          <w:tcPr>
            <w:tcW w:w="850" w:type="dxa"/>
            <w:tcBorders>
              <w:tl2br w:val="nil"/>
              <w:tr2bl w:val="nil"/>
            </w:tcBorders>
            <w:vAlign w:val="center"/>
          </w:tcPr>
          <w:p w14:paraId="05018E3B">
            <w:pPr>
              <w:pStyle w:val="14"/>
              <w:bidi w:val="0"/>
              <w:jc w:val="center"/>
              <w:rPr>
                <w:rFonts w:hint="eastAsia"/>
                <w:lang w:val="en-US" w:eastAsia="zh-CN"/>
              </w:rPr>
            </w:pPr>
            <w:r>
              <w:rPr>
                <w:rFonts w:hint="eastAsia"/>
                <w:lang w:val="en-US" w:eastAsia="zh-CN"/>
              </w:rPr>
              <w:t>10</w:t>
            </w:r>
          </w:p>
        </w:tc>
        <w:tc>
          <w:tcPr>
            <w:tcW w:w="1190" w:type="dxa"/>
            <w:tcBorders>
              <w:tl2br w:val="nil"/>
              <w:tr2bl w:val="nil"/>
            </w:tcBorders>
            <w:vAlign w:val="center"/>
          </w:tcPr>
          <w:p w14:paraId="4FA7BCBB">
            <w:pPr>
              <w:pStyle w:val="14"/>
              <w:bidi w:val="0"/>
              <w:jc w:val="center"/>
              <w:rPr>
                <w:rFonts w:hint="default"/>
                <w:lang w:val="en-US" w:eastAsia="zh-CN"/>
              </w:rPr>
            </w:pPr>
            <w:r>
              <w:rPr>
                <w:rFonts w:hint="eastAsia"/>
                <w:lang w:val="en-US" w:eastAsia="zh-CN"/>
              </w:rPr>
              <w:t>186.62</w:t>
            </w:r>
          </w:p>
        </w:tc>
      </w:tr>
      <w:tr w14:paraId="5CE51F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533311CE">
            <w:pPr>
              <w:pStyle w:val="14"/>
              <w:bidi w:val="0"/>
              <w:jc w:val="center"/>
              <w:rPr>
                <w:rFonts w:hint="eastAsia"/>
                <w:lang w:val="en-US" w:eastAsia="zh-CN"/>
              </w:rPr>
            </w:pPr>
            <w:r>
              <w:rPr>
                <w:rFonts w:hint="eastAsia"/>
                <w:lang w:val="en-US" w:eastAsia="zh-CN"/>
              </w:rPr>
              <w:t>2</w:t>
            </w:r>
          </w:p>
        </w:tc>
        <w:tc>
          <w:tcPr>
            <w:tcW w:w="1383" w:type="dxa"/>
            <w:tcBorders>
              <w:tl2br w:val="nil"/>
              <w:tr2bl w:val="nil"/>
            </w:tcBorders>
            <w:vAlign w:val="center"/>
          </w:tcPr>
          <w:p w14:paraId="1D4FE2F1">
            <w:pPr>
              <w:pStyle w:val="14"/>
              <w:bidi w:val="0"/>
              <w:jc w:val="center"/>
              <w:rPr>
                <w:rFonts w:hint="eastAsia"/>
                <w:lang w:val="en-US" w:eastAsia="zh-CN"/>
              </w:rPr>
            </w:pPr>
            <w:r>
              <w:rPr>
                <w:rFonts w:hint="eastAsia"/>
                <w:lang w:val="en-US" w:eastAsia="zh-CN"/>
              </w:rPr>
              <w:t>氨水（25%）</w:t>
            </w:r>
          </w:p>
        </w:tc>
        <w:tc>
          <w:tcPr>
            <w:tcW w:w="1184" w:type="dxa"/>
            <w:tcBorders>
              <w:tl2br w:val="nil"/>
              <w:tr2bl w:val="nil"/>
            </w:tcBorders>
            <w:vAlign w:val="center"/>
          </w:tcPr>
          <w:p w14:paraId="01E478C3">
            <w:pPr>
              <w:pStyle w:val="14"/>
              <w:bidi w:val="0"/>
              <w:jc w:val="center"/>
              <w:rPr>
                <w:rFonts w:hint="eastAsia"/>
                <w:lang w:val="en-US" w:eastAsia="zh-CN"/>
              </w:rPr>
            </w:pPr>
            <w:r>
              <w:rPr>
                <w:rFonts w:hint="eastAsia"/>
                <w:lang w:val="en-US" w:eastAsia="zh-CN"/>
              </w:rPr>
              <w:t>1336-21-6</w:t>
            </w:r>
          </w:p>
        </w:tc>
        <w:tc>
          <w:tcPr>
            <w:tcW w:w="1150" w:type="dxa"/>
            <w:tcBorders>
              <w:tl2br w:val="nil"/>
              <w:tr2bl w:val="nil"/>
            </w:tcBorders>
            <w:vAlign w:val="center"/>
          </w:tcPr>
          <w:p w14:paraId="1FF89EB1">
            <w:pPr>
              <w:pStyle w:val="14"/>
              <w:bidi w:val="0"/>
              <w:jc w:val="center"/>
              <w:rPr>
                <w:rFonts w:hint="eastAsia"/>
                <w:lang w:val="en-US" w:eastAsia="zh-CN"/>
              </w:rPr>
            </w:pPr>
            <w:r>
              <w:rPr>
                <w:rFonts w:hint="eastAsia"/>
                <w:lang w:val="en-US" w:eastAsia="zh-CN"/>
              </w:rPr>
              <w:t>3845m</w:t>
            </w:r>
            <w:r>
              <w:rPr>
                <w:rFonts w:hint="eastAsia"/>
                <w:vertAlign w:val="superscript"/>
                <w:lang w:val="en-US" w:eastAsia="zh-CN"/>
              </w:rPr>
              <w:t>3</w:t>
            </w:r>
          </w:p>
        </w:tc>
        <w:tc>
          <w:tcPr>
            <w:tcW w:w="1088" w:type="dxa"/>
            <w:tcBorders>
              <w:tl2br w:val="nil"/>
              <w:tr2bl w:val="nil"/>
            </w:tcBorders>
            <w:vAlign w:val="center"/>
          </w:tcPr>
          <w:p w14:paraId="152A3D28">
            <w:pPr>
              <w:pStyle w:val="14"/>
              <w:bidi w:val="0"/>
              <w:jc w:val="center"/>
              <w:rPr>
                <w:rFonts w:hint="eastAsia"/>
                <w:lang w:val="en-US" w:eastAsia="zh-CN"/>
              </w:rPr>
            </w:pPr>
            <w:r>
              <w:rPr>
                <w:rFonts w:hint="eastAsia"/>
                <w:lang w:val="en-US" w:eastAsia="zh-CN"/>
              </w:rPr>
              <w:t>3.499t</w:t>
            </w:r>
          </w:p>
        </w:tc>
        <w:tc>
          <w:tcPr>
            <w:tcW w:w="1260" w:type="dxa"/>
            <w:tcBorders>
              <w:tl2br w:val="nil"/>
              <w:tr2bl w:val="nil"/>
            </w:tcBorders>
            <w:vAlign w:val="center"/>
          </w:tcPr>
          <w:p w14:paraId="2D2753B8">
            <w:pPr>
              <w:pStyle w:val="14"/>
              <w:bidi w:val="0"/>
              <w:jc w:val="center"/>
              <w:rPr>
                <w:rFonts w:hint="default"/>
                <w:lang w:val="en-US" w:eastAsia="zh-CN"/>
              </w:rPr>
            </w:pPr>
            <w:r>
              <w:rPr>
                <w:rFonts w:hint="eastAsia"/>
                <w:lang w:val="en-US" w:eastAsia="zh-CN"/>
              </w:rPr>
              <w:t>0.875</w:t>
            </w:r>
          </w:p>
        </w:tc>
        <w:tc>
          <w:tcPr>
            <w:tcW w:w="850" w:type="dxa"/>
            <w:tcBorders>
              <w:tl2br w:val="nil"/>
              <w:tr2bl w:val="nil"/>
            </w:tcBorders>
            <w:vAlign w:val="center"/>
          </w:tcPr>
          <w:p w14:paraId="7ACF18A9">
            <w:pPr>
              <w:pStyle w:val="14"/>
              <w:bidi w:val="0"/>
              <w:jc w:val="center"/>
              <w:rPr>
                <w:rFonts w:hint="eastAsia"/>
                <w:lang w:val="en-US" w:eastAsia="zh-CN"/>
              </w:rPr>
            </w:pPr>
            <w:r>
              <w:rPr>
                <w:rFonts w:hint="eastAsia"/>
                <w:lang w:val="en-US" w:eastAsia="zh-CN"/>
              </w:rPr>
              <w:t>5</w:t>
            </w:r>
          </w:p>
        </w:tc>
        <w:tc>
          <w:tcPr>
            <w:tcW w:w="1190" w:type="dxa"/>
            <w:tcBorders>
              <w:tl2br w:val="nil"/>
              <w:tr2bl w:val="nil"/>
            </w:tcBorders>
            <w:vAlign w:val="center"/>
          </w:tcPr>
          <w:p w14:paraId="795D7F10">
            <w:pPr>
              <w:pStyle w:val="14"/>
              <w:bidi w:val="0"/>
              <w:jc w:val="center"/>
              <w:rPr>
                <w:rFonts w:hint="default"/>
                <w:lang w:val="en-US" w:eastAsia="zh-CN"/>
              </w:rPr>
            </w:pPr>
            <w:r>
              <w:rPr>
                <w:rFonts w:hint="eastAsia"/>
                <w:lang w:val="en-US" w:eastAsia="zh-CN"/>
              </w:rPr>
              <w:t>0.175</w:t>
            </w:r>
          </w:p>
        </w:tc>
      </w:tr>
      <w:tr w14:paraId="4B94E1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3DEF6095">
            <w:pPr>
              <w:pStyle w:val="14"/>
              <w:bidi w:val="0"/>
              <w:jc w:val="center"/>
              <w:rPr>
                <w:rFonts w:hint="eastAsia"/>
                <w:lang w:val="en-US" w:eastAsia="zh-CN"/>
              </w:rPr>
            </w:pPr>
            <w:r>
              <w:rPr>
                <w:rFonts w:hint="eastAsia"/>
                <w:lang w:val="en-US" w:eastAsia="zh-CN"/>
              </w:rPr>
              <w:t>3</w:t>
            </w:r>
          </w:p>
        </w:tc>
        <w:tc>
          <w:tcPr>
            <w:tcW w:w="1383" w:type="dxa"/>
            <w:tcBorders>
              <w:tl2br w:val="nil"/>
              <w:tr2bl w:val="nil"/>
            </w:tcBorders>
            <w:vAlign w:val="center"/>
          </w:tcPr>
          <w:p w14:paraId="001639A4">
            <w:pPr>
              <w:pStyle w:val="14"/>
              <w:bidi w:val="0"/>
              <w:jc w:val="center"/>
              <w:rPr>
                <w:rFonts w:hint="eastAsia"/>
                <w:lang w:val="en-US" w:eastAsia="zh-CN"/>
              </w:rPr>
            </w:pPr>
            <w:r>
              <w:rPr>
                <w:rFonts w:hint="eastAsia"/>
                <w:lang w:val="en-US" w:eastAsia="zh-CN"/>
              </w:rPr>
              <w:t>废机油</w:t>
            </w:r>
          </w:p>
        </w:tc>
        <w:tc>
          <w:tcPr>
            <w:tcW w:w="1184" w:type="dxa"/>
            <w:tcBorders>
              <w:tl2br w:val="nil"/>
              <w:tr2bl w:val="nil"/>
            </w:tcBorders>
            <w:vAlign w:val="center"/>
          </w:tcPr>
          <w:p w14:paraId="17E17700">
            <w:pPr>
              <w:pStyle w:val="14"/>
              <w:bidi w:val="0"/>
              <w:jc w:val="center"/>
              <w:rPr>
                <w:rFonts w:hint="eastAsia"/>
                <w:lang w:val="en-US" w:eastAsia="zh-CN"/>
              </w:rPr>
            </w:pPr>
            <w:r>
              <w:rPr>
                <w:rFonts w:hint="eastAsia"/>
                <w:lang w:val="en-US" w:eastAsia="zh-CN"/>
              </w:rPr>
              <w:t>/</w:t>
            </w:r>
          </w:p>
        </w:tc>
        <w:tc>
          <w:tcPr>
            <w:tcW w:w="1150" w:type="dxa"/>
            <w:tcBorders>
              <w:tl2br w:val="nil"/>
              <w:tr2bl w:val="nil"/>
            </w:tcBorders>
            <w:vAlign w:val="center"/>
          </w:tcPr>
          <w:p w14:paraId="34DCE981">
            <w:pPr>
              <w:pStyle w:val="14"/>
              <w:bidi w:val="0"/>
              <w:jc w:val="center"/>
              <w:rPr>
                <w:rFonts w:hint="eastAsia"/>
                <w:lang w:val="en-US" w:eastAsia="zh-CN"/>
              </w:rPr>
            </w:pPr>
            <w:r>
              <w:rPr>
                <w:rFonts w:hint="eastAsia"/>
                <w:lang w:val="en-US" w:eastAsia="zh-CN"/>
              </w:rPr>
              <w:t>/</w:t>
            </w:r>
          </w:p>
        </w:tc>
        <w:tc>
          <w:tcPr>
            <w:tcW w:w="1088" w:type="dxa"/>
            <w:tcBorders>
              <w:tl2br w:val="nil"/>
              <w:tr2bl w:val="nil"/>
            </w:tcBorders>
            <w:vAlign w:val="center"/>
          </w:tcPr>
          <w:p w14:paraId="47B0BB33">
            <w:pPr>
              <w:pStyle w:val="14"/>
              <w:bidi w:val="0"/>
              <w:jc w:val="center"/>
              <w:rPr>
                <w:rFonts w:hint="eastAsia"/>
                <w:lang w:val="en-US" w:eastAsia="zh-CN"/>
              </w:rPr>
            </w:pPr>
            <w:r>
              <w:rPr>
                <w:rFonts w:hint="eastAsia"/>
                <w:lang w:val="en-US" w:eastAsia="zh-CN"/>
              </w:rPr>
              <w:t>0.1t</w:t>
            </w:r>
          </w:p>
        </w:tc>
        <w:tc>
          <w:tcPr>
            <w:tcW w:w="1260" w:type="dxa"/>
            <w:tcBorders>
              <w:tl2br w:val="nil"/>
              <w:tr2bl w:val="nil"/>
            </w:tcBorders>
            <w:vAlign w:val="center"/>
          </w:tcPr>
          <w:p w14:paraId="034D5882">
            <w:pPr>
              <w:pStyle w:val="14"/>
              <w:bidi w:val="0"/>
              <w:jc w:val="center"/>
              <w:rPr>
                <w:rFonts w:hint="eastAsia"/>
                <w:lang w:val="en-US" w:eastAsia="zh-CN"/>
              </w:rPr>
            </w:pPr>
            <w:r>
              <w:rPr>
                <w:rFonts w:hint="eastAsia"/>
                <w:lang w:val="en-US" w:eastAsia="zh-CN"/>
              </w:rPr>
              <w:t>0.1t</w:t>
            </w:r>
          </w:p>
        </w:tc>
        <w:tc>
          <w:tcPr>
            <w:tcW w:w="850" w:type="dxa"/>
            <w:tcBorders>
              <w:tl2br w:val="nil"/>
              <w:tr2bl w:val="nil"/>
            </w:tcBorders>
            <w:vAlign w:val="center"/>
          </w:tcPr>
          <w:p w14:paraId="284ECA49">
            <w:pPr>
              <w:pStyle w:val="14"/>
              <w:bidi w:val="0"/>
              <w:jc w:val="center"/>
              <w:rPr>
                <w:rFonts w:hint="eastAsia"/>
                <w:lang w:val="en-US" w:eastAsia="zh-CN"/>
              </w:rPr>
            </w:pPr>
            <w:r>
              <w:rPr>
                <w:rFonts w:hint="eastAsia"/>
                <w:lang w:val="en-US" w:eastAsia="zh-CN"/>
              </w:rPr>
              <w:t>2500</w:t>
            </w:r>
          </w:p>
        </w:tc>
        <w:tc>
          <w:tcPr>
            <w:tcW w:w="1190" w:type="dxa"/>
            <w:tcBorders>
              <w:tl2br w:val="nil"/>
              <w:tr2bl w:val="nil"/>
            </w:tcBorders>
            <w:vAlign w:val="center"/>
          </w:tcPr>
          <w:p w14:paraId="1AED060B">
            <w:pPr>
              <w:pStyle w:val="14"/>
              <w:bidi w:val="0"/>
              <w:jc w:val="center"/>
              <w:rPr>
                <w:rFonts w:hint="default"/>
                <w:lang w:val="en-US" w:eastAsia="zh-CN"/>
              </w:rPr>
            </w:pPr>
            <w:r>
              <w:rPr>
                <w:rFonts w:hint="eastAsia"/>
                <w:lang w:val="en-US" w:eastAsia="zh-CN"/>
              </w:rPr>
              <w:t>0.00004</w:t>
            </w:r>
          </w:p>
        </w:tc>
      </w:tr>
      <w:tr w14:paraId="6C7D75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6E7A11A8">
            <w:pPr>
              <w:pStyle w:val="14"/>
              <w:bidi w:val="0"/>
              <w:jc w:val="center"/>
              <w:rPr>
                <w:rFonts w:hint="default"/>
                <w:lang w:val="en-US" w:eastAsia="zh-CN"/>
              </w:rPr>
            </w:pPr>
            <w:r>
              <w:rPr>
                <w:rFonts w:hint="eastAsia"/>
                <w:lang w:val="en-US" w:eastAsia="zh-CN"/>
              </w:rPr>
              <w:t>4</w:t>
            </w:r>
          </w:p>
        </w:tc>
        <w:tc>
          <w:tcPr>
            <w:tcW w:w="1383" w:type="dxa"/>
            <w:tcBorders>
              <w:tl2br w:val="nil"/>
              <w:tr2bl w:val="nil"/>
            </w:tcBorders>
            <w:vAlign w:val="center"/>
          </w:tcPr>
          <w:p w14:paraId="63250F40">
            <w:pPr>
              <w:pStyle w:val="14"/>
              <w:bidi w:val="0"/>
              <w:jc w:val="center"/>
              <w:rPr>
                <w:rFonts w:hint="eastAsia"/>
                <w:lang w:val="en-US" w:eastAsia="zh-CN"/>
              </w:rPr>
            </w:pPr>
            <w:r>
              <w:rPr>
                <w:rFonts w:hint="eastAsia"/>
                <w:lang w:val="en-US" w:eastAsia="zh-CN"/>
              </w:rPr>
              <w:t>柴油</w:t>
            </w:r>
          </w:p>
        </w:tc>
        <w:tc>
          <w:tcPr>
            <w:tcW w:w="1184" w:type="dxa"/>
            <w:tcBorders>
              <w:tl2br w:val="nil"/>
              <w:tr2bl w:val="nil"/>
            </w:tcBorders>
            <w:vAlign w:val="center"/>
          </w:tcPr>
          <w:p w14:paraId="366433F6">
            <w:pPr>
              <w:pStyle w:val="14"/>
              <w:bidi w:val="0"/>
              <w:jc w:val="center"/>
              <w:rPr>
                <w:rFonts w:hint="eastAsia"/>
                <w:lang w:val="en-US" w:eastAsia="zh-CN"/>
              </w:rPr>
            </w:pPr>
            <w:r>
              <w:rPr>
                <w:rFonts w:hint="eastAsia"/>
                <w:lang w:val="en-US" w:eastAsia="zh-CN"/>
              </w:rPr>
              <w:t>68334-30-5</w:t>
            </w:r>
          </w:p>
        </w:tc>
        <w:tc>
          <w:tcPr>
            <w:tcW w:w="1150" w:type="dxa"/>
            <w:tcBorders>
              <w:tl2br w:val="nil"/>
              <w:tr2bl w:val="nil"/>
            </w:tcBorders>
            <w:vAlign w:val="center"/>
          </w:tcPr>
          <w:p w14:paraId="0C7CDD95">
            <w:pPr>
              <w:pStyle w:val="14"/>
              <w:bidi w:val="0"/>
              <w:jc w:val="center"/>
              <w:rPr>
                <w:rFonts w:hint="eastAsia"/>
                <w:lang w:val="en-US" w:eastAsia="zh-CN"/>
              </w:rPr>
            </w:pPr>
            <w:r>
              <w:rPr>
                <w:rFonts w:hint="eastAsia"/>
                <w:lang w:val="en-US" w:eastAsia="zh-CN"/>
              </w:rPr>
              <w:t>1m</w:t>
            </w:r>
            <w:r>
              <w:rPr>
                <w:rFonts w:hint="eastAsia"/>
                <w:vertAlign w:val="superscript"/>
                <w:lang w:val="en-US" w:eastAsia="zh-CN"/>
              </w:rPr>
              <w:t>3</w:t>
            </w:r>
          </w:p>
        </w:tc>
        <w:tc>
          <w:tcPr>
            <w:tcW w:w="1088" w:type="dxa"/>
            <w:tcBorders>
              <w:tl2br w:val="nil"/>
              <w:tr2bl w:val="nil"/>
            </w:tcBorders>
            <w:vAlign w:val="center"/>
          </w:tcPr>
          <w:p w14:paraId="72D6B345">
            <w:pPr>
              <w:pStyle w:val="14"/>
              <w:bidi w:val="0"/>
              <w:jc w:val="center"/>
              <w:rPr>
                <w:rFonts w:hint="eastAsia"/>
                <w:lang w:val="en-US" w:eastAsia="zh-CN"/>
              </w:rPr>
            </w:pPr>
            <w:r>
              <w:rPr>
                <w:rFonts w:hint="eastAsia"/>
                <w:lang w:val="en-US" w:eastAsia="zh-CN"/>
              </w:rPr>
              <w:t>0.84</w:t>
            </w:r>
          </w:p>
        </w:tc>
        <w:tc>
          <w:tcPr>
            <w:tcW w:w="1260" w:type="dxa"/>
            <w:tcBorders>
              <w:tl2br w:val="nil"/>
              <w:tr2bl w:val="nil"/>
            </w:tcBorders>
            <w:vAlign w:val="center"/>
          </w:tcPr>
          <w:p w14:paraId="5220AD1E">
            <w:pPr>
              <w:pStyle w:val="14"/>
              <w:bidi w:val="0"/>
              <w:jc w:val="center"/>
              <w:rPr>
                <w:rFonts w:hint="eastAsia"/>
                <w:lang w:val="en-US" w:eastAsia="zh-CN"/>
              </w:rPr>
            </w:pPr>
            <w:r>
              <w:rPr>
                <w:rFonts w:hint="eastAsia"/>
                <w:lang w:val="en-US" w:eastAsia="zh-CN"/>
              </w:rPr>
              <w:t>0.84</w:t>
            </w:r>
          </w:p>
        </w:tc>
        <w:tc>
          <w:tcPr>
            <w:tcW w:w="850" w:type="dxa"/>
            <w:tcBorders>
              <w:tl2br w:val="nil"/>
              <w:tr2bl w:val="nil"/>
            </w:tcBorders>
            <w:vAlign w:val="center"/>
          </w:tcPr>
          <w:p w14:paraId="12D24A45">
            <w:pPr>
              <w:pStyle w:val="14"/>
              <w:bidi w:val="0"/>
              <w:jc w:val="center"/>
              <w:rPr>
                <w:rFonts w:hint="eastAsia"/>
                <w:lang w:val="en-US" w:eastAsia="zh-CN"/>
              </w:rPr>
            </w:pPr>
            <w:r>
              <w:rPr>
                <w:rFonts w:hint="eastAsia"/>
                <w:lang w:val="en-US" w:eastAsia="zh-CN"/>
              </w:rPr>
              <w:t>2500</w:t>
            </w:r>
          </w:p>
        </w:tc>
        <w:tc>
          <w:tcPr>
            <w:tcW w:w="1190" w:type="dxa"/>
            <w:tcBorders>
              <w:tl2br w:val="nil"/>
              <w:tr2bl w:val="nil"/>
            </w:tcBorders>
            <w:vAlign w:val="center"/>
          </w:tcPr>
          <w:p w14:paraId="5CF5AE35">
            <w:pPr>
              <w:pStyle w:val="14"/>
              <w:bidi w:val="0"/>
              <w:jc w:val="center"/>
              <w:rPr>
                <w:rFonts w:hint="eastAsia"/>
                <w:lang w:val="en-US" w:eastAsia="zh-CN"/>
              </w:rPr>
            </w:pPr>
            <w:r>
              <w:rPr>
                <w:rFonts w:hint="eastAsia"/>
                <w:lang w:val="en-US" w:eastAsia="zh-CN"/>
              </w:rPr>
              <w:t>0.00034</w:t>
            </w:r>
          </w:p>
        </w:tc>
      </w:tr>
      <w:tr w14:paraId="73F0B8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498" w:type="dxa"/>
            <w:gridSpan w:val="7"/>
            <w:tcBorders>
              <w:tl2br w:val="nil"/>
              <w:tr2bl w:val="nil"/>
            </w:tcBorders>
            <w:vAlign w:val="center"/>
          </w:tcPr>
          <w:p w14:paraId="30863156">
            <w:pPr>
              <w:pStyle w:val="14"/>
              <w:bidi w:val="0"/>
              <w:jc w:val="center"/>
              <w:rPr>
                <w:rFonts w:hint="eastAsia"/>
                <w:lang w:val="en-US" w:eastAsia="zh-CN"/>
              </w:rPr>
            </w:pPr>
            <w:r>
              <w:rPr>
                <w:rFonts w:hint="eastAsia"/>
                <w:lang w:val="en-US" w:eastAsia="zh-CN"/>
              </w:rPr>
              <w:t>合计Q值</w:t>
            </w:r>
          </w:p>
        </w:tc>
        <w:tc>
          <w:tcPr>
            <w:tcW w:w="1190" w:type="dxa"/>
            <w:tcBorders>
              <w:tl2br w:val="nil"/>
              <w:tr2bl w:val="nil"/>
            </w:tcBorders>
            <w:vAlign w:val="center"/>
          </w:tcPr>
          <w:p w14:paraId="3373637F">
            <w:pPr>
              <w:pStyle w:val="14"/>
              <w:bidi w:val="0"/>
              <w:jc w:val="center"/>
              <w:rPr>
                <w:rFonts w:hint="default"/>
                <w:lang w:val="en-US" w:eastAsia="zh-CN"/>
              </w:rPr>
            </w:pPr>
            <w:r>
              <w:rPr>
                <w:rFonts w:hint="eastAsia"/>
                <w:lang w:val="en-US" w:eastAsia="zh-CN"/>
              </w:rPr>
              <w:t>186.79538</w:t>
            </w:r>
          </w:p>
        </w:tc>
      </w:tr>
    </w:tbl>
    <w:p w14:paraId="10C4D3A9">
      <w:pPr>
        <w:pStyle w:val="14"/>
        <w:bidi w:val="0"/>
        <w:rPr>
          <w:rFonts w:hint="eastAsia"/>
          <w:lang w:val="en-US" w:eastAsia="zh-CN"/>
        </w:rPr>
      </w:pPr>
    </w:p>
    <w:p w14:paraId="79EEC495">
      <w:pPr>
        <w:ind w:firstLine="480" w:firstLineChars="200"/>
        <w:rPr>
          <w:rFonts w:hint="eastAsia" w:eastAsia="宋体"/>
        </w:rPr>
      </w:pPr>
      <w:r>
        <w:rPr>
          <w:rFonts w:hint="eastAsia" w:eastAsia="宋体"/>
        </w:rPr>
        <w:t>由上表可得，本项目危险物质数量与临界量比值∑qi/Qi=186.795</w:t>
      </w:r>
      <w:r>
        <w:rPr>
          <w:rFonts w:hint="eastAsia"/>
          <w:lang w:val="en-US" w:eastAsia="zh-CN"/>
        </w:rPr>
        <w:t>38</w:t>
      </w:r>
      <w:r>
        <w:rPr>
          <w:rFonts w:hint="eastAsia" w:eastAsia="宋体"/>
        </w:rPr>
        <w:t>≥100，因此，本项目的环境风险潜势为&gt;Ⅰ，需开展环境风险评价工作等级的判定。</w:t>
      </w:r>
    </w:p>
    <w:p w14:paraId="32601AE7">
      <w:pPr>
        <w:keepNext/>
        <w:keepLines/>
        <w:widowControl w:val="0"/>
        <w:bidi w:val="0"/>
        <w:adjustRightInd w:val="0"/>
        <w:snapToGrid w:val="0"/>
        <w:spacing w:before="100" w:beforeLines="0" w:beforeAutospacing="0" w:afterLines="0" w:afterAutospacing="0" w:line="360" w:lineRule="auto"/>
        <w:jc w:val="both"/>
        <w:outlineLvl w:val="0"/>
        <w:rPr>
          <w:rFonts w:hint="eastAsia" w:ascii="Times New Roman" w:hAnsi="Times New Roman" w:eastAsia="宋体" w:cs="Times New Roman"/>
          <w:b/>
          <w:kern w:val="44"/>
          <w:sz w:val="36"/>
          <w:szCs w:val="24"/>
          <w:lang w:val="en-US" w:eastAsia="zh-CN" w:bidi="ar-SA"/>
        </w:rPr>
      </w:pPr>
      <w:bookmarkStart w:id="24" w:name="_Toc17649"/>
      <w:r>
        <w:rPr>
          <w:rFonts w:hint="eastAsia" w:ascii="Times New Roman" w:hAnsi="Times New Roman" w:eastAsia="宋体" w:cs="Times New Roman"/>
          <w:b/>
          <w:kern w:val="44"/>
          <w:sz w:val="36"/>
          <w:szCs w:val="24"/>
          <w:lang w:val="en-US" w:eastAsia="zh-CN" w:bidi="ar-SA"/>
        </w:rPr>
        <w:t>3风险潜势初判</w:t>
      </w:r>
      <w:bookmarkEnd w:id="24"/>
    </w:p>
    <w:p w14:paraId="2337F9DA">
      <w:pPr>
        <w:adjustRightInd w:val="0"/>
        <w:snapToGrid w:val="0"/>
        <w:ind w:firstLine="480" w:firstLineChars="200"/>
        <w:rPr>
          <w:rFonts w:hint="eastAsia"/>
          <w:lang w:eastAsia="zh-CN"/>
        </w:rPr>
      </w:pPr>
      <w:r>
        <w:rPr>
          <w:rFonts w:hint="eastAsia" w:eastAsia="宋体"/>
          <w:lang w:eastAsia="zh-CN"/>
        </w:rPr>
        <w:t>根据《建设项目环境风险评价技术导则》（HJ169-2018），环境风险评价工作等级划分为一级、二级、三级。根据建设项目设计的物质及工艺系统危险性和所在地的环境敏感性确定环境风险潜势，按照下表确定工作等级。风险潜势为IV及以上，进行一级评价；风险潜势为III，进行二级评价；风险潜势为II，进行三级评价；风险潜势为I，可开展简单分析。</w:t>
      </w:r>
    </w:p>
    <w:p w14:paraId="080B8742">
      <w:pPr>
        <w:widowControl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kern w:val="24"/>
          <w:sz w:val="24"/>
          <w:szCs w:val="20"/>
          <w:lang w:val="en-US" w:eastAsia="zh-CN" w:bidi="ar-SA"/>
        </w:rPr>
      </w:pPr>
      <w:r>
        <w:rPr>
          <w:rFonts w:hint="eastAsia" w:ascii="Times New Roman" w:hAnsi="Times New Roman" w:eastAsia="宋体" w:cs="Times New Roman"/>
          <w:b/>
          <w:kern w:val="24"/>
          <w:sz w:val="24"/>
          <w:szCs w:val="20"/>
          <w:lang w:val="en-US" w:eastAsia="zh-CN" w:bidi="ar-SA"/>
        </w:rPr>
        <w:t>表</w:t>
      </w:r>
      <w:r>
        <w:rPr>
          <w:rFonts w:hint="eastAsia" w:cs="Times New Roman"/>
          <w:b/>
          <w:kern w:val="24"/>
          <w:sz w:val="24"/>
          <w:szCs w:val="20"/>
          <w:lang w:val="en-US" w:eastAsia="zh-CN" w:bidi="ar-SA"/>
        </w:rPr>
        <w:t>3-1</w:t>
      </w:r>
      <w:r>
        <w:rPr>
          <w:rFonts w:hint="eastAsia" w:ascii="Times New Roman" w:hAnsi="Times New Roman" w:eastAsia="宋体" w:cs="Times New Roman"/>
          <w:b/>
          <w:kern w:val="24"/>
          <w:sz w:val="24"/>
          <w:szCs w:val="20"/>
          <w:lang w:val="en-US" w:eastAsia="zh-CN" w:bidi="ar-SA"/>
        </w:rPr>
        <w:t xml:space="preserve"> 评价工作等级划分</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1681"/>
        <w:gridCol w:w="1681"/>
        <w:gridCol w:w="1681"/>
        <w:gridCol w:w="1682"/>
        <w:gridCol w:w="1683"/>
      </w:tblGrid>
      <w:tr w14:paraId="0C31C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81" w:type="dxa"/>
            <w:tcBorders>
              <w:tl2br w:val="nil"/>
              <w:tr2bl w:val="nil"/>
            </w:tcBorders>
            <w:vAlign w:val="center"/>
          </w:tcPr>
          <w:p w14:paraId="0A698481">
            <w:pPr>
              <w:adjustRightInd w:val="0"/>
              <w:snapToGrid w:val="0"/>
              <w:spacing w:line="240" w:lineRule="auto"/>
              <w:jc w:val="center"/>
              <w:rPr>
                <w:rFonts w:cs="Times New Roman"/>
                <w:b/>
                <w:bCs/>
                <w:sz w:val="21"/>
              </w:rPr>
            </w:pPr>
            <w:r>
              <w:rPr>
                <w:rFonts w:hint="eastAsia" w:cs="Times New Roman"/>
                <w:b/>
                <w:bCs/>
                <w:sz w:val="21"/>
              </w:rPr>
              <w:t>环境风险潜势</w:t>
            </w:r>
          </w:p>
        </w:tc>
        <w:tc>
          <w:tcPr>
            <w:tcW w:w="1681" w:type="dxa"/>
            <w:tcBorders>
              <w:tl2br w:val="nil"/>
              <w:tr2bl w:val="nil"/>
            </w:tcBorders>
            <w:vAlign w:val="center"/>
          </w:tcPr>
          <w:p w14:paraId="5645D6DB">
            <w:pPr>
              <w:adjustRightInd w:val="0"/>
              <w:snapToGrid w:val="0"/>
              <w:spacing w:line="240" w:lineRule="auto"/>
              <w:jc w:val="center"/>
              <w:rPr>
                <w:rFonts w:cs="Times New Roman"/>
                <w:b/>
                <w:bCs/>
                <w:sz w:val="21"/>
              </w:rPr>
            </w:pPr>
            <w:r>
              <w:rPr>
                <w:rFonts w:hint="eastAsia" w:cs="Times New Roman"/>
                <w:b/>
                <w:bCs/>
                <w:sz w:val="21"/>
              </w:rPr>
              <w:t>Ⅳ、Ⅳ+</w:t>
            </w:r>
          </w:p>
        </w:tc>
        <w:tc>
          <w:tcPr>
            <w:tcW w:w="1681" w:type="dxa"/>
            <w:tcBorders>
              <w:tl2br w:val="nil"/>
              <w:tr2bl w:val="nil"/>
            </w:tcBorders>
            <w:vAlign w:val="center"/>
          </w:tcPr>
          <w:p w14:paraId="3D364E70">
            <w:pPr>
              <w:adjustRightInd w:val="0"/>
              <w:snapToGrid w:val="0"/>
              <w:spacing w:line="240" w:lineRule="auto"/>
              <w:jc w:val="center"/>
              <w:rPr>
                <w:rFonts w:cs="Times New Roman"/>
                <w:b/>
                <w:bCs/>
                <w:sz w:val="21"/>
              </w:rPr>
            </w:pPr>
            <w:r>
              <w:rPr>
                <w:rFonts w:hint="eastAsia" w:cs="Times New Roman"/>
                <w:b/>
                <w:bCs/>
                <w:sz w:val="21"/>
              </w:rPr>
              <w:t>Ⅲ</w:t>
            </w:r>
          </w:p>
        </w:tc>
        <w:tc>
          <w:tcPr>
            <w:tcW w:w="1682" w:type="dxa"/>
            <w:tcBorders>
              <w:tl2br w:val="nil"/>
              <w:tr2bl w:val="nil"/>
            </w:tcBorders>
            <w:vAlign w:val="center"/>
          </w:tcPr>
          <w:p w14:paraId="04C93D9A">
            <w:pPr>
              <w:adjustRightInd w:val="0"/>
              <w:snapToGrid w:val="0"/>
              <w:spacing w:line="240" w:lineRule="auto"/>
              <w:jc w:val="center"/>
              <w:rPr>
                <w:rFonts w:cs="Times New Roman"/>
                <w:b/>
                <w:bCs/>
                <w:sz w:val="21"/>
              </w:rPr>
            </w:pPr>
            <w:r>
              <w:rPr>
                <w:rFonts w:hint="eastAsia" w:cs="Times New Roman"/>
                <w:b/>
                <w:bCs/>
                <w:sz w:val="21"/>
              </w:rPr>
              <w:t>Ⅱ</w:t>
            </w:r>
          </w:p>
        </w:tc>
        <w:tc>
          <w:tcPr>
            <w:tcW w:w="1683" w:type="dxa"/>
            <w:tcBorders>
              <w:tl2br w:val="nil"/>
              <w:tr2bl w:val="nil"/>
            </w:tcBorders>
            <w:vAlign w:val="center"/>
          </w:tcPr>
          <w:p w14:paraId="75C44EB4">
            <w:pPr>
              <w:adjustRightInd w:val="0"/>
              <w:snapToGrid w:val="0"/>
              <w:spacing w:line="240" w:lineRule="auto"/>
              <w:jc w:val="center"/>
              <w:rPr>
                <w:rFonts w:cs="Times New Roman"/>
                <w:b/>
                <w:bCs/>
                <w:sz w:val="21"/>
              </w:rPr>
            </w:pPr>
            <w:r>
              <w:rPr>
                <w:rFonts w:hint="eastAsia" w:cs="Times New Roman"/>
                <w:b/>
                <w:bCs/>
                <w:sz w:val="21"/>
              </w:rPr>
              <w:t>Ⅰ</w:t>
            </w:r>
          </w:p>
        </w:tc>
      </w:tr>
      <w:tr w14:paraId="61A91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1681" w:type="dxa"/>
            <w:tcBorders>
              <w:tl2br w:val="nil"/>
              <w:tr2bl w:val="nil"/>
            </w:tcBorders>
            <w:vAlign w:val="center"/>
          </w:tcPr>
          <w:p w14:paraId="612F8264">
            <w:pPr>
              <w:adjustRightInd w:val="0"/>
              <w:snapToGrid w:val="0"/>
              <w:spacing w:line="240" w:lineRule="auto"/>
              <w:jc w:val="center"/>
              <w:rPr>
                <w:rFonts w:cs="Times New Roman"/>
                <w:b/>
                <w:bCs/>
                <w:sz w:val="21"/>
              </w:rPr>
            </w:pPr>
            <w:r>
              <w:rPr>
                <w:rFonts w:hint="eastAsia" w:cs="Times New Roman"/>
                <w:b/>
                <w:bCs/>
                <w:sz w:val="21"/>
              </w:rPr>
              <w:t>评价工作等级</w:t>
            </w:r>
          </w:p>
        </w:tc>
        <w:tc>
          <w:tcPr>
            <w:tcW w:w="1681" w:type="dxa"/>
            <w:tcBorders>
              <w:tl2br w:val="nil"/>
              <w:tr2bl w:val="nil"/>
            </w:tcBorders>
            <w:vAlign w:val="center"/>
          </w:tcPr>
          <w:p w14:paraId="3E079BF5">
            <w:pPr>
              <w:adjustRightInd w:val="0"/>
              <w:snapToGrid w:val="0"/>
              <w:spacing w:line="240" w:lineRule="auto"/>
              <w:jc w:val="center"/>
              <w:rPr>
                <w:rFonts w:cs="Times New Roman"/>
                <w:sz w:val="21"/>
              </w:rPr>
            </w:pPr>
            <w:r>
              <w:rPr>
                <w:rFonts w:hint="eastAsia" w:cs="Times New Roman"/>
                <w:sz w:val="21"/>
              </w:rPr>
              <w:t>一</w:t>
            </w:r>
          </w:p>
        </w:tc>
        <w:tc>
          <w:tcPr>
            <w:tcW w:w="1681" w:type="dxa"/>
            <w:tcBorders>
              <w:tl2br w:val="nil"/>
              <w:tr2bl w:val="nil"/>
            </w:tcBorders>
            <w:vAlign w:val="center"/>
          </w:tcPr>
          <w:p w14:paraId="4FDDCA6E">
            <w:pPr>
              <w:adjustRightInd w:val="0"/>
              <w:snapToGrid w:val="0"/>
              <w:spacing w:line="240" w:lineRule="auto"/>
              <w:jc w:val="center"/>
              <w:rPr>
                <w:rFonts w:cs="Times New Roman"/>
                <w:sz w:val="21"/>
              </w:rPr>
            </w:pPr>
            <w:r>
              <w:rPr>
                <w:rFonts w:hint="eastAsia" w:cs="Times New Roman"/>
                <w:sz w:val="21"/>
              </w:rPr>
              <w:t>二</w:t>
            </w:r>
          </w:p>
        </w:tc>
        <w:tc>
          <w:tcPr>
            <w:tcW w:w="1682" w:type="dxa"/>
            <w:tcBorders>
              <w:tl2br w:val="nil"/>
              <w:tr2bl w:val="nil"/>
            </w:tcBorders>
            <w:vAlign w:val="center"/>
          </w:tcPr>
          <w:p w14:paraId="0AE4C078">
            <w:pPr>
              <w:adjustRightInd w:val="0"/>
              <w:snapToGrid w:val="0"/>
              <w:spacing w:line="240" w:lineRule="auto"/>
              <w:jc w:val="center"/>
              <w:rPr>
                <w:rFonts w:cs="Times New Roman"/>
                <w:sz w:val="21"/>
              </w:rPr>
            </w:pPr>
            <w:r>
              <w:rPr>
                <w:rFonts w:hint="eastAsia" w:cs="Times New Roman"/>
                <w:sz w:val="21"/>
              </w:rPr>
              <w:t>三</w:t>
            </w:r>
          </w:p>
        </w:tc>
        <w:tc>
          <w:tcPr>
            <w:tcW w:w="1683" w:type="dxa"/>
            <w:tcBorders>
              <w:tl2br w:val="nil"/>
              <w:tr2bl w:val="nil"/>
            </w:tcBorders>
            <w:vAlign w:val="center"/>
          </w:tcPr>
          <w:p w14:paraId="30536BB4">
            <w:pPr>
              <w:adjustRightInd w:val="0"/>
              <w:snapToGrid w:val="0"/>
              <w:spacing w:line="240" w:lineRule="auto"/>
              <w:jc w:val="center"/>
              <w:rPr>
                <w:rFonts w:cs="Times New Roman"/>
                <w:sz w:val="21"/>
              </w:rPr>
            </w:pPr>
            <w:r>
              <w:rPr>
                <w:rFonts w:hint="eastAsia" w:cs="Times New Roman"/>
                <w:sz w:val="21"/>
              </w:rPr>
              <w:t>简单分析</w:t>
            </w:r>
            <w:r>
              <w:rPr>
                <w:rFonts w:hint="eastAsia" w:cs="Times New Roman"/>
                <w:sz w:val="21"/>
                <w:vertAlign w:val="superscript"/>
              </w:rPr>
              <w:t>a</w:t>
            </w:r>
          </w:p>
        </w:tc>
      </w:tr>
      <w:tr w14:paraId="42872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8408" w:type="dxa"/>
            <w:gridSpan w:val="5"/>
            <w:tcBorders>
              <w:tl2br w:val="nil"/>
              <w:tr2bl w:val="nil"/>
            </w:tcBorders>
            <w:vAlign w:val="center"/>
          </w:tcPr>
          <w:p w14:paraId="592B80DC">
            <w:pPr>
              <w:adjustRightInd w:val="0"/>
              <w:snapToGrid w:val="0"/>
              <w:spacing w:line="240" w:lineRule="auto"/>
              <w:jc w:val="left"/>
              <w:rPr>
                <w:rFonts w:cs="Times New Roman"/>
                <w:sz w:val="21"/>
              </w:rPr>
            </w:pPr>
            <w:r>
              <w:rPr>
                <w:rFonts w:hint="eastAsia" w:cs="Times New Roman"/>
                <w:sz w:val="21"/>
              </w:rPr>
              <w:t>注：</w:t>
            </w:r>
            <w:r>
              <w:rPr>
                <w:rFonts w:hint="eastAsia" w:cs="Times New Roman"/>
                <w:sz w:val="21"/>
                <w:vertAlign w:val="superscript"/>
              </w:rPr>
              <w:t>a</w:t>
            </w:r>
            <w:r>
              <w:rPr>
                <w:rFonts w:hint="eastAsia" w:cs="Times New Roman"/>
                <w:sz w:val="21"/>
              </w:rPr>
              <w:t>是相对于详细评价工作内容而言，在描述危险物质、环境影响途径、环境危害后果、风险防范措施等方面给出定性的说明。</w:t>
            </w:r>
          </w:p>
        </w:tc>
      </w:tr>
    </w:tbl>
    <w:p w14:paraId="60F00B01">
      <w:pPr>
        <w:widowControl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kern w:val="24"/>
          <w:sz w:val="24"/>
          <w:szCs w:val="20"/>
          <w:lang w:val="en-US" w:eastAsia="zh-CN" w:bidi="ar-SA"/>
        </w:rPr>
      </w:pPr>
    </w:p>
    <w:p w14:paraId="122BD82A">
      <w:pPr>
        <w:adjustRightInd w:val="0"/>
        <w:snapToGrid w:val="0"/>
        <w:ind w:firstLine="480" w:firstLineChars="200"/>
        <w:rPr>
          <w:rFonts w:cs="Times New Roman"/>
        </w:rPr>
      </w:pPr>
      <w:r>
        <w:rPr>
          <w:rFonts w:hint="eastAsia" w:cs="Times New Roman"/>
        </w:rPr>
        <w:t>根据《建设项目环境风险评价技术导则》（HJ169-2018）中的规定，建设项目环境风险潜势划分为Ⅰ、Ⅱ、Ⅲ、Ⅳ/Ⅳ</w:t>
      </w:r>
      <w:r>
        <w:rPr>
          <w:rFonts w:hint="eastAsia" w:cs="Times New Roman"/>
          <w:vertAlign w:val="superscript"/>
        </w:rPr>
        <w:t>+</w:t>
      </w:r>
      <w:r>
        <w:rPr>
          <w:rFonts w:hint="eastAsia" w:cs="Times New Roman"/>
        </w:rPr>
        <w:t>级。根据建设项目涉及的物质和工艺系统的危险性及其所在地的环境敏感程度，结合事故情形下环境影响途径，对建设项目潜在环境危害程度进行概化分析，按照下表确定环境风险潜势。</w:t>
      </w:r>
    </w:p>
    <w:p w14:paraId="39D3D965">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rPr>
        <w:t>表</w:t>
      </w:r>
      <w:r>
        <w:rPr>
          <w:rFonts w:hint="eastAsia" w:cs="Times New Roman"/>
          <w:b/>
          <w:kern w:val="24"/>
          <w:szCs w:val="20"/>
          <w:lang w:val="en-US" w:eastAsia="zh-CN"/>
        </w:rPr>
        <w:t>3-2</w:t>
      </w:r>
      <w:r>
        <w:rPr>
          <w:rFonts w:hint="eastAsia" w:cs="Times New Roman"/>
          <w:b/>
          <w:kern w:val="24"/>
          <w:szCs w:val="20"/>
        </w:rPr>
        <w:t xml:space="preserve"> 建设项目环境风险潜势划分</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2182"/>
        <w:gridCol w:w="1404"/>
        <w:gridCol w:w="1405"/>
        <w:gridCol w:w="1473"/>
        <w:gridCol w:w="1381"/>
      </w:tblGrid>
      <w:tr w14:paraId="53BF1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2182" w:type="dxa"/>
            <w:vMerge w:val="restart"/>
            <w:tcBorders>
              <w:tl2br w:val="nil"/>
              <w:tr2bl w:val="nil"/>
            </w:tcBorders>
            <w:vAlign w:val="center"/>
          </w:tcPr>
          <w:p w14:paraId="6F8E527E">
            <w:pPr>
              <w:adjustRightInd w:val="0"/>
              <w:snapToGrid w:val="0"/>
              <w:spacing w:line="240" w:lineRule="auto"/>
              <w:jc w:val="center"/>
              <w:rPr>
                <w:rFonts w:cs="Times New Roman"/>
                <w:b/>
                <w:bCs/>
                <w:sz w:val="21"/>
              </w:rPr>
            </w:pPr>
            <w:r>
              <w:rPr>
                <w:rFonts w:hint="eastAsia" w:cs="Times New Roman"/>
                <w:b/>
                <w:bCs/>
                <w:sz w:val="21"/>
              </w:rPr>
              <w:t>环境敏感程度（E）</w:t>
            </w:r>
          </w:p>
        </w:tc>
        <w:tc>
          <w:tcPr>
            <w:tcW w:w="5663" w:type="dxa"/>
            <w:gridSpan w:val="4"/>
            <w:tcBorders>
              <w:tl2br w:val="nil"/>
              <w:tr2bl w:val="nil"/>
            </w:tcBorders>
            <w:vAlign w:val="center"/>
          </w:tcPr>
          <w:p w14:paraId="2BBDF40F">
            <w:pPr>
              <w:adjustRightInd w:val="0"/>
              <w:snapToGrid w:val="0"/>
              <w:spacing w:line="240" w:lineRule="auto"/>
              <w:jc w:val="center"/>
              <w:rPr>
                <w:rFonts w:cs="Times New Roman"/>
                <w:b/>
                <w:bCs/>
                <w:sz w:val="21"/>
              </w:rPr>
            </w:pPr>
            <w:r>
              <w:rPr>
                <w:rFonts w:hint="eastAsia" w:cs="Times New Roman"/>
                <w:b/>
                <w:bCs/>
                <w:sz w:val="21"/>
              </w:rPr>
              <w:t>危险物质及工艺系统危险性（P）</w:t>
            </w:r>
          </w:p>
        </w:tc>
      </w:tr>
      <w:tr w14:paraId="4CE14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2182" w:type="dxa"/>
            <w:vMerge w:val="continue"/>
            <w:tcBorders>
              <w:tl2br w:val="nil"/>
              <w:tr2bl w:val="nil"/>
            </w:tcBorders>
            <w:vAlign w:val="center"/>
          </w:tcPr>
          <w:p w14:paraId="56B4CD47">
            <w:pPr>
              <w:adjustRightInd w:val="0"/>
              <w:snapToGrid w:val="0"/>
              <w:spacing w:line="240" w:lineRule="auto"/>
              <w:jc w:val="center"/>
              <w:rPr>
                <w:rFonts w:cs="Times New Roman"/>
                <w:sz w:val="21"/>
              </w:rPr>
            </w:pPr>
          </w:p>
        </w:tc>
        <w:tc>
          <w:tcPr>
            <w:tcW w:w="1404" w:type="dxa"/>
            <w:tcBorders>
              <w:tl2br w:val="nil"/>
              <w:tr2bl w:val="nil"/>
            </w:tcBorders>
            <w:vAlign w:val="center"/>
          </w:tcPr>
          <w:p w14:paraId="6654B5B6">
            <w:pPr>
              <w:adjustRightInd w:val="0"/>
              <w:snapToGrid w:val="0"/>
              <w:spacing w:line="240" w:lineRule="auto"/>
              <w:jc w:val="center"/>
              <w:rPr>
                <w:rFonts w:cs="Times New Roman"/>
                <w:sz w:val="21"/>
              </w:rPr>
            </w:pPr>
            <w:r>
              <w:rPr>
                <w:rFonts w:hint="eastAsia" w:cs="Times New Roman"/>
                <w:sz w:val="21"/>
              </w:rPr>
              <w:t>极高危害（P1）</w:t>
            </w:r>
          </w:p>
        </w:tc>
        <w:tc>
          <w:tcPr>
            <w:tcW w:w="1405" w:type="dxa"/>
            <w:tcBorders>
              <w:tl2br w:val="nil"/>
              <w:tr2bl w:val="nil"/>
            </w:tcBorders>
            <w:vAlign w:val="center"/>
          </w:tcPr>
          <w:p w14:paraId="29A44348">
            <w:pPr>
              <w:adjustRightInd w:val="0"/>
              <w:snapToGrid w:val="0"/>
              <w:spacing w:line="240" w:lineRule="auto"/>
              <w:jc w:val="center"/>
              <w:rPr>
                <w:rFonts w:cs="Times New Roman"/>
                <w:sz w:val="21"/>
              </w:rPr>
            </w:pPr>
            <w:r>
              <w:rPr>
                <w:rFonts w:hint="eastAsia" w:cs="Times New Roman"/>
                <w:sz w:val="21"/>
              </w:rPr>
              <w:t>高度危害（P2）</w:t>
            </w:r>
          </w:p>
        </w:tc>
        <w:tc>
          <w:tcPr>
            <w:tcW w:w="1473" w:type="dxa"/>
            <w:tcBorders>
              <w:tl2br w:val="nil"/>
              <w:tr2bl w:val="nil"/>
            </w:tcBorders>
            <w:vAlign w:val="center"/>
          </w:tcPr>
          <w:p w14:paraId="3DB2D030">
            <w:pPr>
              <w:adjustRightInd w:val="0"/>
              <w:snapToGrid w:val="0"/>
              <w:spacing w:line="240" w:lineRule="auto"/>
              <w:jc w:val="center"/>
              <w:rPr>
                <w:rFonts w:cs="Times New Roman"/>
                <w:sz w:val="21"/>
              </w:rPr>
            </w:pPr>
            <w:r>
              <w:rPr>
                <w:rFonts w:hint="eastAsia" w:cs="Times New Roman"/>
                <w:sz w:val="21"/>
              </w:rPr>
              <w:t>中度危害（P3）</w:t>
            </w:r>
          </w:p>
        </w:tc>
        <w:tc>
          <w:tcPr>
            <w:tcW w:w="1381" w:type="dxa"/>
            <w:tcBorders>
              <w:tl2br w:val="nil"/>
              <w:tr2bl w:val="nil"/>
            </w:tcBorders>
            <w:vAlign w:val="center"/>
          </w:tcPr>
          <w:p w14:paraId="3840FD58">
            <w:pPr>
              <w:adjustRightInd w:val="0"/>
              <w:snapToGrid w:val="0"/>
              <w:spacing w:line="240" w:lineRule="auto"/>
              <w:jc w:val="center"/>
              <w:rPr>
                <w:rFonts w:cs="Times New Roman"/>
                <w:sz w:val="21"/>
              </w:rPr>
            </w:pPr>
            <w:r>
              <w:rPr>
                <w:rFonts w:hint="eastAsia" w:cs="Times New Roman"/>
                <w:sz w:val="21"/>
              </w:rPr>
              <w:t>轻度危害（P4）</w:t>
            </w:r>
          </w:p>
        </w:tc>
      </w:tr>
      <w:tr w14:paraId="4191F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2182" w:type="dxa"/>
            <w:tcBorders>
              <w:tl2br w:val="nil"/>
              <w:tr2bl w:val="nil"/>
            </w:tcBorders>
            <w:vAlign w:val="center"/>
          </w:tcPr>
          <w:p w14:paraId="75D4C7CD">
            <w:pPr>
              <w:adjustRightInd w:val="0"/>
              <w:snapToGrid w:val="0"/>
              <w:spacing w:line="240" w:lineRule="auto"/>
              <w:jc w:val="center"/>
              <w:rPr>
                <w:rFonts w:cs="Times New Roman"/>
                <w:sz w:val="21"/>
              </w:rPr>
            </w:pPr>
            <w:r>
              <w:rPr>
                <w:rFonts w:hint="eastAsia" w:cs="Times New Roman"/>
                <w:sz w:val="21"/>
              </w:rPr>
              <w:t>环境高度敏感区（E1）</w:t>
            </w:r>
          </w:p>
        </w:tc>
        <w:tc>
          <w:tcPr>
            <w:tcW w:w="1404" w:type="dxa"/>
            <w:tcBorders>
              <w:tl2br w:val="nil"/>
              <w:tr2bl w:val="nil"/>
            </w:tcBorders>
            <w:vAlign w:val="center"/>
          </w:tcPr>
          <w:p w14:paraId="19BF2F43">
            <w:pPr>
              <w:adjustRightInd w:val="0"/>
              <w:snapToGrid w:val="0"/>
              <w:spacing w:line="240" w:lineRule="auto"/>
              <w:jc w:val="center"/>
              <w:rPr>
                <w:rFonts w:cs="Times New Roman"/>
                <w:sz w:val="21"/>
              </w:rPr>
            </w:pPr>
            <w:r>
              <w:rPr>
                <w:rFonts w:hint="eastAsia" w:cs="Times New Roman"/>
                <w:sz w:val="21"/>
              </w:rPr>
              <w:t>Ⅳ+</w:t>
            </w:r>
          </w:p>
        </w:tc>
        <w:tc>
          <w:tcPr>
            <w:tcW w:w="1405" w:type="dxa"/>
            <w:tcBorders>
              <w:tl2br w:val="nil"/>
              <w:tr2bl w:val="nil"/>
            </w:tcBorders>
            <w:vAlign w:val="center"/>
          </w:tcPr>
          <w:p w14:paraId="5B26A6B7">
            <w:pPr>
              <w:adjustRightInd w:val="0"/>
              <w:snapToGrid w:val="0"/>
              <w:spacing w:line="240" w:lineRule="auto"/>
              <w:jc w:val="center"/>
              <w:rPr>
                <w:rFonts w:cs="Times New Roman"/>
                <w:sz w:val="21"/>
              </w:rPr>
            </w:pPr>
            <w:r>
              <w:rPr>
                <w:rFonts w:hint="eastAsia" w:cs="Times New Roman"/>
                <w:sz w:val="21"/>
              </w:rPr>
              <w:t>Ⅳ</w:t>
            </w:r>
          </w:p>
        </w:tc>
        <w:tc>
          <w:tcPr>
            <w:tcW w:w="1473" w:type="dxa"/>
            <w:tcBorders>
              <w:tl2br w:val="nil"/>
              <w:tr2bl w:val="nil"/>
            </w:tcBorders>
            <w:vAlign w:val="center"/>
          </w:tcPr>
          <w:p w14:paraId="149D20BF">
            <w:pPr>
              <w:adjustRightInd w:val="0"/>
              <w:snapToGrid w:val="0"/>
              <w:spacing w:line="240" w:lineRule="auto"/>
              <w:jc w:val="center"/>
              <w:rPr>
                <w:rFonts w:cs="Times New Roman"/>
                <w:sz w:val="21"/>
              </w:rPr>
            </w:pPr>
            <w:r>
              <w:rPr>
                <w:rFonts w:hint="eastAsia" w:cs="Times New Roman"/>
                <w:sz w:val="21"/>
              </w:rPr>
              <w:t>Ⅲ</w:t>
            </w:r>
          </w:p>
        </w:tc>
        <w:tc>
          <w:tcPr>
            <w:tcW w:w="1381" w:type="dxa"/>
            <w:tcBorders>
              <w:tl2br w:val="nil"/>
              <w:tr2bl w:val="nil"/>
            </w:tcBorders>
            <w:vAlign w:val="center"/>
          </w:tcPr>
          <w:p w14:paraId="6924C300">
            <w:pPr>
              <w:adjustRightInd w:val="0"/>
              <w:snapToGrid w:val="0"/>
              <w:spacing w:line="240" w:lineRule="auto"/>
              <w:jc w:val="center"/>
              <w:rPr>
                <w:rFonts w:cs="Times New Roman"/>
                <w:sz w:val="21"/>
              </w:rPr>
            </w:pPr>
            <w:r>
              <w:rPr>
                <w:rFonts w:hint="eastAsia" w:cs="Times New Roman"/>
                <w:sz w:val="21"/>
              </w:rPr>
              <w:t>Ⅲ</w:t>
            </w:r>
          </w:p>
        </w:tc>
      </w:tr>
      <w:tr w14:paraId="0E6F3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2182" w:type="dxa"/>
            <w:tcBorders>
              <w:tl2br w:val="nil"/>
              <w:tr2bl w:val="nil"/>
            </w:tcBorders>
            <w:vAlign w:val="center"/>
          </w:tcPr>
          <w:p w14:paraId="58E00814">
            <w:pPr>
              <w:adjustRightInd w:val="0"/>
              <w:snapToGrid w:val="0"/>
              <w:spacing w:line="240" w:lineRule="auto"/>
              <w:jc w:val="center"/>
              <w:rPr>
                <w:rFonts w:cs="Times New Roman"/>
                <w:sz w:val="21"/>
              </w:rPr>
            </w:pPr>
            <w:r>
              <w:rPr>
                <w:rFonts w:hint="eastAsia" w:cs="Times New Roman"/>
                <w:sz w:val="21"/>
              </w:rPr>
              <w:t>环境中都敏感区（E2）</w:t>
            </w:r>
          </w:p>
        </w:tc>
        <w:tc>
          <w:tcPr>
            <w:tcW w:w="1404" w:type="dxa"/>
            <w:tcBorders>
              <w:tl2br w:val="nil"/>
              <w:tr2bl w:val="nil"/>
            </w:tcBorders>
            <w:vAlign w:val="center"/>
          </w:tcPr>
          <w:p w14:paraId="552B9561">
            <w:pPr>
              <w:adjustRightInd w:val="0"/>
              <w:snapToGrid w:val="0"/>
              <w:spacing w:line="240" w:lineRule="auto"/>
              <w:jc w:val="center"/>
              <w:rPr>
                <w:rFonts w:cs="Times New Roman"/>
                <w:sz w:val="21"/>
              </w:rPr>
            </w:pPr>
            <w:r>
              <w:rPr>
                <w:rFonts w:hint="eastAsia" w:cs="Times New Roman"/>
                <w:sz w:val="21"/>
              </w:rPr>
              <w:t>Ⅳ</w:t>
            </w:r>
          </w:p>
        </w:tc>
        <w:tc>
          <w:tcPr>
            <w:tcW w:w="1405" w:type="dxa"/>
            <w:tcBorders>
              <w:tl2br w:val="nil"/>
              <w:tr2bl w:val="nil"/>
            </w:tcBorders>
            <w:vAlign w:val="center"/>
          </w:tcPr>
          <w:p w14:paraId="5FFDF88A">
            <w:pPr>
              <w:adjustRightInd w:val="0"/>
              <w:snapToGrid w:val="0"/>
              <w:spacing w:line="240" w:lineRule="auto"/>
              <w:jc w:val="center"/>
              <w:rPr>
                <w:rFonts w:cs="Times New Roman"/>
                <w:sz w:val="21"/>
              </w:rPr>
            </w:pPr>
            <w:r>
              <w:rPr>
                <w:rFonts w:hint="eastAsia" w:cs="Times New Roman"/>
                <w:sz w:val="21"/>
              </w:rPr>
              <w:t>Ⅲ</w:t>
            </w:r>
          </w:p>
        </w:tc>
        <w:tc>
          <w:tcPr>
            <w:tcW w:w="1473" w:type="dxa"/>
            <w:tcBorders>
              <w:tl2br w:val="nil"/>
              <w:tr2bl w:val="nil"/>
            </w:tcBorders>
            <w:vAlign w:val="center"/>
          </w:tcPr>
          <w:p w14:paraId="400084F7">
            <w:pPr>
              <w:adjustRightInd w:val="0"/>
              <w:snapToGrid w:val="0"/>
              <w:spacing w:line="240" w:lineRule="auto"/>
              <w:jc w:val="center"/>
              <w:rPr>
                <w:rFonts w:cs="Times New Roman"/>
                <w:sz w:val="21"/>
              </w:rPr>
            </w:pPr>
            <w:r>
              <w:rPr>
                <w:rFonts w:hint="eastAsia" w:cs="Times New Roman"/>
                <w:sz w:val="21"/>
              </w:rPr>
              <w:t>Ⅲ</w:t>
            </w:r>
          </w:p>
        </w:tc>
        <w:tc>
          <w:tcPr>
            <w:tcW w:w="1381" w:type="dxa"/>
            <w:tcBorders>
              <w:tl2br w:val="nil"/>
              <w:tr2bl w:val="nil"/>
            </w:tcBorders>
            <w:vAlign w:val="center"/>
          </w:tcPr>
          <w:p w14:paraId="218BCCA1">
            <w:pPr>
              <w:adjustRightInd w:val="0"/>
              <w:snapToGrid w:val="0"/>
              <w:spacing w:line="240" w:lineRule="auto"/>
              <w:jc w:val="center"/>
              <w:rPr>
                <w:rFonts w:cs="Times New Roman"/>
                <w:sz w:val="21"/>
              </w:rPr>
            </w:pPr>
            <w:r>
              <w:rPr>
                <w:rFonts w:hint="eastAsia" w:cs="Times New Roman"/>
                <w:sz w:val="21"/>
              </w:rPr>
              <w:t>Ⅱ</w:t>
            </w:r>
          </w:p>
        </w:tc>
      </w:tr>
      <w:tr w14:paraId="32E11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2182" w:type="dxa"/>
            <w:tcBorders>
              <w:tl2br w:val="nil"/>
              <w:tr2bl w:val="nil"/>
            </w:tcBorders>
            <w:vAlign w:val="center"/>
          </w:tcPr>
          <w:p w14:paraId="086D917E">
            <w:pPr>
              <w:adjustRightInd w:val="0"/>
              <w:snapToGrid w:val="0"/>
              <w:spacing w:line="240" w:lineRule="auto"/>
              <w:jc w:val="center"/>
              <w:rPr>
                <w:rFonts w:cs="Times New Roman"/>
                <w:sz w:val="21"/>
              </w:rPr>
            </w:pPr>
            <w:r>
              <w:rPr>
                <w:rFonts w:hint="eastAsia" w:cs="Times New Roman"/>
                <w:sz w:val="21"/>
              </w:rPr>
              <w:t>环境低度敏感区（E3）</w:t>
            </w:r>
          </w:p>
        </w:tc>
        <w:tc>
          <w:tcPr>
            <w:tcW w:w="1404" w:type="dxa"/>
            <w:tcBorders>
              <w:tl2br w:val="nil"/>
              <w:tr2bl w:val="nil"/>
            </w:tcBorders>
            <w:vAlign w:val="center"/>
          </w:tcPr>
          <w:p w14:paraId="69AC4D5F">
            <w:pPr>
              <w:adjustRightInd w:val="0"/>
              <w:snapToGrid w:val="0"/>
              <w:spacing w:line="240" w:lineRule="auto"/>
              <w:jc w:val="center"/>
              <w:rPr>
                <w:rFonts w:cs="Times New Roman"/>
                <w:sz w:val="21"/>
              </w:rPr>
            </w:pPr>
            <w:r>
              <w:rPr>
                <w:rFonts w:hint="eastAsia" w:cs="Times New Roman"/>
                <w:sz w:val="21"/>
              </w:rPr>
              <w:t>Ⅲ</w:t>
            </w:r>
          </w:p>
        </w:tc>
        <w:tc>
          <w:tcPr>
            <w:tcW w:w="1405" w:type="dxa"/>
            <w:tcBorders>
              <w:tl2br w:val="nil"/>
              <w:tr2bl w:val="nil"/>
            </w:tcBorders>
            <w:vAlign w:val="center"/>
          </w:tcPr>
          <w:p w14:paraId="0B1CB1AE">
            <w:pPr>
              <w:adjustRightInd w:val="0"/>
              <w:snapToGrid w:val="0"/>
              <w:spacing w:line="240" w:lineRule="auto"/>
              <w:jc w:val="center"/>
              <w:rPr>
                <w:rFonts w:cs="Times New Roman"/>
                <w:sz w:val="21"/>
              </w:rPr>
            </w:pPr>
            <w:r>
              <w:rPr>
                <w:rFonts w:hint="eastAsia" w:cs="Times New Roman"/>
                <w:sz w:val="21"/>
              </w:rPr>
              <w:t>Ⅲ</w:t>
            </w:r>
          </w:p>
        </w:tc>
        <w:tc>
          <w:tcPr>
            <w:tcW w:w="1473" w:type="dxa"/>
            <w:tcBorders>
              <w:tl2br w:val="nil"/>
              <w:tr2bl w:val="nil"/>
            </w:tcBorders>
            <w:vAlign w:val="center"/>
          </w:tcPr>
          <w:p w14:paraId="48C71BCB">
            <w:pPr>
              <w:adjustRightInd w:val="0"/>
              <w:snapToGrid w:val="0"/>
              <w:spacing w:line="240" w:lineRule="auto"/>
              <w:jc w:val="center"/>
              <w:rPr>
                <w:rFonts w:cs="Times New Roman"/>
                <w:sz w:val="21"/>
              </w:rPr>
            </w:pPr>
            <w:r>
              <w:rPr>
                <w:rFonts w:hint="eastAsia" w:cs="Times New Roman"/>
                <w:sz w:val="21"/>
              </w:rPr>
              <w:t>Ⅱ</w:t>
            </w:r>
          </w:p>
        </w:tc>
        <w:tc>
          <w:tcPr>
            <w:tcW w:w="1381" w:type="dxa"/>
            <w:tcBorders>
              <w:tl2br w:val="nil"/>
              <w:tr2bl w:val="nil"/>
            </w:tcBorders>
            <w:vAlign w:val="center"/>
          </w:tcPr>
          <w:p w14:paraId="188DF329">
            <w:pPr>
              <w:adjustRightInd w:val="0"/>
              <w:snapToGrid w:val="0"/>
              <w:spacing w:line="240" w:lineRule="auto"/>
              <w:jc w:val="center"/>
              <w:rPr>
                <w:rFonts w:cs="Times New Roman"/>
                <w:sz w:val="21"/>
              </w:rPr>
            </w:pPr>
            <w:r>
              <w:rPr>
                <w:rFonts w:hint="eastAsia" w:cs="Times New Roman"/>
                <w:sz w:val="21"/>
              </w:rPr>
              <w:t>Ⅰ</w:t>
            </w:r>
          </w:p>
        </w:tc>
      </w:tr>
      <w:tr w14:paraId="2A78F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jc w:val="center"/>
        </w:trPr>
        <w:tc>
          <w:tcPr>
            <w:tcW w:w="7845" w:type="dxa"/>
            <w:gridSpan w:val="5"/>
            <w:tcBorders>
              <w:tl2br w:val="nil"/>
              <w:tr2bl w:val="nil"/>
            </w:tcBorders>
            <w:vAlign w:val="center"/>
          </w:tcPr>
          <w:p w14:paraId="70A16767">
            <w:pPr>
              <w:adjustRightInd w:val="0"/>
              <w:snapToGrid w:val="0"/>
              <w:spacing w:line="240" w:lineRule="auto"/>
              <w:jc w:val="left"/>
              <w:rPr>
                <w:rFonts w:cs="Times New Roman"/>
                <w:sz w:val="21"/>
              </w:rPr>
            </w:pPr>
            <w:r>
              <w:rPr>
                <w:rFonts w:hint="eastAsia" w:cs="Times New Roman"/>
                <w:sz w:val="21"/>
              </w:rPr>
              <w:t>注：Ⅳ+为极高环境风险</w:t>
            </w:r>
          </w:p>
        </w:tc>
      </w:tr>
    </w:tbl>
    <w:p w14:paraId="009F7F90">
      <w:pPr>
        <w:autoSpaceDE w:val="0"/>
        <w:autoSpaceDN w:val="0"/>
        <w:adjustRightInd w:val="0"/>
        <w:snapToGrid w:val="0"/>
        <w:spacing w:line="240" w:lineRule="auto"/>
        <w:jc w:val="center"/>
        <w:textAlignment w:val="baseline"/>
        <w:rPr>
          <w:rFonts w:cs="Times New Roman"/>
          <w:b/>
          <w:kern w:val="24"/>
          <w:szCs w:val="20"/>
        </w:rPr>
      </w:pPr>
    </w:p>
    <w:p w14:paraId="4B9B0910">
      <w:pPr>
        <w:adjustRightInd w:val="0"/>
        <w:snapToGrid w:val="0"/>
        <w:ind w:firstLine="480" w:firstLineChars="200"/>
        <w:rPr>
          <w:rFonts w:cs="Times New Roman"/>
        </w:rPr>
      </w:pPr>
      <w:r>
        <w:rPr>
          <w:rFonts w:hint="eastAsia" w:cs="Times New Roman"/>
        </w:rPr>
        <w:t>其中，危险物质及工艺系统危险性（P）与危险物质数量与临界量比值（Q）、行业及生产工艺（M）有关。</w:t>
      </w:r>
    </w:p>
    <w:p w14:paraId="6F3D80FC">
      <w:pPr>
        <w:keepNext/>
        <w:keepLines/>
        <w:widowControl w:val="0"/>
        <w:bidi w:val="0"/>
        <w:adjustRightInd w:val="0"/>
        <w:snapToGrid w:val="0"/>
        <w:spacing w:before="100" w:beforeLines="0" w:beforeAutospacing="0" w:afterLines="0" w:afterAutospacing="0" w:line="360" w:lineRule="auto"/>
        <w:jc w:val="both"/>
        <w:outlineLvl w:val="1"/>
        <w:rPr>
          <w:rFonts w:ascii="Times New Roman" w:hAnsi="Times New Roman" w:eastAsia="宋体" w:cs="Times New Roman"/>
          <w:b/>
          <w:kern w:val="2"/>
          <w:sz w:val="32"/>
          <w:szCs w:val="24"/>
          <w:lang w:val="en-US" w:eastAsia="zh-CN" w:bidi="ar-SA"/>
        </w:rPr>
      </w:pPr>
      <w:r>
        <w:rPr>
          <w:rFonts w:hint="eastAsia" w:ascii="Times New Roman" w:hAnsi="Times New Roman" w:eastAsia="宋体" w:cs="Times New Roman"/>
          <w:b/>
          <w:kern w:val="2"/>
          <w:sz w:val="32"/>
          <w:szCs w:val="24"/>
          <w:lang w:val="en-US" w:eastAsia="zh-CN" w:bidi="ar-SA"/>
        </w:rPr>
        <w:t>3.1危险物质及工艺系统危险性（P）分级</w:t>
      </w:r>
    </w:p>
    <w:p w14:paraId="2A38E0E5">
      <w:pPr>
        <w:adjustRightInd w:val="0"/>
        <w:snapToGrid w:val="0"/>
        <w:ind w:firstLine="482" w:firstLineChars="200"/>
        <w:rPr>
          <w:rFonts w:cs="Times New Roman"/>
        </w:rPr>
      </w:pPr>
      <w:r>
        <w:rPr>
          <w:rFonts w:hint="eastAsia" w:cs="Times New Roman"/>
          <w:b/>
          <w:bCs/>
        </w:rPr>
        <w:t>①危险物质数量与临界量比值（Q）</w:t>
      </w:r>
    </w:p>
    <w:p w14:paraId="42FFE5D7">
      <w:pPr>
        <w:adjustRightInd w:val="0"/>
        <w:snapToGrid w:val="0"/>
        <w:ind w:firstLine="480" w:firstLineChars="200"/>
        <w:rPr>
          <w:rFonts w:cs="Times New Roman"/>
        </w:rPr>
      </w:pPr>
      <w:r>
        <w:rPr>
          <w:rFonts w:hint="eastAsia" w:cs="Times New Roman"/>
        </w:rPr>
        <w:t>本项目原辅材料、中间产品、产品和燃料包括</w:t>
      </w:r>
      <w:r>
        <w:rPr>
          <w:rFonts w:hint="eastAsia" w:cs="Times New Roman"/>
          <w:lang w:eastAsia="zh-CN"/>
        </w:rPr>
        <w:t>液氨、氨水、废机油</w:t>
      </w:r>
      <w:r>
        <w:rPr>
          <w:rFonts w:hint="eastAsia" w:cs="Times New Roman"/>
        </w:rPr>
        <w:t>和柴油，根据各类原料的MSDS及其它资料，以上物质的危险性如下表。</w:t>
      </w:r>
    </w:p>
    <w:p w14:paraId="5E17289E">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rPr>
        <w:t>表</w:t>
      </w:r>
      <w:r>
        <w:rPr>
          <w:rFonts w:hint="eastAsia" w:cs="Times New Roman"/>
          <w:b/>
          <w:kern w:val="24"/>
          <w:szCs w:val="20"/>
          <w:lang w:val="en-US" w:eastAsia="zh-CN"/>
        </w:rPr>
        <w:t>3</w:t>
      </w:r>
      <w:r>
        <w:rPr>
          <w:rFonts w:hint="eastAsia" w:cs="Times New Roman"/>
          <w:b/>
          <w:kern w:val="24"/>
          <w:szCs w:val="20"/>
        </w:rPr>
        <w:t>-3 各类物质的危险特性情况</w:t>
      </w:r>
    </w:p>
    <w:tbl>
      <w:tblPr>
        <w:tblStyle w:val="11"/>
        <w:tblW w:w="78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0" w:type="dxa"/>
          <w:left w:w="0" w:type="dxa"/>
          <w:bottom w:w="0" w:type="dxa"/>
          <w:right w:w="0" w:type="dxa"/>
        </w:tblCellMar>
      </w:tblPr>
      <w:tblGrid>
        <w:gridCol w:w="2234"/>
        <w:gridCol w:w="1221"/>
        <w:gridCol w:w="2382"/>
        <w:gridCol w:w="2000"/>
      </w:tblGrid>
      <w:tr w14:paraId="1ECAA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234" w:type="dxa"/>
            <w:tcBorders>
              <w:tl2br w:val="nil"/>
              <w:tr2bl w:val="nil"/>
            </w:tcBorders>
            <w:shd w:val="clear" w:color="auto" w:fill="FFFFFF"/>
            <w:tcMar>
              <w:top w:w="0" w:type="dxa"/>
              <w:left w:w="57" w:type="dxa"/>
              <w:bottom w:w="0" w:type="dxa"/>
              <w:right w:w="57" w:type="dxa"/>
            </w:tcMar>
            <w:vAlign w:val="center"/>
          </w:tcPr>
          <w:p w14:paraId="6C50E177">
            <w:pPr>
              <w:adjustRightInd w:val="0"/>
              <w:snapToGrid w:val="0"/>
              <w:spacing w:line="240" w:lineRule="auto"/>
              <w:jc w:val="center"/>
              <w:rPr>
                <w:rFonts w:cs="Times New Roman"/>
                <w:b/>
                <w:bCs/>
                <w:sz w:val="21"/>
              </w:rPr>
            </w:pPr>
            <w:r>
              <w:rPr>
                <w:rFonts w:hint="eastAsia" w:cs="Times New Roman"/>
                <w:b/>
                <w:bCs/>
                <w:sz w:val="21"/>
              </w:rPr>
              <w:t>危险物质名称</w:t>
            </w:r>
          </w:p>
        </w:tc>
        <w:tc>
          <w:tcPr>
            <w:tcW w:w="1221" w:type="dxa"/>
            <w:tcBorders>
              <w:tl2br w:val="nil"/>
              <w:tr2bl w:val="nil"/>
            </w:tcBorders>
            <w:shd w:val="clear" w:color="auto" w:fill="FFFFFF"/>
            <w:tcMar>
              <w:top w:w="0" w:type="dxa"/>
              <w:left w:w="57" w:type="dxa"/>
              <w:bottom w:w="0" w:type="dxa"/>
              <w:right w:w="57" w:type="dxa"/>
            </w:tcMar>
            <w:vAlign w:val="center"/>
          </w:tcPr>
          <w:p w14:paraId="59E7E094">
            <w:pPr>
              <w:adjustRightInd w:val="0"/>
              <w:snapToGrid w:val="0"/>
              <w:spacing w:line="240" w:lineRule="auto"/>
              <w:jc w:val="center"/>
              <w:rPr>
                <w:rFonts w:cs="Times New Roman"/>
                <w:b/>
                <w:bCs/>
                <w:sz w:val="21"/>
              </w:rPr>
            </w:pPr>
            <w:r>
              <w:rPr>
                <w:rFonts w:cs="Times New Roman"/>
                <w:b/>
                <w:bCs/>
                <w:sz w:val="21"/>
              </w:rPr>
              <w:t>CAS</w:t>
            </w:r>
            <w:r>
              <w:rPr>
                <w:rFonts w:hint="eastAsia" w:cs="Times New Roman"/>
                <w:b/>
                <w:bCs/>
                <w:sz w:val="21"/>
              </w:rPr>
              <w:t>号</w:t>
            </w:r>
          </w:p>
        </w:tc>
        <w:tc>
          <w:tcPr>
            <w:tcW w:w="2382" w:type="dxa"/>
            <w:tcBorders>
              <w:tl2br w:val="nil"/>
              <w:tr2bl w:val="nil"/>
            </w:tcBorders>
            <w:shd w:val="clear" w:color="auto" w:fill="FFFFFF"/>
            <w:tcMar>
              <w:top w:w="0" w:type="dxa"/>
              <w:left w:w="57" w:type="dxa"/>
              <w:bottom w:w="0" w:type="dxa"/>
              <w:right w:w="57" w:type="dxa"/>
            </w:tcMar>
            <w:vAlign w:val="center"/>
          </w:tcPr>
          <w:p w14:paraId="4ED96E0E">
            <w:pPr>
              <w:adjustRightInd w:val="0"/>
              <w:snapToGrid w:val="0"/>
              <w:spacing w:line="240" w:lineRule="auto"/>
              <w:jc w:val="center"/>
              <w:rPr>
                <w:rFonts w:cs="Times New Roman"/>
                <w:b/>
                <w:bCs/>
                <w:sz w:val="21"/>
              </w:rPr>
            </w:pPr>
            <w:r>
              <w:rPr>
                <w:rFonts w:hint="eastAsia" w:cs="Times New Roman"/>
                <w:b/>
                <w:bCs/>
                <w:sz w:val="21"/>
              </w:rPr>
              <w:t>健康危险急性毒性物质</w:t>
            </w:r>
          </w:p>
        </w:tc>
        <w:tc>
          <w:tcPr>
            <w:tcW w:w="2000" w:type="dxa"/>
            <w:tcBorders>
              <w:tl2br w:val="nil"/>
              <w:tr2bl w:val="nil"/>
            </w:tcBorders>
            <w:shd w:val="clear" w:color="auto" w:fill="FFFFFF"/>
            <w:tcMar>
              <w:top w:w="0" w:type="dxa"/>
              <w:left w:w="57" w:type="dxa"/>
              <w:bottom w:w="0" w:type="dxa"/>
              <w:right w:w="57" w:type="dxa"/>
            </w:tcMar>
            <w:vAlign w:val="center"/>
          </w:tcPr>
          <w:p w14:paraId="4A56F005">
            <w:pPr>
              <w:adjustRightInd w:val="0"/>
              <w:snapToGrid w:val="0"/>
              <w:spacing w:line="240" w:lineRule="auto"/>
              <w:jc w:val="center"/>
              <w:rPr>
                <w:rFonts w:cs="Times New Roman"/>
                <w:b/>
                <w:bCs/>
                <w:sz w:val="21"/>
              </w:rPr>
            </w:pPr>
            <w:r>
              <w:rPr>
                <w:rFonts w:hint="eastAsia" w:cs="Times New Roman"/>
                <w:b/>
                <w:bCs/>
                <w:sz w:val="21"/>
              </w:rPr>
              <w:t>危害水生环境</w:t>
            </w:r>
          </w:p>
        </w:tc>
      </w:tr>
      <w:tr w14:paraId="09EA2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jc w:val="center"/>
        </w:trPr>
        <w:tc>
          <w:tcPr>
            <w:tcW w:w="2234" w:type="dxa"/>
            <w:tcBorders>
              <w:tl2br w:val="nil"/>
              <w:tr2bl w:val="nil"/>
            </w:tcBorders>
            <w:shd w:val="clear" w:color="auto" w:fill="FFFFFF"/>
            <w:tcMar>
              <w:top w:w="0" w:type="dxa"/>
              <w:left w:w="57" w:type="dxa"/>
              <w:bottom w:w="0" w:type="dxa"/>
              <w:right w:w="57" w:type="dxa"/>
            </w:tcMar>
            <w:vAlign w:val="center"/>
          </w:tcPr>
          <w:p w14:paraId="6DC8D47F">
            <w:pPr>
              <w:adjustRightInd w:val="0"/>
              <w:snapToGrid w:val="0"/>
              <w:spacing w:line="240" w:lineRule="auto"/>
              <w:jc w:val="center"/>
              <w:rPr>
                <w:rFonts w:hint="eastAsia" w:eastAsia="宋体" w:cs="Times New Roman"/>
                <w:sz w:val="21"/>
                <w:lang w:eastAsia="zh-CN"/>
              </w:rPr>
            </w:pPr>
            <w:r>
              <w:rPr>
                <w:rFonts w:hint="eastAsia" w:cs="Times New Roman"/>
                <w:sz w:val="21"/>
                <w:lang w:eastAsia="zh-CN"/>
              </w:rPr>
              <w:t>液氨</w:t>
            </w:r>
          </w:p>
        </w:tc>
        <w:tc>
          <w:tcPr>
            <w:tcW w:w="1221" w:type="dxa"/>
            <w:tcBorders>
              <w:tl2br w:val="nil"/>
              <w:tr2bl w:val="nil"/>
            </w:tcBorders>
            <w:shd w:val="clear" w:color="auto" w:fill="FFFFFF"/>
            <w:tcMar>
              <w:top w:w="0" w:type="dxa"/>
              <w:left w:w="57" w:type="dxa"/>
              <w:bottom w:w="0" w:type="dxa"/>
              <w:right w:w="57" w:type="dxa"/>
            </w:tcMar>
            <w:vAlign w:val="center"/>
          </w:tcPr>
          <w:p w14:paraId="0A911EB1">
            <w:pPr>
              <w:pStyle w:val="14"/>
              <w:bidi w:val="0"/>
              <w:jc w:val="center"/>
              <w:rPr>
                <w:rFonts w:cs="Times New Roman"/>
                <w:sz w:val="21"/>
              </w:rPr>
            </w:pPr>
            <w:r>
              <w:rPr>
                <w:rFonts w:hint="eastAsia"/>
                <w:lang w:val="en-US" w:eastAsia="zh-CN"/>
              </w:rPr>
              <w:t>7664-41-7</w:t>
            </w:r>
          </w:p>
        </w:tc>
        <w:tc>
          <w:tcPr>
            <w:tcW w:w="2382" w:type="dxa"/>
            <w:tcBorders>
              <w:tl2br w:val="nil"/>
              <w:tr2bl w:val="nil"/>
            </w:tcBorders>
            <w:shd w:val="clear" w:color="auto" w:fill="FFFFFF"/>
            <w:tcMar>
              <w:top w:w="0" w:type="dxa"/>
              <w:left w:w="57" w:type="dxa"/>
              <w:bottom w:w="0" w:type="dxa"/>
              <w:right w:w="57" w:type="dxa"/>
            </w:tcMar>
            <w:vAlign w:val="center"/>
          </w:tcPr>
          <w:p w14:paraId="0A87A7F4">
            <w:pPr>
              <w:adjustRightInd w:val="0"/>
              <w:snapToGrid w:val="0"/>
              <w:spacing w:line="240" w:lineRule="auto"/>
              <w:jc w:val="center"/>
              <w:rPr>
                <w:rFonts w:cs="Times New Roman"/>
                <w:sz w:val="21"/>
              </w:rPr>
            </w:pPr>
            <w:r>
              <w:rPr>
                <w:rFonts w:hint="eastAsia" w:cs="Times New Roman"/>
                <w:sz w:val="21"/>
              </w:rPr>
              <w:t>急性毒性吸入</w:t>
            </w:r>
            <w:r>
              <w:rPr>
                <w:rFonts w:hint="eastAsia" w:cs="Times New Roman"/>
                <w:sz w:val="21"/>
                <w:lang w:val="en-US" w:eastAsia="zh-CN"/>
              </w:rPr>
              <w:t>-</w:t>
            </w:r>
            <w:r>
              <w:rPr>
                <w:rFonts w:hint="eastAsia" w:cs="Times New Roman"/>
                <w:sz w:val="21"/>
              </w:rPr>
              <w:t>类别3</w:t>
            </w:r>
          </w:p>
        </w:tc>
        <w:tc>
          <w:tcPr>
            <w:tcW w:w="2000" w:type="dxa"/>
            <w:tcBorders>
              <w:tl2br w:val="nil"/>
              <w:tr2bl w:val="nil"/>
            </w:tcBorders>
            <w:shd w:val="clear" w:color="auto" w:fill="FFFFFF"/>
            <w:tcMar>
              <w:top w:w="0" w:type="dxa"/>
              <w:left w:w="57" w:type="dxa"/>
              <w:bottom w:w="0" w:type="dxa"/>
              <w:right w:w="57" w:type="dxa"/>
            </w:tcMar>
            <w:vAlign w:val="center"/>
          </w:tcPr>
          <w:p w14:paraId="217CE47F">
            <w:pPr>
              <w:adjustRightInd w:val="0"/>
              <w:snapToGrid w:val="0"/>
              <w:spacing w:line="240" w:lineRule="auto"/>
              <w:jc w:val="center"/>
              <w:rPr>
                <w:rFonts w:cs="Times New Roman"/>
                <w:sz w:val="21"/>
              </w:rPr>
            </w:pPr>
            <w:r>
              <w:rPr>
                <w:rFonts w:hint="eastAsia" w:cs="Times New Roman"/>
                <w:sz w:val="21"/>
              </w:rPr>
              <w:t>急性毒性，类别1</w:t>
            </w:r>
          </w:p>
        </w:tc>
      </w:tr>
      <w:tr w14:paraId="7ABBE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jc w:val="center"/>
        </w:trPr>
        <w:tc>
          <w:tcPr>
            <w:tcW w:w="2234" w:type="dxa"/>
            <w:tcBorders>
              <w:tl2br w:val="nil"/>
              <w:tr2bl w:val="nil"/>
            </w:tcBorders>
            <w:shd w:val="clear" w:color="auto" w:fill="FFFFFF"/>
            <w:tcMar>
              <w:top w:w="0" w:type="dxa"/>
              <w:left w:w="57" w:type="dxa"/>
              <w:bottom w:w="0" w:type="dxa"/>
              <w:right w:w="57" w:type="dxa"/>
            </w:tcMar>
            <w:vAlign w:val="center"/>
          </w:tcPr>
          <w:p w14:paraId="74A58558">
            <w:pPr>
              <w:adjustRightInd w:val="0"/>
              <w:snapToGrid w:val="0"/>
              <w:spacing w:line="240" w:lineRule="auto"/>
              <w:jc w:val="center"/>
              <w:rPr>
                <w:rFonts w:hint="eastAsia" w:eastAsia="宋体" w:cs="Times New Roman"/>
                <w:sz w:val="21"/>
                <w:lang w:eastAsia="zh-CN"/>
              </w:rPr>
            </w:pPr>
            <w:r>
              <w:rPr>
                <w:rFonts w:hint="eastAsia" w:cs="Times New Roman"/>
                <w:sz w:val="21"/>
                <w:lang w:eastAsia="zh-CN"/>
              </w:rPr>
              <w:t>氨水</w:t>
            </w:r>
          </w:p>
        </w:tc>
        <w:tc>
          <w:tcPr>
            <w:tcW w:w="1221" w:type="dxa"/>
            <w:tcBorders>
              <w:tl2br w:val="nil"/>
              <w:tr2bl w:val="nil"/>
            </w:tcBorders>
            <w:shd w:val="clear" w:color="auto" w:fill="FFFFFF"/>
            <w:tcMar>
              <w:top w:w="0" w:type="dxa"/>
              <w:left w:w="57" w:type="dxa"/>
              <w:bottom w:w="0" w:type="dxa"/>
              <w:right w:w="57" w:type="dxa"/>
            </w:tcMar>
            <w:vAlign w:val="center"/>
          </w:tcPr>
          <w:p w14:paraId="29455E25">
            <w:pPr>
              <w:pStyle w:val="14"/>
              <w:bidi w:val="0"/>
              <w:jc w:val="center"/>
              <w:rPr>
                <w:rFonts w:cs="Times New Roman"/>
                <w:sz w:val="21"/>
              </w:rPr>
            </w:pPr>
            <w:r>
              <w:rPr>
                <w:rFonts w:hint="eastAsia"/>
                <w:lang w:val="en-US" w:eastAsia="zh-CN"/>
              </w:rPr>
              <w:t>1336-21-6</w:t>
            </w:r>
          </w:p>
        </w:tc>
        <w:tc>
          <w:tcPr>
            <w:tcW w:w="2382" w:type="dxa"/>
            <w:tcBorders>
              <w:tl2br w:val="nil"/>
              <w:tr2bl w:val="nil"/>
            </w:tcBorders>
            <w:shd w:val="clear" w:color="auto" w:fill="FFFFFF"/>
            <w:tcMar>
              <w:top w:w="0" w:type="dxa"/>
              <w:left w:w="57" w:type="dxa"/>
              <w:bottom w:w="0" w:type="dxa"/>
              <w:right w:w="57" w:type="dxa"/>
            </w:tcMar>
            <w:vAlign w:val="center"/>
          </w:tcPr>
          <w:p w14:paraId="68FFF177">
            <w:pPr>
              <w:adjustRightInd w:val="0"/>
              <w:snapToGrid w:val="0"/>
              <w:spacing w:line="240" w:lineRule="auto"/>
              <w:jc w:val="center"/>
              <w:rPr>
                <w:rFonts w:cs="Times New Roman"/>
                <w:sz w:val="21"/>
              </w:rPr>
            </w:pPr>
            <w:r>
              <w:rPr>
                <w:rFonts w:hint="eastAsia" w:cs="Times New Roman"/>
                <w:sz w:val="21"/>
              </w:rPr>
              <w:t>皮肤腐蚀/刺激，类别1B；眼损伤/眼刺激，类别1；特定目标器官毒性-单次接触：呼吸道刺激，类别3；</w:t>
            </w:r>
          </w:p>
        </w:tc>
        <w:tc>
          <w:tcPr>
            <w:tcW w:w="2000" w:type="dxa"/>
            <w:tcBorders>
              <w:tl2br w:val="nil"/>
              <w:tr2bl w:val="nil"/>
            </w:tcBorders>
            <w:shd w:val="clear" w:color="auto" w:fill="FFFFFF"/>
            <w:tcMar>
              <w:top w:w="0" w:type="dxa"/>
              <w:left w:w="57" w:type="dxa"/>
              <w:bottom w:w="0" w:type="dxa"/>
              <w:right w:w="57" w:type="dxa"/>
            </w:tcMar>
            <w:vAlign w:val="center"/>
          </w:tcPr>
          <w:p w14:paraId="276CED57">
            <w:pPr>
              <w:adjustRightInd w:val="0"/>
              <w:snapToGrid w:val="0"/>
              <w:spacing w:line="240" w:lineRule="auto"/>
              <w:jc w:val="center"/>
              <w:rPr>
                <w:rFonts w:cs="Times New Roman"/>
                <w:sz w:val="21"/>
              </w:rPr>
            </w:pPr>
            <w:r>
              <w:rPr>
                <w:rFonts w:hint="eastAsia" w:cs="Times New Roman"/>
                <w:sz w:val="21"/>
              </w:rPr>
              <w:t>急性毒性</w:t>
            </w:r>
            <w:r>
              <w:rPr>
                <w:rFonts w:hint="eastAsia" w:cs="Times New Roman"/>
                <w:sz w:val="21"/>
                <w:lang w:val="en-US" w:eastAsia="zh-CN"/>
              </w:rPr>
              <w:t>-</w:t>
            </w:r>
            <w:r>
              <w:rPr>
                <w:rFonts w:hint="eastAsia" w:cs="Times New Roman"/>
                <w:sz w:val="21"/>
              </w:rPr>
              <w:t>类别1</w:t>
            </w:r>
          </w:p>
        </w:tc>
      </w:tr>
      <w:tr w14:paraId="3AD7D3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jc w:val="center"/>
        </w:trPr>
        <w:tc>
          <w:tcPr>
            <w:tcW w:w="2234" w:type="dxa"/>
            <w:tcBorders>
              <w:tl2br w:val="nil"/>
              <w:tr2bl w:val="nil"/>
            </w:tcBorders>
            <w:shd w:val="clear" w:color="auto" w:fill="FFFFFF"/>
            <w:tcMar>
              <w:top w:w="0" w:type="dxa"/>
              <w:left w:w="57" w:type="dxa"/>
              <w:bottom w:w="0" w:type="dxa"/>
              <w:right w:w="57" w:type="dxa"/>
            </w:tcMar>
            <w:vAlign w:val="center"/>
          </w:tcPr>
          <w:p w14:paraId="51CBC14B">
            <w:pPr>
              <w:adjustRightInd w:val="0"/>
              <w:snapToGrid w:val="0"/>
              <w:spacing w:line="240" w:lineRule="auto"/>
              <w:jc w:val="center"/>
              <w:rPr>
                <w:rFonts w:hint="eastAsia" w:eastAsia="宋体" w:cs="Times New Roman"/>
                <w:sz w:val="21"/>
                <w:lang w:eastAsia="zh-CN"/>
              </w:rPr>
            </w:pPr>
            <w:r>
              <w:rPr>
                <w:rFonts w:hint="eastAsia" w:cs="Times New Roman"/>
                <w:sz w:val="21"/>
                <w:lang w:eastAsia="zh-CN"/>
              </w:rPr>
              <w:t>废机油</w:t>
            </w:r>
          </w:p>
        </w:tc>
        <w:tc>
          <w:tcPr>
            <w:tcW w:w="1221" w:type="dxa"/>
            <w:tcBorders>
              <w:tl2br w:val="nil"/>
              <w:tr2bl w:val="nil"/>
            </w:tcBorders>
            <w:shd w:val="clear" w:color="auto" w:fill="FFFFFF"/>
            <w:tcMar>
              <w:top w:w="0" w:type="dxa"/>
              <w:left w:w="57" w:type="dxa"/>
              <w:bottom w:w="0" w:type="dxa"/>
              <w:right w:w="57" w:type="dxa"/>
            </w:tcMar>
            <w:vAlign w:val="center"/>
          </w:tcPr>
          <w:p w14:paraId="1A7A653C">
            <w:pPr>
              <w:adjustRightInd w:val="0"/>
              <w:snapToGrid w:val="0"/>
              <w:spacing w:line="240" w:lineRule="auto"/>
              <w:jc w:val="center"/>
              <w:rPr>
                <w:rFonts w:hint="eastAsia" w:eastAsia="宋体" w:cs="Times New Roman"/>
                <w:sz w:val="21"/>
                <w:lang w:val="en-US" w:eastAsia="zh-CN"/>
              </w:rPr>
            </w:pPr>
            <w:r>
              <w:rPr>
                <w:rFonts w:hint="eastAsia" w:cs="Times New Roman"/>
                <w:sz w:val="21"/>
                <w:lang w:val="en-US" w:eastAsia="zh-CN"/>
              </w:rPr>
              <w:t>/</w:t>
            </w:r>
          </w:p>
        </w:tc>
        <w:tc>
          <w:tcPr>
            <w:tcW w:w="2382" w:type="dxa"/>
            <w:tcBorders>
              <w:tl2br w:val="nil"/>
              <w:tr2bl w:val="nil"/>
            </w:tcBorders>
            <w:shd w:val="clear" w:color="auto" w:fill="FFFFFF"/>
            <w:tcMar>
              <w:top w:w="0" w:type="dxa"/>
              <w:left w:w="57" w:type="dxa"/>
              <w:bottom w:w="0" w:type="dxa"/>
              <w:right w:w="57" w:type="dxa"/>
            </w:tcMar>
            <w:vAlign w:val="center"/>
          </w:tcPr>
          <w:p w14:paraId="6CC6CA6C">
            <w:pPr>
              <w:adjustRightInd w:val="0"/>
              <w:snapToGrid w:val="0"/>
              <w:spacing w:line="240" w:lineRule="auto"/>
              <w:jc w:val="center"/>
              <w:rPr>
                <w:rFonts w:hint="eastAsia" w:eastAsia="宋体" w:cs="Times New Roman"/>
                <w:sz w:val="21"/>
                <w:lang w:val="en-US" w:eastAsia="zh-CN"/>
              </w:rPr>
            </w:pPr>
            <w:r>
              <w:rPr>
                <w:rFonts w:hint="eastAsia" w:cs="Times New Roman"/>
                <w:sz w:val="21"/>
                <w:lang w:val="en-US" w:eastAsia="zh-CN"/>
              </w:rPr>
              <w:t>/</w:t>
            </w:r>
          </w:p>
        </w:tc>
        <w:tc>
          <w:tcPr>
            <w:tcW w:w="2000" w:type="dxa"/>
            <w:tcBorders>
              <w:tl2br w:val="nil"/>
              <w:tr2bl w:val="nil"/>
            </w:tcBorders>
            <w:shd w:val="clear" w:color="auto" w:fill="FFFFFF"/>
            <w:tcMar>
              <w:top w:w="0" w:type="dxa"/>
              <w:left w:w="57" w:type="dxa"/>
              <w:bottom w:w="0" w:type="dxa"/>
              <w:right w:w="57" w:type="dxa"/>
            </w:tcMar>
            <w:vAlign w:val="center"/>
          </w:tcPr>
          <w:p w14:paraId="3BDDDDDA">
            <w:pPr>
              <w:adjustRightInd w:val="0"/>
              <w:snapToGrid w:val="0"/>
              <w:spacing w:line="240" w:lineRule="auto"/>
              <w:jc w:val="center"/>
              <w:rPr>
                <w:rFonts w:hint="eastAsia" w:eastAsia="宋体" w:cs="Times New Roman"/>
                <w:sz w:val="21"/>
                <w:lang w:val="en-US" w:eastAsia="zh-CN"/>
              </w:rPr>
            </w:pPr>
            <w:r>
              <w:rPr>
                <w:rFonts w:hint="eastAsia" w:cs="Times New Roman"/>
                <w:sz w:val="21"/>
                <w:lang w:val="en-US" w:eastAsia="zh-CN"/>
              </w:rPr>
              <w:t>/</w:t>
            </w:r>
          </w:p>
        </w:tc>
      </w:tr>
      <w:tr w14:paraId="0F8428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jc w:val="center"/>
        </w:trPr>
        <w:tc>
          <w:tcPr>
            <w:tcW w:w="2234" w:type="dxa"/>
            <w:tcBorders>
              <w:tl2br w:val="nil"/>
              <w:tr2bl w:val="nil"/>
            </w:tcBorders>
            <w:shd w:val="clear" w:color="auto" w:fill="FFFFFF"/>
            <w:tcMar>
              <w:top w:w="0" w:type="dxa"/>
              <w:left w:w="57" w:type="dxa"/>
              <w:bottom w:w="0" w:type="dxa"/>
              <w:right w:w="57" w:type="dxa"/>
            </w:tcMar>
            <w:vAlign w:val="center"/>
          </w:tcPr>
          <w:p w14:paraId="47E2E1A6">
            <w:pPr>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cs="Times New Roman"/>
                <w:sz w:val="21"/>
              </w:rPr>
              <w:t>柴油（油类物质）</w:t>
            </w:r>
          </w:p>
        </w:tc>
        <w:tc>
          <w:tcPr>
            <w:tcW w:w="1221" w:type="dxa"/>
            <w:tcBorders>
              <w:tl2br w:val="nil"/>
              <w:tr2bl w:val="nil"/>
            </w:tcBorders>
            <w:shd w:val="clear" w:color="auto" w:fill="FFFFFF"/>
            <w:tcMar>
              <w:top w:w="0" w:type="dxa"/>
              <w:left w:w="57" w:type="dxa"/>
              <w:bottom w:w="0" w:type="dxa"/>
              <w:right w:w="57" w:type="dxa"/>
            </w:tcMar>
            <w:vAlign w:val="center"/>
          </w:tcPr>
          <w:p w14:paraId="34E55B9A">
            <w:pPr>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cs="Times New Roman"/>
                <w:sz w:val="21"/>
              </w:rPr>
              <w:t>68334-30-5</w:t>
            </w:r>
          </w:p>
        </w:tc>
        <w:tc>
          <w:tcPr>
            <w:tcW w:w="2382" w:type="dxa"/>
            <w:tcBorders>
              <w:tl2br w:val="nil"/>
              <w:tr2bl w:val="nil"/>
            </w:tcBorders>
            <w:shd w:val="clear" w:color="auto" w:fill="FFFFFF"/>
            <w:tcMar>
              <w:top w:w="0" w:type="dxa"/>
              <w:left w:w="57" w:type="dxa"/>
              <w:bottom w:w="0" w:type="dxa"/>
              <w:right w:w="57" w:type="dxa"/>
            </w:tcMar>
            <w:vAlign w:val="center"/>
          </w:tcPr>
          <w:p w14:paraId="4F369E38">
            <w:pPr>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cs="Times New Roman"/>
                <w:sz w:val="21"/>
              </w:rPr>
              <w:t>/</w:t>
            </w:r>
          </w:p>
        </w:tc>
        <w:tc>
          <w:tcPr>
            <w:tcW w:w="2000" w:type="dxa"/>
            <w:tcBorders>
              <w:tl2br w:val="nil"/>
              <w:tr2bl w:val="nil"/>
            </w:tcBorders>
            <w:shd w:val="clear" w:color="auto" w:fill="FFFFFF"/>
            <w:tcMar>
              <w:top w:w="0" w:type="dxa"/>
              <w:left w:w="57" w:type="dxa"/>
              <w:bottom w:w="0" w:type="dxa"/>
              <w:right w:w="57" w:type="dxa"/>
            </w:tcMar>
            <w:vAlign w:val="center"/>
          </w:tcPr>
          <w:p w14:paraId="3E9D0B1E">
            <w:pPr>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cs="Times New Roman"/>
                <w:sz w:val="21"/>
              </w:rPr>
              <w:t>/</w:t>
            </w:r>
          </w:p>
        </w:tc>
      </w:tr>
    </w:tbl>
    <w:p w14:paraId="1C283CAB">
      <w:pPr>
        <w:autoSpaceDE w:val="0"/>
        <w:autoSpaceDN w:val="0"/>
        <w:adjustRightInd w:val="0"/>
        <w:snapToGrid w:val="0"/>
        <w:spacing w:line="240" w:lineRule="auto"/>
        <w:jc w:val="center"/>
        <w:textAlignment w:val="baseline"/>
        <w:rPr>
          <w:rFonts w:cs="Times New Roman"/>
          <w:b/>
          <w:kern w:val="24"/>
          <w:szCs w:val="20"/>
        </w:rPr>
      </w:pPr>
    </w:p>
    <w:p w14:paraId="2286A520">
      <w:pPr>
        <w:adjustRightInd w:val="0"/>
        <w:snapToGrid w:val="0"/>
        <w:ind w:firstLine="480" w:firstLineChars="200"/>
        <w:rPr>
          <w:rFonts w:cs="Times New Roman"/>
        </w:rPr>
      </w:pPr>
      <w:r>
        <w:rPr>
          <w:rFonts w:hint="eastAsia" w:cs="Times New Roman"/>
        </w:rPr>
        <w:t>根据《建设项目环境风险评价技术导则》（HJ169-2018）附录B重点关注的危险物质及临界量分析可知，本项目环境风险评价应识别的风险物质主要为氨、氨水、废机油和柴油等，危险物质均属附录表B.1所列，结合项目各类危险物质的状态、浓度、储存方式等得出其相应的临界量，见下表。</w:t>
      </w:r>
    </w:p>
    <w:p w14:paraId="2C74615D">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rPr>
        <w:t>表</w:t>
      </w:r>
      <w:r>
        <w:rPr>
          <w:rFonts w:hint="eastAsia" w:cs="Times New Roman"/>
          <w:b/>
          <w:kern w:val="24"/>
          <w:szCs w:val="20"/>
          <w:lang w:val="en-US" w:eastAsia="zh-CN"/>
        </w:rPr>
        <w:t>3</w:t>
      </w:r>
      <w:r>
        <w:rPr>
          <w:rFonts w:hint="eastAsia" w:cs="Times New Roman"/>
          <w:b/>
          <w:kern w:val="24"/>
          <w:szCs w:val="20"/>
        </w:rPr>
        <w:t>-4 项目Q值确定表</w:t>
      </w:r>
    </w:p>
    <w:tbl>
      <w:tblPr>
        <w:tblStyle w:val="11"/>
        <w:tblW w:w="868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83"/>
        <w:gridCol w:w="1383"/>
        <w:gridCol w:w="1184"/>
        <w:gridCol w:w="1150"/>
        <w:gridCol w:w="1088"/>
        <w:gridCol w:w="1260"/>
        <w:gridCol w:w="850"/>
        <w:gridCol w:w="1190"/>
      </w:tblGrid>
      <w:tr w14:paraId="51645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2D1CDFB9">
            <w:pPr>
              <w:pStyle w:val="14"/>
              <w:bidi w:val="0"/>
              <w:jc w:val="center"/>
              <w:rPr>
                <w:rFonts w:hint="eastAsia"/>
                <w:b/>
                <w:bCs/>
                <w:lang w:val="en-US" w:eastAsia="zh-CN"/>
              </w:rPr>
            </w:pPr>
            <w:r>
              <w:rPr>
                <w:rFonts w:hint="eastAsia"/>
                <w:b/>
                <w:bCs/>
                <w:lang w:val="en-US" w:eastAsia="zh-CN"/>
              </w:rPr>
              <w:t>序号</w:t>
            </w:r>
          </w:p>
        </w:tc>
        <w:tc>
          <w:tcPr>
            <w:tcW w:w="1383" w:type="dxa"/>
            <w:tcBorders>
              <w:tl2br w:val="nil"/>
              <w:tr2bl w:val="nil"/>
            </w:tcBorders>
            <w:vAlign w:val="center"/>
          </w:tcPr>
          <w:p w14:paraId="7293520F">
            <w:pPr>
              <w:pStyle w:val="14"/>
              <w:bidi w:val="0"/>
              <w:jc w:val="center"/>
              <w:rPr>
                <w:rFonts w:hint="eastAsia"/>
                <w:b/>
                <w:bCs/>
                <w:lang w:val="en-US" w:eastAsia="zh-CN"/>
              </w:rPr>
            </w:pPr>
            <w:r>
              <w:rPr>
                <w:rFonts w:hint="eastAsia"/>
                <w:b/>
                <w:bCs/>
                <w:lang w:val="en-US" w:eastAsia="zh-CN"/>
              </w:rPr>
              <w:t>危险物质名称</w:t>
            </w:r>
          </w:p>
        </w:tc>
        <w:tc>
          <w:tcPr>
            <w:tcW w:w="1184" w:type="dxa"/>
            <w:tcBorders>
              <w:tl2br w:val="nil"/>
              <w:tr2bl w:val="nil"/>
            </w:tcBorders>
            <w:vAlign w:val="center"/>
          </w:tcPr>
          <w:p w14:paraId="7312B10A">
            <w:pPr>
              <w:pStyle w:val="14"/>
              <w:bidi w:val="0"/>
              <w:jc w:val="center"/>
              <w:rPr>
                <w:rFonts w:hint="eastAsia"/>
                <w:b/>
                <w:bCs/>
                <w:lang w:val="en-US" w:eastAsia="zh-CN"/>
              </w:rPr>
            </w:pPr>
            <w:r>
              <w:rPr>
                <w:rFonts w:hint="eastAsia"/>
                <w:b/>
                <w:bCs/>
                <w:lang w:val="en-US" w:eastAsia="zh-CN"/>
              </w:rPr>
              <w:t>CAS号</w:t>
            </w:r>
          </w:p>
        </w:tc>
        <w:tc>
          <w:tcPr>
            <w:tcW w:w="1150" w:type="dxa"/>
            <w:tcBorders>
              <w:tl2br w:val="nil"/>
              <w:tr2bl w:val="nil"/>
            </w:tcBorders>
            <w:vAlign w:val="center"/>
          </w:tcPr>
          <w:p w14:paraId="11961A5D">
            <w:pPr>
              <w:pStyle w:val="14"/>
              <w:bidi w:val="0"/>
              <w:jc w:val="center"/>
              <w:rPr>
                <w:rFonts w:hint="eastAsia"/>
                <w:b/>
                <w:bCs/>
                <w:lang w:val="en-US" w:eastAsia="zh-CN"/>
              </w:rPr>
            </w:pPr>
            <w:r>
              <w:rPr>
                <w:rFonts w:hint="eastAsia"/>
                <w:b/>
                <w:bCs/>
                <w:lang w:val="en-US" w:eastAsia="zh-CN"/>
              </w:rPr>
              <w:t>最大存储体积量</w:t>
            </w:r>
          </w:p>
        </w:tc>
        <w:tc>
          <w:tcPr>
            <w:tcW w:w="1088" w:type="dxa"/>
            <w:tcBorders>
              <w:tl2br w:val="nil"/>
              <w:tr2bl w:val="nil"/>
            </w:tcBorders>
            <w:vAlign w:val="center"/>
          </w:tcPr>
          <w:p w14:paraId="74E4BAF5">
            <w:pPr>
              <w:pStyle w:val="14"/>
              <w:bidi w:val="0"/>
              <w:jc w:val="center"/>
              <w:rPr>
                <w:rFonts w:hint="default"/>
                <w:b/>
                <w:bCs/>
                <w:lang w:val="en-US" w:eastAsia="zh-CN"/>
              </w:rPr>
            </w:pPr>
            <w:r>
              <w:rPr>
                <w:rFonts w:hint="eastAsia"/>
                <w:b/>
                <w:bCs/>
                <w:lang w:val="en-US" w:eastAsia="zh-CN"/>
              </w:rPr>
              <w:t>最大存储总量/t</w:t>
            </w:r>
          </w:p>
        </w:tc>
        <w:tc>
          <w:tcPr>
            <w:tcW w:w="1260" w:type="dxa"/>
            <w:tcBorders>
              <w:tl2br w:val="nil"/>
              <w:tr2bl w:val="nil"/>
            </w:tcBorders>
            <w:vAlign w:val="center"/>
          </w:tcPr>
          <w:p w14:paraId="0BE73370">
            <w:pPr>
              <w:pStyle w:val="14"/>
              <w:bidi w:val="0"/>
              <w:jc w:val="center"/>
              <w:rPr>
                <w:rFonts w:hint="eastAsia"/>
                <w:b/>
                <w:bCs/>
                <w:lang w:val="en-US" w:eastAsia="zh-CN"/>
              </w:rPr>
            </w:pPr>
            <w:r>
              <w:rPr>
                <w:rFonts w:hint="eastAsia"/>
                <w:b/>
                <w:bCs/>
                <w:lang w:val="en-US" w:eastAsia="zh-CN"/>
              </w:rPr>
              <w:t>折纯后最大存储量qn/t</w:t>
            </w:r>
          </w:p>
        </w:tc>
        <w:tc>
          <w:tcPr>
            <w:tcW w:w="850" w:type="dxa"/>
            <w:tcBorders>
              <w:tl2br w:val="nil"/>
              <w:tr2bl w:val="nil"/>
            </w:tcBorders>
            <w:vAlign w:val="center"/>
          </w:tcPr>
          <w:p w14:paraId="3A07E28C">
            <w:pPr>
              <w:pStyle w:val="14"/>
              <w:bidi w:val="0"/>
              <w:jc w:val="center"/>
              <w:rPr>
                <w:rFonts w:hint="eastAsia"/>
                <w:b/>
                <w:bCs/>
                <w:lang w:val="en-US" w:eastAsia="zh-CN"/>
              </w:rPr>
            </w:pPr>
            <w:r>
              <w:rPr>
                <w:rFonts w:hint="eastAsia"/>
                <w:b/>
                <w:bCs/>
                <w:lang w:val="en-US" w:eastAsia="zh-CN"/>
              </w:rPr>
              <w:t>临界量</w:t>
            </w:r>
          </w:p>
          <w:p w14:paraId="5A6B0459">
            <w:pPr>
              <w:pStyle w:val="14"/>
              <w:bidi w:val="0"/>
              <w:jc w:val="center"/>
              <w:rPr>
                <w:rFonts w:hint="eastAsia"/>
                <w:b/>
                <w:bCs/>
                <w:lang w:val="en-US" w:eastAsia="zh-CN"/>
              </w:rPr>
            </w:pPr>
            <w:r>
              <w:rPr>
                <w:rFonts w:hint="eastAsia"/>
                <w:b/>
                <w:bCs/>
                <w:lang w:val="en-US" w:eastAsia="zh-CN"/>
              </w:rPr>
              <w:t>Qn/t</w:t>
            </w:r>
          </w:p>
        </w:tc>
        <w:tc>
          <w:tcPr>
            <w:tcW w:w="1190" w:type="dxa"/>
            <w:tcBorders>
              <w:tl2br w:val="nil"/>
              <w:tr2bl w:val="nil"/>
            </w:tcBorders>
            <w:vAlign w:val="center"/>
          </w:tcPr>
          <w:p w14:paraId="4794AFBD">
            <w:pPr>
              <w:pStyle w:val="14"/>
              <w:bidi w:val="0"/>
              <w:jc w:val="center"/>
              <w:rPr>
                <w:rFonts w:hint="eastAsia"/>
                <w:b/>
                <w:bCs/>
                <w:lang w:val="en-US" w:eastAsia="zh-CN"/>
              </w:rPr>
            </w:pPr>
            <w:r>
              <w:rPr>
                <w:rFonts w:hint="eastAsia"/>
                <w:b/>
                <w:bCs/>
                <w:lang w:val="en-US" w:eastAsia="zh-CN"/>
              </w:rPr>
              <w:t>该种物质Q值</w:t>
            </w:r>
          </w:p>
        </w:tc>
      </w:tr>
      <w:tr w14:paraId="000C1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2DB4164E">
            <w:pPr>
              <w:pStyle w:val="14"/>
              <w:bidi w:val="0"/>
              <w:jc w:val="center"/>
              <w:rPr>
                <w:rFonts w:hint="eastAsia"/>
                <w:lang w:val="en-US" w:eastAsia="zh-CN"/>
              </w:rPr>
            </w:pPr>
            <w:r>
              <w:rPr>
                <w:rFonts w:hint="eastAsia"/>
                <w:lang w:val="en-US" w:eastAsia="zh-CN"/>
              </w:rPr>
              <w:t>1</w:t>
            </w:r>
          </w:p>
        </w:tc>
        <w:tc>
          <w:tcPr>
            <w:tcW w:w="1383" w:type="dxa"/>
            <w:tcBorders>
              <w:tl2br w:val="nil"/>
              <w:tr2bl w:val="nil"/>
            </w:tcBorders>
            <w:shd w:val="clear" w:color="auto" w:fill="auto"/>
            <w:vAlign w:val="center"/>
          </w:tcPr>
          <w:p w14:paraId="44E9ED01">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液氨</w:t>
            </w:r>
          </w:p>
        </w:tc>
        <w:tc>
          <w:tcPr>
            <w:tcW w:w="1184" w:type="dxa"/>
            <w:tcBorders>
              <w:tl2br w:val="nil"/>
              <w:tr2bl w:val="nil"/>
            </w:tcBorders>
            <w:shd w:val="clear" w:color="auto" w:fill="auto"/>
            <w:vAlign w:val="center"/>
          </w:tcPr>
          <w:p w14:paraId="00B79F2E">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7664-41-7</w:t>
            </w:r>
          </w:p>
        </w:tc>
        <w:tc>
          <w:tcPr>
            <w:tcW w:w="1150" w:type="dxa"/>
            <w:tcBorders>
              <w:tl2br w:val="nil"/>
              <w:tr2bl w:val="nil"/>
            </w:tcBorders>
            <w:vAlign w:val="center"/>
          </w:tcPr>
          <w:p w14:paraId="5A243684">
            <w:pPr>
              <w:pStyle w:val="14"/>
              <w:bidi w:val="0"/>
              <w:jc w:val="center"/>
              <w:rPr>
                <w:rFonts w:hint="eastAsia"/>
                <w:lang w:val="en-US" w:eastAsia="zh-CN"/>
              </w:rPr>
            </w:pPr>
            <w:r>
              <w:rPr>
                <w:rFonts w:hint="eastAsia" w:ascii="Times New Roman" w:hAnsi="Times New Roman" w:eastAsia="宋体" w:cs="Times New Roman"/>
                <w:kern w:val="0"/>
                <w:sz w:val="21"/>
                <w:szCs w:val="20"/>
                <w:lang w:val="en-US" w:eastAsia="zh-CN" w:bidi="ar-SA"/>
              </w:rPr>
              <w:t>3100m</w:t>
            </w:r>
            <w:r>
              <w:rPr>
                <w:rFonts w:hint="eastAsia" w:ascii="Times New Roman" w:hAnsi="Times New Roman" w:eastAsia="宋体" w:cs="Times New Roman"/>
                <w:kern w:val="0"/>
                <w:sz w:val="21"/>
                <w:szCs w:val="20"/>
                <w:vertAlign w:val="superscript"/>
                <w:lang w:val="en-US" w:eastAsia="zh-CN" w:bidi="ar-SA"/>
              </w:rPr>
              <w:t>3</w:t>
            </w:r>
          </w:p>
        </w:tc>
        <w:tc>
          <w:tcPr>
            <w:tcW w:w="1088" w:type="dxa"/>
            <w:tcBorders>
              <w:tl2br w:val="nil"/>
              <w:tr2bl w:val="nil"/>
            </w:tcBorders>
            <w:vAlign w:val="center"/>
          </w:tcPr>
          <w:p w14:paraId="5F74931B">
            <w:pPr>
              <w:pStyle w:val="14"/>
              <w:bidi w:val="0"/>
              <w:jc w:val="center"/>
              <w:rPr>
                <w:rFonts w:hint="eastAsia"/>
                <w:lang w:val="en-US" w:eastAsia="zh-CN"/>
              </w:rPr>
            </w:pPr>
            <w:r>
              <w:rPr>
                <w:rFonts w:hint="eastAsia"/>
                <w:lang w:val="en-US" w:eastAsia="zh-CN"/>
              </w:rPr>
              <w:t>1866.2</w:t>
            </w:r>
          </w:p>
        </w:tc>
        <w:tc>
          <w:tcPr>
            <w:tcW w:w="1260" w:type="dxa"/>
            <w:tcBorders>
              <w:tl2br w:val="nil"/>
              <w:tr2bl w:val="nil"/>
            </w:tcBorders>
            <w:vAlign w:val="center"/>
          </w:tcPr>
          <w:p w14:paraId="05E79B31">
            <w:pPr>
              <w:pStyle w:val="14"/>
              <w:bidi w:val="0"/>
              <w:jc w:val="center"/>
              <w:rPr>
                <w:rFonts w:hint="eastAsia"/>
                <w:lang w:val="en-US" w:eastAsia="zh-CN"/>
              </w:rPr>
            </w:pPr>
            <w:r>
              <w:rPr>
                <w:rFonts w:hint="eastAsia"/>
                <w:lang w:val="en-US" w:eastAsia="zh-CN"/>
              </w:rPr>
              <w:t>1866.2</w:t>
            </w:r>
          </w:p>
        </w:tc>
        <w:tc>
          <w:tcPr>
            <w:tcW w:w="850" w:type="dxa"/>
            <w:tcBorders>
              <w:tl2br w:val="nil"/>
              <w:tr2bl w:val="nil"/>
            </w:tcBorders>
            <w:vAlign w:val="center"/>
          </w:tcPr>
          <w:p w14:paraId="1C75511B">
            <w:pPr>
              <w:pStyle w:val="14"/>
              <w:bidi w:val="0"/>
              <w:jc w:val="center"/>
              <w:rPr>
                <w:rFonts w:hint="eastAsia"/>
                <w:lang w:val="en-US" w:eastAsia="zh-CN"/>
              </w:rPr>
            </w:pPr>
            <w:r>
              <w:rPr>
                <w:rFonts w:hint="eastAsia"/>
                <w:lang w:val="en-US" w:eastAsia="zh-CN"/>
              </w:rPr>
              <w:t>10</w:t>
            </w:r>
          </w:p>
        </w:tc>
        <w:tc>
          <w:tcPr>
            <w:tcW w:w="1190" w:type="dxa"/>
            <w:tcBorders>
              <w:tl2br w:val="nil"/>
              <w:tr2bl w:val="nil"/>
            </w:tcBorders>
            <w:vAlign w:val="center"/>
          </w:tcPr>
          <w:p w14:paraId="0C912065">
            <w:pPr>
              <w:pStyle w:val="14"/>
              <w:bidi w:val="0"/>
              <w:jc w:val="center"/>
              <w:rPr>
                <w:rFonts w:hint="default"/>
                <w:lang w:val="en-US" w:eastAsia="zh-CN"/>
              </w:rPr>
            </w:pPr>
            <w:r>
              <w:rPr>
                <w:rFonts w:hint="eastAsia"/>
                <w:lang w:val="en-US" w:eastAsia="zh-CN"/>
              </w:rPr>
              <w:t>186.62</w:t>
            </w:r>
          </w:p>
        </w:tc>
      </w:tr>
      <w:tr w14:paraId="4019C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102531E6">
            <w:pPr>
              <w:pStyle w:val="14"/>
              <w:bidi w:val="0"/>
              <w:jc w:val="center"/>
              <w:rPr>
                <w:rFonts w:hint="eastAsia"/>
                <w:lang w:val="en-US" w:eastAsia="zh-CN"/>
              </w:rPr>
            </w:pPr>
            <w:r>
              <w:rPr>
                <w:rFonts w:hint="eastAsia"/>
                <w:lang w:val="en-US" w:eastAsia="zh-CN"/>
              </w:rPr>
              <w:t>2</w:t>
            </w:r>
          </w:p>
        </w:tc>
        <w:tc>
          <w:tcPr>
            <w:tcW w:w="1383" w:type="dxa"/>
            <w:tcBorders>
              <w:tl2br w:val="nil"/>
              <w:tr2bl w:val="nil"/>
            </w:tcBorders>
            <w:vAlign w:val="center"/>
          </w:tcPr>
          <w:p w14:paraId="1E3DBCB2">
            <w:pPr>
              <w:pStyle w:val="14"/>
              <w:bidi w:val="0"/>
              <w:jc w:val="center"/>
              <w:rPr>
                <w:rFonts w:hint="eastAsia"/>
                <w:lang w:val="en-US" w:eastAsia="zh-CN"/>
              </w:rPr>
            </w:pPr>
            <w:r>
              <w:rPr>
                <w:rFonts w:hint="eastAsia"/>
                <w:lang w:val="en-US" w:eastAsia="zh-CN"/>
              </w:rPr>
              <w:t>氨水（25%）</w:t>
            </w:r>
          </w:p>
        </w:tc>
        <w:tc>
          <w:tcPr>
            <w:tcW w:w="1184" w:type="dxa"/>
            <w:tcBorders>
              <w:tl2br w:val="nil"/>
              <w:tr2bl w:val="nil"/>
            </w:tcBorders>
            <w:vAlign w:val="center"/>
          </w:tcPr>
          <w:p w14:paraId="756ABC29">
            <w:pPr>
              <w:pStyle w:val="14"/>
              <w:bidi w:val="0"/>
              <w:jc w:val="center"/>
              <w:rPr>
                <w:rFonts w:hint="eastAsia"/>
                <w:lang w:val="en-US" w:eastAsia="zh-CN"/>
              </w:rPr>
            </w:pPr>
            <w:r>
              <w:rPr>
                <w:rFonts w:hint="eastAsia"/>
                <w:lang w:val="en-US" w:eastAsia="zh-CN"/>
              </w:rPr>
              <w:t>1336-21-6</w:t>
            </w:r>
          </w:p>
        </w:tc>
        <w:tc>
          <w:tcPr>
            <w:tcW w:w="1150" w:type="dxa"/>
            <w:tcBorders>
              <w:tl2br w:val="nil"/>
              <w:tr2bl w:val="nil"/>
            </w:tcBorders>
            <w:vAlign w:val="center"/>
          </w:tcPr>
          <w:p w14:paraId="6AF7D7D2">
            <w:pPr>
              <w:pStyle w:val="14"/>
              <w:bidi w:val="0"/>
              <w:jc w:val="center"/>
              <w:rPr>
                <w:rFonts w:hint="eastAsia"/>
                <w:lang w:val="en-US" w:eastAsia="zh-CN"/>
              </w:rPr>
            </w:pPr>
            <w:r>
              <w:rPr>
                <w:rFonts w:hint="eastAsia"/>
                <w:lang w:val="en-US" w:eastAsia="zh-CN"/>
              </w:rPr>
              <w:t>3845m</w:t>
            </w:r>
            <w:r>
              <w:rPr>
                <w:rFonts w:hint="eastAsia"/>
                <w:vertAlign w:val="superscript"/>
                <w:lang w:val="en-US" w:eastAsia="zh-CN"/>
              </w:rPr>
              <w:t>3</w:t>
            </w:r>
          </w:p>
        </w:tc>
        <w:tc>
          <w:tcPr>
            <w:tcW w:w="1088" w:type="dxa"/>
            <w:tcBorders>
              <w:tl2br w:val="nil"/>
              <w:tr2bl w:val="nil"/>
            </w:tcBorders>
            <w:vAlign w:val="center"/>
          </w:tcPr>
          <w:p w14:paraId="6AD6F90F">
            <w:pPr>
              <w:pStyle w:val="14"/>
              <w:bidi w:val="0"/>
              <w:jc w:val="center"/>
              <w:rPr>
                <w:rFonts w:hint="eastAsia"/>
                <w:lang w:val="en-US" w:eastAsia="zh-CN"/>
              </w:rPr>
            </w:pPr>
            <w:r>
              <w:rPr>
                <w:rFonts w:hint="eastAsia"/>
                <w:lang w:val="en-US" w:eastAsia="zh-CN"/>
              </w:rPr>
              <w:t>3.499</w:t>
            </w:r>
          </w:p>
        </w:tc>
        <w:tc>
          <w:tcPr>
            <w:tcW w:w="1260" w:type="dxa"/>
            <w:tcBorders>
              <w:tl2br w:val="nil"/>
              <w:tr2bl w:val="nil"/>
            </w:tcBorders>
            <w:vAlign w:val="center"/>
          </w:tcPr>
          <w:p w14:paraId="6F8E975E">
            <w:pPr>
              <w:pStyle w:val="14"/>
              <w:bidi w:val="0"/>
              <w:jc w:val="center"/>
              <w:rPr>
                <w:rFonts w:hint="default"/>
                <w:lang w:val="en-US" w:eastAsia="zh-CN"/>
              </w:rPr>
            </w:pPr>
            <w:r>
              <w:rPr>
                <w:rFonts w:hint="eastAsia"/>
                <w:lang w:val="en-US" w:eastAsia="zh-CN"/>
              </w:rPr>
              <w:t>0.875</w:t>
            </w:r>
          </w:p>
        </w:tc>
        <w:tc>
          <w:tcPr>
            <w:tcW w:w="850" w:type="dxa"/>
            <w:tcBorders>
              <w:tl2br w:val="nil"/>
              <w:tr2bl w:val="nil"/>
            </w:tcBorders>
            <w:vAlign w:val="center"/>
          </w:tcPr>
          <w:p w14:paraId="548FF973">
            <w:pPr>
              <w:pStyle w:val="14"/>
              <w:bidi w:val="0"/>
              <w:jc w:val="center"/>
              <w:rPr>
                <w:rFonts w:hint="eastAsia"/>
                <w:lang w:val="en-US" w:eastAsia="zh-CN"/>
              </w:rPr>
            </w:pPr>
            <w:r>
              <w:rPr>
                <w:rFonts w:hint="eastAsia"/>
                <w:lang w:val="en-US" w:eastAsia="zh-CN"/>
              </w:rPr>
              <w:t>5</w:t>
            </w:r>
          </w:p>
        </w:tc>
        <w:tc>
          <w:tcPr>
            <w:tcW w:w="1190" w:type="dxa"/>
            <w:tcBorders>
              <w:tl2br w:val="nil"/>
              <w:tr2bl w:val="nil"/>
            </w:tcBorders>
            <w:vAlign w:val="center"/>
          </w:tcPr>
          <w:p w14:paraId="3D42923E">
            <w:pPr>
              <w:pStyle w:val="14"/>
              <w:bidi w:val="0"/>
              <w:jc w:val="center"/>
              <w:rPr>
                <w:rFonts w:hint="default"/>
                <w:lang w:val="en-US" w:eastAsia="zh-CN"/>
              </w:rPr>
            </w:pPr>
            <w:r>
              <w:rPr>
                <w:rFonts w:hint="eastAsia"/>
                <w:lang w:val="en-US" w:eastAsia="zh-CN"/>
              </w:rPr>
              <w:t>0.175</w:t>
            </w:r>
          </w:p>
        </w:tc>
      </w:tr>
      <w:tr w14:paraId="23585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7188DDEA">
            <w:pPr>
              <w:pStyle w:val="14"/>
              <w:bidi w:val="0"/>
              <w:jc w:val="center"/>
              <w:rPr>
                <w:rFonts w:hint="eastAsia"/>
                <w:lang w:val="en-US" w:eastAsia="zh-CN"/>
              </w:rPr>
            </w:pPr>
            <w:r>
              <w:rPr>
                <w:rFonts w:hint="eastAsia"/>
                <w:lang w:val="en-US" w:eastAsia="zh-CN"/>
              </w:rPr>
              <w:t>3</w:t>
            </w:r>
          </w:p>
        </w:tc>
        <w:tc>
          <w:tcPr>
            <w:tcW w:w="1383" w:type="dxa"/>
            <w:tcBorders>
              <w:tl2br w:val="nil"/>
              <w:tr2bl w:val="nil"/>
            </w:tcBorders>
            <w:vAlign w:val="center"/>
          </w:tcPr>
          <w:p w14:paraId="39A19DBF">
            <w:pPr>
              <w:pStyle w:val="14"/>
              <w:bidi w:val="0"/>
              <w:jc w:val="center"/>
              <w:rPr>
                <w:rFonts w:hint="eastAsia"/>
                <w:lang w:val="en-US" w:eastAsia="zh-CN"/>
              </w:rPr>
            </w:pPr>
            <w:r>
              <w:rPr>
                <w:rFonts w:hint="eastAsia"/>
                <w:lang w:val="en-US" w:eastAsia="zh-CN"/>
              </w:rPr>
              <w:t>废机油</w:t>
            </w:r>
          </w:p>
        </w:tc>
        <w:tc>
          <w:tcPr>
            <w:tcW w:w="1184" w:type="dxa"/>
            <w:tcBorders>
              <w:tl2br w:val="nil"/>
              <w:tr2bl w:val="nil"/>
            </w:tcBorders>
            <w:vAlign w:val="center"/>
          </w:tcPr>
          <w:p w14:paraId="6E416C93">
            <w:pPr>
              <w:pStyle w:val="14"/>
              <w:bidi w:val="0"/>
              <w:jc w:val="center"/>
              <w:rPr>
                <w:rFonts w:hint="eastAsia"/>
                <w:lang w:val="en-US" w:eastAsia="zh-CN"/>
              </w:rPr>
            </w:pPr>
            <w:r>
              <w:rPr>
                <w:rFonts w:hint="eastAsia"/>
                <w:lang w:val="en-US" w:eastAsia="zh-CN"/>
              </w:rPr>
              <w:t>/</w:t>
            </w:r>
          </w:p>
        </w:tc>
        <w:tc>
          <w:tcPr>
            <w:tcW w:w="1150" w:type="dxa"/>
            <w:tcBorders>
              <w:tl2br w:val="nil"/>
              <w:tr2bl w:val="nil"/>
            </w:tcBorders>
            <w:vAlign w:val="center"/>
          </w:tcPr>
          <w:p w14:paraId="23DA4746">
            <w:pPr>
              <w:pStyle w:val="14"/>
              <w:bidi w:val="0"/>
              <w:jc w:val="center"/>
              <w:rPr>
                <w:rFonts w:hint="eastAsia"/>
                <w:lang w:val="en-US" w:eastAsia="zh-CN"/>
              </w:rPr>
            </w:pPr>
            <w:r>
              <w:rPr>
                <w:rFonts w:hint="eastAsia"/>
                <w:lang w:val="en-US" w:eastAsia="zh-CN"/>
              </w:rPr>
              <w:t>/</w:t>
            </w:r>
          </w:p>
        </w:tc>
        <w:tc>
          <w:tcPr>
            <w:tcW w:w="1088" w:type="dxa"/>
            <w:tcBorders>
              <w:tl2br w:val="nil"/>
              <w:tr2bl w:val="nil"/>
            </w:tcBorders>
            <w:vAlign w:val="center"/>
          </w:tcPr>
          <w:p w14:paraId="6C614641">
            <w:pPr>
              <w:pStyle w:val="14"/>
              <w:bidi w:val="0"/>
              <w:jc w:val="center"/>
              <w:rPr>
                <w:rFonts w:hint="eastAsia"/>
                <w:lang w:val="en-US" w:eastAsia="zh-CN"/>
              </w:rPr>
            </w:pPr>
            <w:r>
              <w:rPr>
                <w:rFonts w:hint="eastAsia"/>
                <w:lang w:val="en-US" w:eastAsia="zh-CN"/>
              </w:rPr>
              <w:t>0.1</w:t>
            </w:r>
          </w:p>
        </w:tc>
        <w:tc>
          <w:tcPr>
            <w:tcW w:w="1260" w:type="dxa"/>
            <w:tcBorders>
              <w:tl2br w:val="nil"/>
              <w:tr2bl w:val="nil"/>
            </w:tcBorders>
            <w:vAlign w:val="center"/>
          </w:tcPr>
          <w:p w14:paraId="799487AC">
            <w:pPr>
              <w:pStyle w:val="14"/>
              <w:bidi w:val="0"/>
              <w:jc w:val="center"/>
              <w:rPr>
                <w:rFonts w:hint="eastAsia"/>
                <w:lang w:val="en-US" w:eastAsia="zh-CN"/>
              </w:rPr>
            </w:pPr>
            <w:r>
              <w:rPr>
                <w:rFonts w:hint="eastAsia"/>
                <w:lang w:val="en-US" w:eastAsia="zh-CN"/>
              </w:rPr>
              <w:t>0.1</w:t>
            </w:r>
          </w:p>
        </w:tc>
        <w:tc>
          <w:tcPr>
            <w:tcW w:w="850" w:type="dxa"/>
            <w:tcBorders>
              <w:tl2br w:val="nil"/>
              <w:tr2bl w:val="nil"/>
            </w:tcBorders>
            <w:vAlign w:val="center"/>
          </w:tcPr>
          <w:p w14:paraId="2BC29853">
            <w:pPr>
              <w:pStyle w:val="14"/>
              <w:bidi w:val="0"/>
              <w:jc w:val="center"/>
              <w:rPr>
                <w:rFonts w:hint="eastAsia"/>
                <w:lang w:val="en-US" w:eastAsia="zh-CN"/>
              </w:rPr>
            </w:pPr>
            <w:r>
              <w:rPr>
                <w:rFonts w:hint="eastAsia"/>
                <w:lang w:val="en-US" w:eastAsia="zh-CN"/>
              </w:rPr>
              <w:t>2500</w:t>
            </w:r>
          </w:p>
        </w:tc>
        <w:tc>
          <w:tcPr>
            <w:tcW w:w="1190" w:type="dxa"/>
            <w:tcBorders>
              <w:tl2br w:val="nil"/>
              <w:tr2bl w:val="nil"/>
            </w:tcBorders>
            <w:vAlign w:val="center"/>
          </w:tcPr>
          <w:p w14:paraId="60A5910F">
            <w:pPr>
              <w:pStyle w:val="14"/>
              <w:bidi w:val="0"/>
              <w:jc w:val="center"/>
              <w:rPr>
                <w:rFonts w:hint="default"/>
                <w:lang w:val="en-US" w:eastAsia="zh-CN"/>
              </w:rPr>
            </w:pPr>
            <w:r>
              <w:rPr>
                <w:rFonts w:hint="eastAsia"/>
                <w:lang w:val="en-US" w:eastAsia="zh-CN"/>
              </w:rPr>
              <w:t>0.00004</w:t>
            </w:r>
          </w:p>
        </w:tc>
      </w:tr>
      <w:tr w14:paraId="7EF0AE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83" w:type="dxa"/>
            <w:tcBorders>
              <w:tl2br w:val="nil"/>
              <w:tr2bl w:val="nil"/>
            </w:tcBorders>
            <w:vAlign w:val="center"/>
          </w:tcPr>
          <w:p w14:paraId="35B3E215">
            <w:pPr>
              <w:pStyle w:val="14"/>
              <w:bidi w:val="0"/>
              <w:jc w:val="center"/>
              <w:rPr>
                <w:rFonts w:hint="default"/>
                <w:lang w:val="en-US" w:eastAsia="zh-CN"/>
              </w:rPr>
            </w:pPr>
            <w:r>
              <w:rPr>
                <w:rFonts w:hint="eastAsia"/>
                <w:lang w:val="en-US" w:eastAsia="zh-CN"/>
              </w:rPr>
              <w:t>4</w:t>
            </w:r>
          </w:p>
        </w:tc>
        <w:tc>
          <w:tcPr>
            <w:tcW w:w="1383" w:type="dxa"/>
            <w:tcBorders>
              <w:tl2br w:val="nil"/>
              <w:tr2bl w:val="nil"/>
            </w:tcBorders>
            <w:vAlign w:val="center"/>
          </w:tcPr>
          <w:p w14:paraId="3A48B008">
            <w:pPr>
              <w:pStyle w:val="14"/>
              <w:bidi w:val="0"/>
              <w:jc w:val="center"/>
              <w:rPr>
                <w:rFonts w:hint="eastAsia"/>
                <w:lang w:val="en-US" w:eastAsia="zh-CN"/>
              </w:rPr>
            </w:pPr>
            <w:r>
              <w:rPr>
                <w:rFonts w:hint="eastAsia"/>
                <w:lang w:val="en-US" w:eastAsia="zh-CN"/>
              </w:rPr>
              <w:t>柴油</w:t>
            </w:r>
          </w:p>
        </w:tc>
        <w:tc>
          <w:tcPr>
            <w:tcW w:w="1184" w:type="dxa"/>
            <w:tcBorders>
              <w:tl2br w:val="nil"/>
              <w:tr2bl w:val="nil"/>
            </w:tcBorders>
            <w:vAlign w:val="center"/>
          </w:tcPr>
          <w:p w14:paraId="4C4E9353">
            <w:pPr>
              <w:pStyle w:val="14"/>
              <w:bidi w:val="0"/>
              <w:jc w:val="center"/>
              <w:rPr>
                <w:rFonts w:hint="eastAsia"/>
                <w:lang w:val="en-US" w:eastAsia="zh-CN"/>
              </w:rPr>
            </w:pPr>
            <w:r>
              <w:rPr>
                <w:rFonts w:hint="eastAsia"/>
                <w:lang w:val="en-US" w:eastAsia="zh-CN"/>
              </w:rPr>
              <w:t>68334-30-5</w:t>
            </w:r>
          </w:p>
        </w:tc>
        <w:tc>
          <w:tcPr>
            <w:tcW w:w="1150" w:type="dxa"/>
            <w:tcBorders>
              <w:tl2br w:val="nil"/>
              <w:tr2bl w:val="nil"/>
            </w:tcBorders>
            <w:vAlign w:val="center"/>
          </w:tcPr>
          <w:p w14:paraId="522A5920">
            <w:pPr>
              <w:pStyle w:val="14"/>
              <w:bidi w:val="0"/>
              <w:jc w:val="center"/>
              <w:rPr>
                <w:rFonts w:hint="default"/>
                <w:lang w:val="en-US" w:eastAsia="zh-CN"/>
              </w:rPr>
            </w:pPr>
            <w:r>
              <w:rPr>
                <w:rFonts w:hint="eastAsia"/>
                <w:lang w:val="en-US" w:eastAsia="zh-CN"/>
              </w:rPr>
              <w:t>1m</w:t>
            </w:r>
            <w:r>
              <w:rPr>
                <w:rFonts w:hint="eastAsia"/>
                <w:vertAlign w:val="superscript"/>
                <w:lang w:val="en-US" w:eastAsia="zh-CN"/>
              </w:rPr>
              <w:t>3</w:t>
            </w:r>
          </w:p>
        </w:tc>
        <w:tc>
          <w:tcPr>
            <w:tcW w:w="1088" w:type="dxa"/>
            <w:tcBorders>
              <w:tl2br w:val="nil"/>
              <w:tr2bl w:val="nil"/>
            </w:tcBorders>
            <w:vAlign w:val="center"/>
          </w:tcPr>
          <w:p w14:paraId="7912F227">
            <w:pPr>
              <w:pStyle w:val="14"/>
              <w:bidi w:val="0"/>
              <w:jc w:val="center"/>
              <w:rPr>
                <w:rFonts w:hint="default"/>
                <w:lang w:val="en-US" w:eastAsia="zh-CN"/>
              </w:rPr>
            </w:pPr>
            <w:r>
              <w:rPr>
                <w:rFonts w:hint="eastAsia"/>
                <w:lang w:val="en-US" w:eastAsia="zh-CN"/>
              </w:rPr>
              <w:t>0.84</w:t>
            </w:r>
          </w:p>
        </w:tc>
        <w:tc>
          <w:tcPr>
            <w:tcW w:w="1260" w:type="dxa"/>
            <w:tcBorders>
              <w:tl2br w:val="nil"/>
              <w:tr2bl w:val="nil"/>
            </w:tcBorders>
            <w:vAlign w:val="center"/>
          </w:tcPr>
          <w:p w14:paraId="64C2443F">
            <w:pPr>
              <w:pStyle w:val="14"/>
              <w:bidi w:val="0"/>
              <w:jc w:val="center"/>
              <w:rPr>
                <w:rFonts w:hint="default"/>
                <w:lang w:val="en-US" w:eastAsia="zh-CN"/>
              </w:rPr>
            </w:pPr>
            <w:r>
              <w:rPr>
                <w:rFonts w:hint="eastAsia"/>
                <w:lang w:val="en-US" w:eastAsia="zh-CN"/>
              </w:rPr>
              <w:t>0.84</w:t>
            </w:r>
          </w:p>
        </w:tc>
        <w:tc>
          <w:tcPr>
            <w:tcW w:w="850" w:type="dxa"/>
            <w:tcBorders>
              <w:tl2br w:val="nil"/>
              <w:tr2bl w:val="nil"/>
            </w:tcBorders>
            <w:vAlign w:val="center"/>
          </w:tcPr>
          <w:p w14:paraId="668D7E4F">
            <w:pPr>
              <w:pStyle w:val="14"/>
              <w:bidi w:val="0"/>
              <w:jc w:val="center"/>
              <w:rPr>
                <w:rFonts w:hint="default"/>
                <w:lang w:val="en-US" w:eastAsia="zh-CN"/>
              </w:rPr>
            </w:pPr>
            <w:r>
              <w:rPr>
                <w:rFonts w:hint="eastAsia"/>
                <w:lang w:val="en-US" w:eastAsia="zh-CN"/>
              </w:rPr>
              <w:t>2500</w:t>
            </w:r>
          </w:p>
        </w:tc>
        <w:tc>
          <w:tcPr>
            <w:tcW w:w="1190" w:type="dxa"/>
            <w:tcBorders>
              <w:tl2br w:val="nil"/>
              <w:tr2bl w:val="nil"/>
            </w:tcBorders>
            <w:vAlign w:val="center"/>
          </w:tcPr>
          <w:p w14:paraId="16F4A595">
            <w:pPr>
              <w:pStyle w:val="14"/>
              <w:bidi w:val="0"/>
              <w:jc w:val="center"/>
              <w:rPr>
                <w:rFonts w:hint="default"/>
                <w:lang w:val="en-US" w:eastAsia="zh-CN"/>
              </w:rPr>
            </w:pPr>
            <w:r>
              <w:rPr>
                <w:rFonts w:hint="eastAsia"/>
                <w:lang w:val="en-US" w:eastAsia="zh-CN"/>
              </w:rPr>
              <w:t>0.00034</w:t>
            </w:r>
          </w:p>
        </w:tc>
      </w:tr>
      <w:tr w14:paraId="456908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498" w:type="dxa"/>
            <w:gridSpan w:val="7"/>
            <w:tcBorders>
              <w:tl2br w:val="nil"/>
              <w:tr2bl w:val="nil"/>
            </w:tcBorders>
            <w:vAlign w:val="center"/>
          </w:tcPr>
          <w:p w14:paraId="22D1D4FF">
            <w:pPr>
              <w:pStyle w:val="14"/>
              <w:bidi w:val="0"/>
              <w:jc w:val="center"/>
              <w:rPr>
                <w:rFonts w:hint="eastAsia"/>
                <w:lang w:val="en-US" w:eastAsia="zh-CN"/>
              </w:rPr>
            </w:pPr>
            <w:r>
              <w:rPr>
                <w:rFonts w:hint="eastAsia"/>
                <w:lang w:val="en-US" w:eastAsia="zh-CN"/>
              </w:rPr>
              <w:t>合计Q值</w:t>
            </w:r>
          </w:p>
        </w:tc>
        <w:tc>
          <w:tcPr>
            <w:tcW w:w="1190" w:type="dxa"/>
            <w:tcBorders>
              <w:tl2br w:val="nil"/>
              <w:tr2bl w:val="nil"/>
            </w:tcBorders>
            <w:vAlign w:val="center"/>
          </w:tcPr>
          <w:p w14:paraId="7CAFBDDB">
            <w:pPr>
              <w:pStyle w:val="14"/>
              <w:bidi w:val="0"/>
              <w:jc w:val="center"/>
              <w:rPr>
                <w:rFonts w:hint="default"/>
                <w:lang w:val="en-US" w:eastAsia="zh-CN"/>
              </w:rPr>
            </w:pPr>
            <w:r>
              <w:rPr>
                <w:rFonts w:hint="eastAsia"/>
                <w:lang w:val="en-US" w:eastAsia="zh-CN"/>
              </w:rPr>
              <w:t>186.79538</w:t>
            </w:r>
          </w:p>
        </w:tc>
      </w:tr>
    </w:tbl>
    <w:p w14:paraId="345DD699">
      <w:pPr>
        <w:autoSpaceDE w:val="0"/>
        <w:autoSpaceDN w:val="0"/>
        <w:adjustRightInd w:val="0"/>
        <w:snapToGrid w:val="0"/>
        <w:spacing w:line="240" w:lineRule="auto"/>
        <w:jc w:val="center"/>
        <w:textAlignment w:val="baseline"/>
        <w:rPr>
          <w:rFonts w:cs="Times New Roman"/>
          <w:b/>
          <w:kern w:val="24"/>
          <w:szCs w:val="20"/>
        </w:rPr>
      </w:pPr>
    </w:p>
    <w:p w14:paraId="1DA2A28E">
      <w:pPr>
        <w:adjustRightInd w:val="0"/>
        <w:snapToGrid w:val="0"/>
        <w:ind w:firstLine="480" w:firstLineChars="200"/>
        <w:rPr>
          <w:rFonts w:cs="Times New Roman"/>
        </w:rPr>
      </w:pPr>
      <w:r>
        <w:rPr>
          <w:rFonts w:hint="eastAsia" w:cs="Times New Roman"/>
        </w:rPr>
        <w:t>其他化学物质通过对比（HJ169-2018）附录B及GB30000.18，均不属于重点关注的危险物质及有毒有害物质。</w:t>
      </w:r>
    </w:p>
    <w:p w14:paraId="45F83E35">
      <w:pPr>
        <w:adjustRightInd w:val="0"/>
        <w:snapToGrid w:val="0"/>
        <w:ind w:firstLine="480" w:firstLineChars="200"/>
        <w:rPr>
          <w:rFonts w:cs="Times New Roman"/>
        </w:rPr>
      </w:pPr>
      <w:r>
        <w:rPr>
          <w:rFonts w:hint="eastAsia" w:cs="Times New Roman"/>
        </w:rPr>
        <w:t>根据《建设项目环境风险评价技术导则》（HJ169-2018）。单元内存在的危险化学品为多品种时，则按式（1）计算，若满足式（1），则定为重大危险源：</w:t>
      </w:r>
    </w:p>
    <w:p w14:paraId="31AB5A9E">
      <w:pPr>
        <w:adjustRightInd w:val="0"/>
        <w:snapToGrid w:val="0"/>
        <w:ind w:firstLine="562" w:firstLineChars="200"/>
        <w:jc w:val="center"/>
        <w:rPr>
          <w:rFonts w:cs="Times New Roman"/>
          <w:b/>
          <w:bCs/>
          <w:sz w:val="28"/>
          <w:szCs w:val="28"/>
        </w:rPr>
      </w:pPr>
      <w:r>
        <w:rPr>
          <w:rFonts w:hint="eastAsia" w:cs="Times New Roman"/>
          <w:b/>
          <w:bCs/>
          <w:sz w:val="28"/>
          <w:szCs w:val="28"/>
        </w:rPr>
        <w:t>Q=q</w:t>
      </w:r>
      <w:r>
        <w:rPr>
          <w:rFonts w:hint="eastAsia" w:cs="Times New Roman"/>
          <w:b/>
          <w:bCs/>
          <w:sz w:val="28"/>
          <w:szCs w:val="28"/>
          <w:vertAlign w:val="subscript"/>
        </w:rPr>
        <w:t>1</w:t>
      </w:r>
      <w:r>
        <w:rPr>
          <w:rFonts w:hint="eastAsia" w:cs="Times New Roman"/>
          <w:b/>
          <w:bCs/>
          <w:sz w:val="28"/>
          <w:szCs w:val="28"/>
        </w:rPr>
        <w:t>/Q</w:t>
      </w:r>
      <w:r>
        <w:rPr>
          <w:rFonts w:hint="eastAsia" w:cs="Times New Roman"/>
          <w:b/>
          <w:bCs/>
          <w:sz w:val="28"/>
          <w:szCs w:val="28"/>
          <w:vertAlign w:val="subscript"/>
        </w:rPr>
        <w:t>1</w:t>
      </w:r>
      <w:r>
        <w:rPr>
          <w:rFonts w:hint="eastAsia" w:cs="Times New Roman"/>
          <w:b/>
          <w:bCs/>
          <w:sz w:val="28"/>
          <w:szCs w:val="28"/>
        </w:rPr>
        <w:t>+q</w:t>
      </w:r>
      <w:r>
        <w:rPr>
          <w:rFonts w:hint="eastAsia" w:cs="Times New Roman"/>
          <w:b/>
          <w:bCs/>
          <w:sz w:val="28"/>
          <w:szCs w:val="28"/>
          <w:vertAlign w:val="subscript"/>
        </w:rPr>
        <w:t>2</w:t>
      </w:r>
      <w:r>
        <w:rPr>
          <w:rFonts w:hint="eastAsia" w:cs="Times New Roman"/>
          <w:b/>
          <w:bCs/>
          <w:sz w:val="28"/>
          <w:szCs w:val="28"/>
        </w:rPr>
        <w:t>/Q</w:t>
      </w:r>
      <w:r>
        <w:rPr>
          <w:rFonts w:hint="eastAsia" w:cs="Times New Roman"/>
          <w:b/>
          <w:bCs/>
          <w:sz w:val="28"/>
          <w:szCs w:val="28"/>
          <w:vertAlign w:val="subscript"/>
        </w:rPr>
        <w:t>2</w:t>
      </w:r>
      <w:r>
        <w:rPr>
          <w:rFonts w:hint="eastAsia" w:cs="Times New Roman"/>
          <w:b/>
          <w:bCs/>
          <w:sz w:val="28"/>
          <w:szCs w:val="28"/>
        </w:rPr>
        <w:t>+…+q</w:t>
      </w:r>
      <w:r>
        <w:rPr>
          <w:rFonts w:hint="eastAsia" w:cs="Times New Roman"/>
          <w:b/>
          <w:bCs/>
          <w:sz w:val="28"/>
          <w:szCs w:val="28"/>
          <w:vertAlign w:val="subscript"/>
        </w:rPr>
        <w:t>n</w:t>
      </w:r>
      <w:r>
        <w:rPr>
          <w:rFonts w:hint="eastAsia" w:cs="Times New Roman"/>
          <w:b/>
          <w:bCs/>
          <w:sz w:val="28"/>
          <w:szCs w:val="28"/>
        </w:rPr>
        <w:t>/Q</w:t>
      </w:r>
      <w:r>
        <w:rPr>
          <w:rFonts w:hint="eastAsia" w:cs="Times New Roman"/>
          <w:b/>
          <w:bCs/>
          <w:sz w:val="28"/>
          <w:szCs w:val="28"/>
          <w:vertAlign w:val="subscript"/>
        </w:rPr>
        <w:t>n</w:t>
      </w:r>
      <w:r>
        <w:rPr>
          <w:rFonts w:hint="eastAsia" w:cs="Times New Roman"/>
          <w:b/>
          <w:bCs/>
          <w:sz w:val="28"/>
          <w:szCs w:val="28"/>
        </w:rPr>
        <w:t xml:space="preserve">  （1）</w:t>
      </w:r>
    </w:p>
    <w:p w14:paraId="4123D740">
      <w:pPr>
        <w:adjustRightInd w:val="0"/>
        <w:snapToGrid w:val="0"/>
        <w:ind w:firstLine="480" w:firstLineChars="200"/>
        <w:rPr>
          <w:rFonts w:cs="Times New Roman"/>
        </w:rPr>
      </w:pPr>
      <w:r>
        <w:rPr>
          <w:rFonts w:hint="eastAsia" w:cs="Times New Roman"/>
        </w:rPr>
        <w:t>式中：</w:t>
      </w:r>
    </w:p>
    <w:p w14:paraId="65E72B6C">
      <w:pPr>
        <w:adjustRightInd w:val="0"/>
        <w:snapToGrid w:val="0"/>
        <w:ind w:firstLine="480" w:firstLineChars="200"/>
        <w:rPr>
          <w:rFonts w:cs="Times New Roman"/>
        </w:rPr>
      </w:pPr>
      <w:r>
        <w:rPr>
          <w:rFonts w:hint="eastAsia" w:cs="Times New Roman"/>
        </w:rPr>
        <w:t>q</w:t>
      </w:r>
      <w:r>
        <w:rPr>
          <w:rFonts w:hint="eastAsia" w:cs="Times New Roman"/>
          <w:vertAlign w:val="subscript"/>
        </w:rPr>
        <w:t>1</w:t>
      </w:r>
      <w:r>
        <w:rPr>
          <w:rFonts w:hint="eastAsia" w:cs="Times New Roman"/>
        </w:rPr>
        <w:t>，q</w:t>
      </w:r>
      <w:r>
        <w:rPr>
          <w:rFonts w:hint="eastAsia" w:cs="Times New Roman"/>
          <w:vertAlign w:val="subscript"/>
        </w:rPr>
        <w:t>2</w:t>
      </w:r>
      <w:r>
        <w:rPr>
          <w:rFonts w:hint="eastAsia" w:cs="Times New Roman"/>
        </w:rPr>
        <w:t>，…，q</w:t>
      </w:r>
      <w:r>
        <w:rPr>
          <w:rFonts w:hint="eastAsia" w:cs="Times New Roman"/>
          <w:vertAlign w:val="subscript"/>
        </w:rPr>
        <w:t>n</w:t>
      </w:r>
      <w:r>
        <w:rPr>
          <w:rFonts w:hint="eastAsia" w:cs="Times New Roman"/>
        </w:rPr>
        <w:t>—每种危险物质的最大存在总量，t；</w:t>
      </w:r>
    </w:p>
    <w:p w14:paraId="7AE35995">
      <w:pPr>
        <w:adjustRightInd w:val="0"/>
        <w:snapToGrid w:val="0"/>
        <w:ind w:firstLine="480" w:firstLineChars="200"/>
        <w:rPr>
          <w:rFonts w:cs="Times New Roman"/>
        </w:rPr>
      </w:pPr>
      <w:r>
        <w:rPr>
          <w:rFonts w:hint="eastAsia" w:cs="Times New Roman"/>
        </w:rPr>
        <w:t>Q</w:t>
      </w:r>
      <w:r>
        <w:rPr>
          <w:rFonts w:hint="eastAsia" w:cs="Times New Roman"/>
          <w:vertAlign w:val="subscript"/>
        </w:rPr>
        <w:t>1</w:t>
      </w:r>
      <w:r>
        <w:rPr>
          <w:rFonts w:hint="eastAsia" w:cs="Times New Roman"/>
        </w:rPr>
        <w:t>，Q</w:t>
      </w:r>
      <w:r>
        <w:rPr>
          <w:rFonts w:hint="eastAsia" w:cs="Times New Roman"/>
          <w:vertAlign w:val="subscript"/>
        </w:rPr>
        <w:t>2</w:t>
      </w:r>
      <w:r>
        <w:rPr>
          <w:rFonts w:hint="eastAsia" w:cs="Times New Roman"/>
        </w:rPr>
        <w:t>，…，Qn—每种危险物质的临界量，t。</w:t>
      </w:r>
    </w:p>
    <w:p w14:paraId="5DCEC2C2">
      <w:pPr>
        <w:adjustRightInd w:val="0"/>
        <w:snapToGrid w:val="0"/>
        <w:ind w:firstLine="480" w:firstLineChars="200"/>
        <w:rPr>
          <w:rFonts w:cs="Times New Roman"/>
        </w:rPr>
      </w:pPr>
      <w:r>
        <w:rPr>
          <w:rFonts w:hint="eastAsia" w:cs="Times New Roman"/>
        </w:rPr>
        <w:t>当Q＜1时，该项目环境风险潜势为Ⅰ。</w:t>
      </w:r>
    </w:p>
    <w:p w14:paraId="6CEA9BB3">
      <w:pPr>
        <w:adjustRightInd w:val="0"/>
        <w:snapToGrid w:val="0"/>
        <w:ind w:firstLine="480" w:firstLineChars="200"/>
        <w:rPr>
          <w:rFonts w:cs="Times New Roman"/>
        </w:rPr>
      </w:pPr>
      <w:r>
        <w:rPr>
          <w:rFonts w:hint="eastAsia" w:cs="Times New Roman"/>
        </w:rPr>
        <w:t>当Q≥1时，将Q值划分为：（1）1≤Q＜10；（2）10≤Q＜100；（3）Q≥100。根据上式，项目Q值，1＜∑qi/Qi=</w:t>
      </w:r>
      <w:r>
        <w:rPr>
          <w:rFonts w:hint="eastAsia" w:cs="Times New Roman"/>
          <w:color w:val="000000"/>
        </w:rPr>
        <w:t>3.6018</w:t>
      </w:r>
      <w:r>
        <w:rPr>
          <w:rFonts w:hint="eastAsia" w:cs="Times New Roman"/>
        </w:rPr>
        <w:t>＜10。</w:t>
      </w:r>
    </w:p>
    <w:p w14:paraId="22F98010">
      <w:pPr>
        <w:adjustRightInd w:val="0"/>
        <w:snapToGrid w:val="0"/>
        <w:ind w:firstLine="482" w:firstLineChars="200"/>
        <w:rPr>
          <w:rFonts w:cs="Times New Roman"/>
          <w:b/>
          <w:bCs/>
        </w:rPr>
      </w:pPr>
      <w:r>
        <w:rPr>
          <w:rFonts w:hint="eastAsia" w:cs="Times New Roman"/>
          <w:b/>
          <w:bCs/>
        </w:rPr>
        <w:t>②行业及生产工艺（M）</w:t>
      </w:r>
    </w:p>
    <w:p w14:paraId="357E31E7">
      <w:pPr>
        <w:adjustRightInd w:val="0"/>
        <w:snapToGrid w:val="0"/>
        <w:ind w:firstLine="480" w:firstLineChars="200"/>
        <w:rPr>
          <w:rFonts w:cs="Times New Roman"/>
        </w:rPr>
      </w:pPr>
      <w:r>
        <w:rPr>
          <w:rFonts w:hint="eastAsia" w:cs="Times New Roman"/>
        </w:rPr>
        <w:t>分析项目所属行业及生产工艺特点，按照</w:t>
      </w:r>
      <w:r>
        <w:rPr>
          <w:rFonts w:hint="eastAsia" w:cs="Times New Roman"/>
          <w:lang w:eastAsia="zh-CN"/>
        </w:rPr>
        <w:t>表3</w:t>
      </w:r>
      <w:r>
        <w:rPr>
          <w:rFonts w:hint="eastAsia" w:cs="Times New Roman"/>
        </w:rPr>
        <w:t>-5评估生产工艺情况。具有多套工艺单元的项目，对每套生产工艺分别评分并求和。将M划分为（1）M＞20；（2）10＜M≤20；（3）5＜M≤10；（4）M=5，分别以M1、M2、M3和M4表示。</w:t>
      </w:r>
    </w:p>
    <w:p w14:paraId="0CC11350">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rPr>
        <w:t>表</w:t>
      </w:r>
      <w:r>
        <w:rPr>
          <w:rFonts w:hint="eastAsia" w:cs="Times New Roman"/>
          <w:b/>
          <w:kern w:val="24"/>
          <w:szCs w:val="20"/>
          <w:lang w:val="en-US" w:eastAsia="zh-CN"/>
        </w:rPr>
        <w:t>3</w:t>
      </w:r>
      <w:r>
        <w:rPr>
          <w:rFonts w:hint="eastAsia" w:cs="Times New Roman"/>
          <w:b/>
          <w:kern w:val="24"/>
          <w:szCs w:val="20"/>
        </w:rPr>
        <w:t>-5 行业及生产工艺（M）</w:t>
      </w:r>
    </w:p>
    <w:tbl>
      <w:tblPr>
        <w:tblStyle w:val="11"/>
        <w:tblW w:w="903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57" w:type="dxa"/>
          <w:bottom w:w="0" w:type="dxa"/>
          <w:right w:w="57" w:type="dxa"/>
        </w:tblCellMar>
      </w:tblPr>
      <w:tblGrid>
        <w:gridCol w:w="1276"/>
        <w:gridCol w:w="6488"/>
        <w:gridCol w:w="1273"/>
      </w:tblGrid>
      <w:tr w14:paraId="2051DE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jc w:val="center"/>
        </w:trPr>
        <w:tc>
          <w:tcPr>
            <w:tcW w:w="1276" w:type="dxa"/>
            <w:tcBorders>
              <w:left w:val="single" w:color="000000" w:sz="12" w:space="0"/>
              <w:bottom w:val="single" w:color="000000" w:sz="4" w:space="0"/>
              <w:right w:val="single" w:color="000000" w:sz="4" w:space="0"/>
            </w:tcBorders>
            <w:vAlign w:val="center"/>
          </w:tcPr>
          <w:p w14:paraId="0CE5F156">
            <w:pPr>
              <w:adjustRightInd w:val="0"/>
              <w:snapToGrid w:val="0"/>
              <w:spacing w:line="240" w:lineRule="auto"/>
              <w:jc w:val="center"/>
              <w:rPr>
                <w:rFonts w:cs="Times New Roman"/>
                <w:b/>
                <w:bCs/>
                <w:sz w:val="21"/>
              </w:rPr>
            </w:pPr>
            <w:r>
              <w:rPr>
                <w:rFonts w:hint="eastAsia" w:cs="Times New Roman"/>
                <w:b/>
                <w:bCs/>
                <w:sz w:val="21"/>
              </w:rPr>
              <w:t>行业</w:t>
            </w:r>
          </w:p>
        </w:tc>
        <w:tc>
          <w:tcPr>
            <w:tcW w:w="6488" w:type="dxa"/>
            <w:tcBorders>
              <w:left w:val="single" w:color="000000" w:sz="4" w:space="0"/>
              <w:bottom w:val="single" w:color="000000" w:sz="4" w:space="0"/>
              <w:right w:val="single" w:color="000000" w:sz="4" w:space="0"/>
            </w:tcBorders>
            <w:vAlign w:val="center"/>
          </w:tcPr>
          <w:p w14:paraId="47666BE2">
            <w:pPr>
              <w:adjustRightInd w:val="0"/>
              <w:snapToGrid w:val="0"/>
              <w:spacing w:line="240" w:lineRule="auto"/>
              <w:jc w:val="center"/>
              <w:rPr>
                <w:rFonts w:cs="Times New Roman"/>
                <w:b/>
                <w:bCs/>
                <w:sz w:val="21"/>
              </w:rPr>
            </w:pPr>
            <w:r>
              <w:rPr>
                <w:rFonts w:hint="eastAsia" w:cs="Times New Roman"/>
                <w:b/>
                <w:bCs/>
                <w:sz w:val="21"/>
              </w:rPr>
              <w:t>评估依据</w:t>
            </w:r>
          </w:p>
        </w:tc>
        <w:tc>
          <w:tcPr>
            <w:tcW w:w="1273" w:type="dxa"/>
            <w:tcBorders>
              <w:left w:val="single" w:color="000000" w:sz="4" w:space="0"/>
              <w:bottom w:val="single" w:color="000000" w:sz="4" w:space="0"/>
              <w:right w:val="single" w:color="000000" w:sz="12" w:space="0"/>
            </w:tcBorders>
            <w:vAlign w:val="center"/>
          </w:tcPr>
          <w:p w14:paraId="024330FD">
            <w:pPr>
              <w:adjustRightInd w:val="0"/>
              <w:snapToGrid w:val="0"/>
              <w:spacing w:line="240" w:lineRule="auto"/>
              <w:jc w:val="center"/>
              <w:rPr>
                <w:rFonts w:cs="Times New Roman"/>
                <w:b/>
                <w:bCs/>
                <w:sz w:val="21"/>
              </w:rPr>
            </w:pPr>
            <w:r>
              <w:rPr>
                <w:rFonts w:hint="eastAsia" w:cs="Times New Roman"/>
                <w:b/>
                <w:bCs/>
                <w:sz w:val="21"/>
              </w:rPr>
              <w:t>分值</w:t>
            </w:r>
          </w:p>
        </w:tc>
      </w:tr>
      <w:tr w14:paraId="014304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jc w:val="center"/>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14:paraId="1898F144">
            <w:pPr>
              <w:adjustRightInd w:val="0"/>
              <w:snapToGrid w:val="0"/>
              <w:spacing w:line="240" w:lineRule="auto"/>
              <w:jc w:val="center"/>
              <w:rPr>
                <w:rFonts w:cs="Times New Roman"/>
                <w:sz w:val="21"/>
              </w:rPr>
            </w:pPr>
          </w:p>
          <w:p w14:paraId="73933F92">
            <w:pPr>
              <w:adjustRightInd w:val="0"/>
              <w:snapToGrid w:val="0"/>
              <w:spacing w:line="240" w:lineRule="auto"/>
              <w:jc w:val="center"/>
              <w:rPr>
                <w:rFonts w:cs="Times New Roman"/>
                <w:sz w:val="21"/>
              </w:rPr>
            </w:pPr>
            <w:r>
              <w:rPr>
                <w:rFonts w:hint="eastAsia" w:cs="Times New Roman"/>
                <w:sz w:val="21"/>
              </w:rPr>
              <w:t>石化、化工、医药、轻工、化纤、有色冶炼等</w:t>
            </w:r>
          </w:p>
        </w:tc>
        <w:tc>
          <w:tcPr>
            <w:tcW w:w="6488" w:type="dxa"/>
            <w:tcBorders>
              <w:top w:val="single" w:color="000000" w:sz="4" w:space="0"/>
              <w:left w:val="single" w:color="000000" w:sz="4" w:space="0"/>
              <w:bottom w:val="single" w:color="000000" w:sz="4" w:space="0"/>
              <w:right w:val="single" w:color="000000" w:sz="4" w:space="0"/>
            </w:tcBorders>
            <w:vAlign w:val="center"/>
          </w:tcPr>
          <w:p w14:paraId="1F356DF4">
            <w:pPr>
              <w:adjustRightInd w:val="0"/>
              <w:snapToGrid w:val="0"/>
              <w:spacing w:line="240" w:lineRule="auto"/>
              <w:jc w:val="center"/>
              <w:rPr>
                <w:rFonts w:cs="Times New Roman"/>
                <w:sz w:val="21"/>
              </w:rPr>
            </w:pPr>
            <w:r>
              <w:rPr>
                <w:rFonts w:hint="eastAsia" w:cs="Times New Roman"/>
                <w:sz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73" w:type="dxa"/>
            <w:tcBorders>
              <w:top w:val="single" w:color="000000" w:sz="4" w:space="0"/>
              <w:left w:val="single" w:color="000000" w:sz="4" w:space="0"/>
              <w:bottom w:val="single" w:color="000000" w:sz="4" w:space="0"/>
              <w:right w:val="single" w:color="000000" w:sz="12" w:space="0"/>
            </w:tcBorders>
            <w:vAlign w:val="center"/>
          </w:tcPr>
          <w:p w14:paraId="67C7D5FB">
            <w:pPr>
              <w:adjustRightInd w:val="0"/>
              <w:snapToGrid w:val="0"/>
              <w:spacing w:line="240" w:lineRule="auto"/>
              <w:jc w:val="center"/>
              <w:rPr>
                <w:rFonts w:cs="Times New Roman"/>
                <w:sz w:val="21"/>
              </w:rPr>
            </w:pPr>
            <w:r>
              <w:rPr>
                <w:rFonts w:cs="Times New Roman"/>
                <w:sz w:val="21"/>
              </w:rPr>
              <w:t>10/</w:t>
            </w:r>
            <w:r>
              <w:rPr>
                <w:rFonts w:hint="eastAsia" w:cs="Times New Roman"/>
                <w:sz w:val="21"/>
              </w:rPr>
              <w:t>套</w:t>
            </w:r>
          </w:p>
        </w:tc>
      </w:tr>
      <w:tr w14:paraId="0CA677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jc w:val="center"/>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14:paraId="110BDF6C">
            <w:pPr>
              <w:adjustRightInd w:val="0"/>
              <w:snapToGrid w:val="0"/>
              <w:spacing w:line="240" w:lineRule="auto"/>
              <w:jc w:val="center"/>
              <w:rPr>
                <w:rFonts w:cs="Times New Roman"/>
                <w:sz w:val="21"/>
              </w:rPr>
            </w:pPr>
          </w:p>
        </w:tc>
        <w:tc>
          <w:tcPr>
            <w:tcW w:w="6488" w:type="dxa"/>
            <w:tcBorders>
              <w:top w:val="single" w:color="000000" w:sz="4" w:space="0"/>
              <w:left w:val="single" w:color="000000" w:sz="4" w:space="0"/>
              <w:bottom w:val="single" w:color="000000" w:sz="4" w:space="0"/>
              <w:right w:val="single" w:color="000000" w:sz="4" w:space="0"/>
            </w:tcBorders>
            <w:vAlign w:val="center"/>
          </w:tcPr>
          <w:p w14:paraId="2930248B">
            <w:pPr>
              <w:adjustRightInd w:val="0"/>
              <w:snapToGrid w:val="0"/>
              <w:spacing w:line="240" w:lineRule="auto"/>
              <w:jc w:val="center"/>
              <w:rPr>
                <w:rFonts w:cs="Times New Roman"/>
                <w:sz w:val="21"/>
              </w:rPr>
            </w:pPr>
            <w:r>
              <w:rPr>
                <w:rFonts w:hint="eastAsia" w:cs="Times New Roman"/>
                <w:sz w:val="21"/>
              </w:rPr>
              <w:t>无机酸制酸工艺、焦化工艺</w:t>
            </w:r>
          </w:p>
        </w:tc>
        <w:tc>
          <w:tcPr>
            <w:tcW w:w="1273" w:type="dxa"/>
            <w:tcBorders>
              <w:top w:val="single" w:color="000000" w:sz="4" w:space="0"/>
              <w:left w:val="single" w:color="000000" w:sz="4" w:space="0"/>
              <w:bottom w:val="single" w:color="000000" w:sz="4" w:space="0"/>
              <w:right w:val="single" w:color="000000" w:sz="12" w:space="0"/>
            </w:tcBorders>
            <w:vAlign w:val="center"/>
          </w:tcPr>
          <w:p w14:paraId="07372693">
            <w:pPr>
              <w:adjustRightInd w:val="0"/>
              <w:snapToGrid w:val="0"/>
              <w:spacing w:line="240" w:lineRule="auto"/>
              <w:jc w:val="center"/>
              <w:rPr>
                <w:rFonts w:cs="Times New Roman"/>
                <w:sz w:val="21"/>
              </w:rPr>
            </w:pPr>
            <w:r>
              <w:rPr>
                <w:rFonts w:cs="Times New Roman"/>
                <w:sz w:val="21"/>
              </w:rPr>
              <w:t>5/</w:t>
            </w:r>
            <w:r>
              <w:rPr>
                <w:rFonts w:hint="eastAsia" w:cs="Times New Roman"/>
                <w:sz w:val="21"/>
              </w:rPr>
              <w:t>套</w:t>
            </w:r>
          </w:p>
        </w:tc>
      </w:tr>
      <w:tr w14:paraId="5A7B4D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jc w:val="center"/>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14:paraId="12A389B7">
            <w:pPr>
              <w:adjustRightInd w:val="0"/>
              <w:snapToGrid w:val="0"/>
              <w:spacing w:line="240" w:lineRule="auto"/>
              <w:jc w:val="center"/>
              <w:rPr>
                <w:rFonts w:cs="Times New Roman"/>
                <w:sz w:val="21"/>
              </w:rPr>
            </w:pPr>
          </w:p>
        </w:tc>
        <w:tc>
          <w:tcPr>
            <w:tcW w:w="6488" w:type="dxa"/>
            <w:tcBorders>
              <w:top w:val="single" w:color="000000" w:sz="4" w:space="0"/>
              <w:left w:val="single" w:color="000000" w:sz="4" w:space="0"/>
              <w:bottom w:val="single" w:color="000000" w:sz="4" w:space="0"/>
              <w:right w:val="single" w:color="000000" w:sz="4" w:space="0"/>
            </w:tcBorders>
            <w:vAlign w:val="center"/>
          </w:tcPr>
          <w:p w14:paraId="6D359780">
            <w:pPr>
              <w:adjustRightInd w:val="0"/>
              <w:snapToGrid w:val="0"/>
              <w:spacing w:line="240" w:lineRule="auto"/>
              <w:jc w:val="center"/>
              <w:rPr>
                <w:rFonts w:cs="Times New Roman"/>
                <w:sz w:val="21"/>
              </w:rPr>
            </w:pPr>
            <w:r>
              <w:rPr>
                <w:rFonts w:hint="eastAsia" w:cs="Times New Roman"/>
                <w:sz w:val="21"/>
              </w:rPr>
              <w:t>其他高温或高压，且涉及危险物质的工艺过程</w:t>
            </w:r>
            <w:r>
              <w:rPr>
                <w:rFonts w:cs="Times New Roman"/>
                <w:sz w:val="21"/>
                <w:vertAlign w:val="superscript"/>
              </w:rPr>
              <w:t>a</w:t>
            </w:r>
            <w:r>
              <w:rPr>
                <w:rFonts w:hint="eastAsia" w:cs="Times New Roman"/>
                <w:sz w:val="21"/>
              </w:rPr>
              <w:t>、危险物质贮存罐区</w:t>
            </w:r>
          </w:p>
        </w:tc>
        <w:tc>
          <w:tcPr>
            <w:tcW w:w="1273" w:type="dxa"/>
            <w:tcBorders>
              <w:top w:val="single" w:color="000000" w:sz="4" w:space="0"/>
              <w:left w:val="single" w:color="000000" w:sz="4" w:space="0"/>
              <w:bottom w:val="single" w:color="000000" w:sz="4" w:space="0"/>
              <w:right w:val="single" w:color="000000" w:sz="12" w:space="0"/>
            </w:tcBorders>
            <w:vAlign w:val="center"/>
          </w:tcPr>
          <w:p w14:paraId="6F945FF1">
            <w:pPr>
              <w:adjustRightInd w:val="0"/>
              <w:snapToGrid w:val="0"/>
              <w:spacing w:line="240" w:lineRule="auto"/>
              <w:jc w:val="center"/>
              <w:rPr>
                <w:rFonts w:cs="Times New Roman"/>
                <w:sz w:val="21"/>
              </w:rPr>
            </w:pPr>
            <w:r>
              <w:rPr>
                <w:rFonts w:cs="Times New Roman"/>
                <w:sz w:val="21"/>
              </w:rPr>
              <w:t>5/</w:t>
            </w:r>
            <w:r>
              <w:rPr>
                <w:rFonts w:hint="eastAsia" w:cs="Times New Roman"/>
                <w:sz w:val="21"/>
              </w:rPr>
              <w:t>套（罐区）</w:t>
            </w:r>
          </w:p>
        </w:tc>
      </w:tr>
      <w:tr w14:paraId="105A1E8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jc w:val="center"/>
        </w:trPr>
        <w:tc>
          <w:tcPr>
            <w:tcW w:w="1276" w:type="dxa"/>
            <w:tcBorders>
              <w:top w:val="single" w:color="000000" w:sz="4" w:space="0"/>
              <w:left w:val="single" w:color="000000" w:sz="12" w:space="0"/>
              <w:bottom w:val="single" w:color="000000" w:sz="4" w:space="0"/>
              <w:right w:val="single" w:color="000000" w:sz="4" w:space="0"/>
            </w:tcBorders>
            <w:vAlign w:val="center"/>
          </w:tcPr>
          <w:p w14:paraId="7A7D54A6">
            <w:pPr>
              <w:adjustRightInd w:val="0"/>
              <w:snapToGrid w:val="0"/>
              <w:spacing w:line="240" w:lineRule="auto"/>
              <w:jc w:val="center"/>
              <w:rPr>
                <w:rFonts w:cs="Times New Roman"/>
                <w:sz w:val="21"/>
              </w:rPr>
            </w:pPr>
            <w:r>
              <w:rPr>
                <w:rFonts w:hint="eastAsia" w:cs="Times New Roman"/>
                <w:sz w:val="21"/>
              </w:rPr>
              <w:t>管道、港口</w:t>
            </w:r>
          </w:p>
          <w:p w14:paraId="35034BC5">
            <w:pPr>
              <w:adjustRightInd w:val="0"/>
              <w:snapToGrid w:val="0"/>
              <w:spacing w:line="240" w:lineRule="auto"/>
              <w:jc w:val="center"/>
              <w:rPr>
                <w:rFonts w:cs="Times New Roman"/>
                <w:sz w:val="21"/>
              </w:rPr>
            </w:pPr>
            <w:r>
              <w:rPr>
                <w:rFonts w:cs="Times New Roman"/>
                <w:sz w:val="21"/>
              </w:rPr>
              <w:t>/</w:t>
            </w:r>
            <w:r>
              <w:rPr>
                <w:rFonts w:hint="eastAsia" w:cs="Times New Roman"/>
                <w:sz w:val="21"/>
              </w:rPr>
              <w:t>码头等</w:t>
            </w:r>
          </w:p>
        </w:tc>
        <w:tc>
          <w:tcPr>
            <w:tcW w:w="6488" w:type="dxa"/>
            <w:tcBorders>
              <w:top w:val="single" w:color="000000" w:sz="4" w:space="0"/>
              <w:left w:val="single" w:color="000000" w:sz="4" w:space="0"/>
              <w:bottom w:val="single" w:color="000000" w:sz="4" w:space="0"/>
              <w:right w:val="single" w:color="000000" w:sz="4" w:space="0"/>
            </w:tcBorders>
            <w:vAlign w:val="center"/>
          </w:tcPr>
          <w:p w14:paraId="75CA947C">
            <w:pPr>
              <w:adjustRightInd w:val="0"/>
              <w:snapToGrid w:val="0"/>
              <w:spacing w:line="240" w:lineRule="auto"/>
              <w:jc w:val="center"/>
              <w:rPr>
                <w:rFonts w:cs="Times New Roman"/>
                <w:sz w:val="21"/>
              </w:rPr>
            </w:pPr>
            <w:r>
              <w:rPr>
                <w:rFonts w:hint="eastAsia" w:cs="Times New Roman"/>
                <w:sz w:val="21"/>
              </w:rPr>
              <w:t>涉及危险物质管道运输项目、港口</w:t>
            </w:r>
            <w:r>
              <w:rPr>
                <w:rFonts w:cs="Times New Roman"/>
                <w:sz w:val="21"/>
              </w:rPr>
              <w:t>/</w:t>
            </w:r>
            <w:r>
              <w:rPr>
                <w:rFonts w:hint="eastAsia" w:cs="Times New Roman"/>
                <w:sz w:val="21"/>
              </w:rPr>
              <w:t>码头等</w:t>
            </w:r>
          </w:p>
        </w:tc>
        <w:tc>
          <w:tcPr>
            <w:tcW w:w="1273" w:type="dxa"/>
            <w:tcBorders>
              <w:top w:val="single" w:color="000000" w:sz="4" w:space="0"/>
              <w:left w:val="single" w:color="000000" w:sz="4" w:space="0"/>
              <w:bottom w:val="single" w:color="000000" w:sz="4" w:space="0"/>
              <w:right w:val="single" w:color="000000" w:sz="12" w:space="0"/>
            </w:tcBorders>
            <w:vAlign w:val="center"/>
          </w:tcPr>
          <w:p w14:paraId="2DCD9A87">
            <w:pPr>
              <w:adjustRightInd w:val="0"/>
              <w:snapToGrid w:val="0"/>
              <w:spacing w:line="240" w:lineRule="auto"/>
              <w:jc w:val="center"/>
              <w:rPr>
                <w:rFonts w:cs="Times New Roman"/>
                <w:sz w:val="21"/>
              </w:rPr>
            </w:pPr>
            <w:r>
              <w:rPr>
                <w:rFonts w:cs="Times New Roman"/>
                <w:sz w:val="21"/>
              </w:rPr>
              <w:t>10</w:t>
            </w:r>
          </w:p>
        </w:tc>
      </w:tr>
      <w:tr w14:paraId="038B0A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jc w:val="center"/>
        </w:trPr>
        <w:tc>
          <w:tcPr>
            <w:tcW w:w="1276" w:type="dxa"/>
            <w:tcBorders>
              <w:top w:val="single" w:color="000000" w:sz="4" w:space="0"/>
              <w:left w:val="single" w:color="000000" w:sz="12" w:space="0"/>
              <w:bottom w:val="single" w:color="000000" w:sz="4" w:space="0"/>
              <w:right w:val="single" w:color="000000" w:sz="4" w:space="0"/>
            </w:tcBorders>
            <w:vAlign w:val="center"/>
          </w:tcPr>
          <w:p w14:paraId="1018668A">
            <w:pPr>
              <w:adjustRightInd w:val="0"/>
              <w:snapToGrid w:val="0"/>
              <w:spacing w:line="240" w:lineRule="auto"/>
              <w:jc w:val="center"/>
              <w:rPr>
                <w:rFonts w:cs="Times New Roman"/>
                <w:sz w:val="21"/>
              </w:rPr>
            </w:pPr>
            <w:r>
              <w:rPr>
                <w:rFonts w:hint="eastAsia" w:cs="Times New Roman"/>
                <w:sz w:val="21"/>
              </w:rPr>
              <w:t>石油天然气</w:t>
            </w:r>
          </w:p>
        </w:tc>
        <w:tc>
          <w:tcPr>
            <w:tcW w:w="6488" w:type="dxa"/>
            <w:tcBorders>
              <w:top w:val="single" w:color="000000" w:sz="4" w:space="0"/>
              <w:left w:val="single" w:color="000000" w:sz="4" w:space="0"/>
              <w:bottom w:val="single" w:color="000000" w:sz="4" w:space="0"/>
              <w:right w:val="single" w:color="000000" w:sz="4" w:space="0"/>
            </w:tcBorders>
            <w:vAlign w:val="center"/>
          </w:tcPr>
          <w:p w14:paraId="11B59428">
            <w:pPr>
              <w:adjustRightInd w:val="0"/>
              <w:snapToGrid w:val="0"/>
              <w:spacing w:line="240" w:lineRule="auto"/>
              <w:jc w:val="center"/>
              <w:rPr>
                <w:rFonts w:cs="Times New Roman"/>
                <w:sz w:val="21"/>
              </w:rPr>
            </w:pPr>
            <w:r>
              <w:rPr>
                <w:rFonts w:hint="eastAsia" w:cs="Times New Roman"/>
                <w:sz w:val="21"/>
              </w:rPr>
              <w:t>石油、天然气、页岩气开采（含净化），气库（不含加气站的气</w:t>
            </w:r>
          </w:p>
          <w:p w14:paraId="0C33DEAA">
            <w:pPr>
              <w:adjustRightInd w:val="0"/>
              <w:snapToGrid w:val="0"/>
              <w:spacing w:line="240" w:lineRule="auto"/>
              <w:jc w:val="center"/>
              <w:rPr>
                <w:rFonts w:cs="Times New Roman"/>
                <w:sz w:val="21"/>
              </w:rPr>
            </w:pPr>
            <w:r>
              <w:rPr>
                <w:rFonts w:hint="eastAsia" w:cs="Times New Roman"/>
                <w:sz w:val="21"/>
              </w:rPr>
              <w:t>库），油库（不含加气站的油库）、油气管线</w:t>
            </w:r>
            <w:r>
              <w:rPr>
                <w:rFonts w:cs="Times New Roman"/>
                <w:sz w:val="21"/>
                <w:vertAlign w:val="superscript"/>
              </w:rPr>
              <w:t>b</w:t>
            </w:r>
            <w:r>
              <w:rPr>
                <w:rFonts w:hint="eastAsia" w:cs="Times New Roman"/>
                <w:sz w:val="21"/>
              </w:rPr>
              <w:t>（不含城镇燃气管线）</w:t>
            </w:r>
          </w:p>
        </w:tc>
        <w:tc>
          <w:tcPr>
            <w:tcW w:w="1273" w:type="dxa"/>
            <w:tcBorders>
              <w:top w:val="single" w:color="000000" w:sz="4" w:space="0"/>
              <w:left w:val="single" w:color="000000" w:sz="4" w:space="0"/>
              <w:bottom w:val="single" w:color="000000" w:sz="4" w:space="0"/>
              <w:right w:val="single" w:color="000000" w:sz="12" w:space="0"/>
            </w:tcBorders>
            <w:vAlign w:val="center"/>
          </w:tcPr>
          <w:p w14:paraId="01F2F522">
            <w:pPr>
              <w:adjustRightInd w:val="0"/>
              <w:snapToGrid w:val="0"/>
              <w:spacing w:line="240" w:lineRule="auto"/>
              <w:jc w:val="center"/>
              <w:rPr>
                <w:rFonts w:cs="Times New Roman"/>
                <w:sz w:val="21"/>
              </w:rPr>
            </w:pPr>
            <w:r>
              <w:rPr>
                <w:rFonts w:cs="Times New Roman"/>
                <w:sz w:val="21"/>
              </w:rPr>
              <w:t>10</w:t>
            </w:r>
          </w:p>
        </w:tc>
      </w:tr>
      <w:tr w14:paraId="2407F5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jc w:val="center"/>
        </w:trPr>
        <w:tc>
          <w:tcPr>
            <w:tcW w:w="1276" w:type="dxa"/>
            <w:tcBorders>
              <w:top w:val="single" w:color="000000" w:sz="4" w:space="0"/>
              <w:left w:val="single" w:color="000000" w:sz="12" w:space="0"/>
              <w:bottom w:val="single" w:color="000000" w:sz="4" w:space="0"/>
              <w:right w:val="single" w:color="000000" w:sz="4" w:space="0"/>
            </w:tcBorders>
            <w:vAlign w:val="center"/>
          </w:tcPr>
          <w:p w14:paraId="6798AC69">
            <w:pPr>
              <w:adjustRightInd w:val="0"/>
              <w:snapToGrid w:val="0"/>
              <w:spacing w:line="240" w:lineRule="auto"/>
              <w:jc w:val="center"/>
              <w:rPr>
                <w:rFonts w:cs="Times New Roman"/>
                <w:sz w:val="21"/>
              </w:rPr>
            </w:pPr>
            <w:r>
              <w:rPr>
                <w:rFonts w:hint="eastAsia" w:cs="Times New Roman"/>
                <w:sz w:val="21"/>
              </w:rPr>
              <w:t>其它</w:t>
            </w:r>
          </w:p>
        </w:tc>
        <w:tc>
          <w:tcPr>
            <w:tcW w:w="6488" w:type="dxa"/>
            <w:tcBorders>
              <w:top w:val="single" w:color="000000" w:sz="4" w:space="0"/>
              <w:left w:val="single" w:color="000000" w:sz="4" w:space="0"/>
              <w:bottom w:val="single" w:color="000000" w:sz="4" w:space="0"/>
              <w:right w:val="single" w:color="000000" w:sz="4" w:space="0"/>
            </w:tcBorders>
            <w:vAlign w:val="center"/>
          </w:tcPr>
          <w:p w14:paraId="051AE7BB">
            <w:pPr>
              <w:adjustRightInd w:val="0"/>
              <w:snapToGrid w:val="0"/>
              <w:spacing w:line="240" w:lineRule="auto"/>
              <w:jc w:val="center"/>
              <w:rPr>
                <w:rFonts w:cs="Times New Roman"/>
                <w:sz w:val="21"/>
              </w:rPr>
            </w:pPr>
            <w:r>
              <w:rPr>
                <w:rFonts w:hint="eastAsia" w:cs="Times New Roman"/>
                <w:sz w:val="21"/>
              </w:rPr>
              <w:t>涉及危险物质使用、贮存的项目</w:t>
            </w:r>
          </w:p>
        </w:tc>
        <w:tc>
          <w:tcPr>
            <w:tcW w:w="1273" w:type="dxa"/>
            <w:tcBorders>
              <w:top w:val="single" w:color="000000" w:sz="4" w:space="0"/>
              <w:left w:val="single" w:color="000000" w:sz="4" w:space="0"/>
              <w:bottom w:val="single" w:color="000000" w:sz="4" w:space="0"/>
              <w:right w:val="single" w:color="000000" w:sz="12" w:space="0"/>
            </w:tcBorders>
            <w:vAlign w:val="center"/>
          </w:tcPr>
          <w:p w14:paraId="070955CA">
            <w:pPr>
              <w:adjustRightInd w:val="0"/>
              <w:snapToGrid w:val="0"/>
              <w:spacing w:line="240" w:lineRule="auto"/>
              <w:jc w:val="center"/>
              <w:rPr>
                <w:rFonts w:cs="Times New Roman"/>
                <w:sz w:val="21"/>
              </w:rPr>
            </w:pPr>
            <w:r>
              <w:rPr>
                <w:rFonts w:cs="Times New Roman"/>
                <w:sz w:val="21"/>
              </w:rPr>
              <w:t>5</w:t>
            </w:r>
          </w:p>
        </w:tc>
      </w:tr>
      <w:tr w14:paraId="63E005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jc w:val="center"/>
        </w:trPr>
        <w:tc>
          <w:tcPr>
            <w:tcW w:w="9037" w:type="dxa"/>
            <w:gridSpan w:val="3"/>
            <w:tcBorders>
              <w:top w:val="single" w:color="000000" w:sz="4" w:space="0"/>
              <w:left w:val="single" w:color="000000" w:sz="12" w:space="0"/>
              <w:bottom w:val="single" w:color="000000" w:sz="12" w:space="0"/>
              <w:right w:val="single" w:color="000000" w:sz="12" w:space="0"/>
            </w:tcBorders>
            <w:vAlign w:val="center"/>
          </w:tcPr>
          <w:p w14:paraId="20C8F165">
            <w:pPr>
              <w:adjustRightInd w:val="0"/>
              <w:snapToGrid w:val="0"/>
              <w:spacing w:line="240" w:lineRule="auto"/>
              <w:jc w:val="left"/>
              <w:rPr>
                <w:rFonts w:cs="Times New Roman"/>
                <w:sz w:val="21"/>
              </w:rPr>
            </w:pPr>
            <w:r>
              <w:rPr>
                <w:rFonts w:hint="eastAsia" w:cs="Times New Roman"/>
                <w:sz w:val="21"/>
              </w:rPr>
              <w:t>注：</w:t>
            </w:r>
            <w:r>
              <w:rPr>
                <w:rFonts w:hint="eastAsia" w:cs="Times New Roman"/>
                <w:sz w:val="21"/>
                <w:vertAlign w:val="superscript"/>
              </w:rPr>
              <w:t>a</w:t>
            </w:r>
            <w:r>
              <w:rPr>
                <w:rFonts w:hint="eastAsia" w:cs="Times New Roman"/>
                <w:sz w:val="21"/>
              </w:rPr>
              <w:t>高温指工艺温度≥300℃，高压指压力容器的设计压力（P）≥10.0MPa；</w:t>
            </w:r>
          </w:p>
          <w:p w14:paraId="68EFF663">
            <w:pPr>
              <w:adjustRightInd w:val="0"/>
              <w:snapToGrid w:val="0"/>
              <w:spacing w:line="240" w:lineRule="auto"/>
              <w:jc w:val="left"/>
              <w:rPr>
                <w:rFonts w:cs="Times New Roman"/>
                <w:sz w:val="21"/>
              </w:rPr>
            </w:pPr>
            <w:r>
              <w:rPr>
                <w:rFonts w:hint="eastAsia" w:cs="Times New Roman"/>
                <w:sz w:val="21"/>
                <w:vertAlign w:val="superscript"/>
              </w:rPr>
              <w:t>b</w:t>
            </w:r>
            <w:r>
              <w:rPr>
                <w:rFonts w:hint="eastAsia" w:cs="Times New Roman"/>
                <w:sz w:val="21"/>
              </w:rPr>
              <w:t>长输管道运输项目应按站场、管线分段进行评价。</w:t>
            </w:r>
          </w:p>
        </w:tc>
      </w:tr>
    </w:tbl>
    <w:p w14:paraId="10C09E76">
      <w:pPr>
        <w:adjustRightInd w:val="0"/>
        <w:snapToGrid w:val="0"/>
        <w:ind w:firstLine="480" w:firstLineChars="200"/>
        <w:rPr>
          <w:rFonts w:cs="Times New Roman"/>
        </w:rPr>
      </w:pPr>
      <w:r>
        <w:rPr>
          <w:rFonts w:hint="eastAsia" w:cs="Times New Roman"/>
        </w:rPr>
        <w:t>项目属于“石化、化工、医药、轻工、化纤、有色冶炼等”中“其他高温或高压，且涉及危险物质的工艺过程a、危险物质贮存罐区”，项目内</w:t>
      </w:r>
      <w:r>
        <w:rPr>
          <w:rFonts w:hint="eastAsia" w:cs="Times New Roman"/>
          <w:lang w:eastAsia="zh-CN"/>
        </w:rPr>
        <w:t>设置有一个氨水储罐区和一个液氨球罐区</w:t>
      </w:r>
      <w:r>
        <w:rPr>
          <w:rFonts w:hint="eastAsia" w:cs="Times New Roman"/>
          <w:color w:val="000000"/>
        </w:rPr>
        <w:t>，M=</w:t>
      </w:r>
      <w:r>
        <w:rPr>
          <w:rFonts w:hint="eastAsia" w:cs="Times New Roman"/>
          <w:color w:val="000000"/>
          <w:lang w:val="en-US" w:eastAsia="zh-CN"/>
        </w:rPr>
        <w:t>1</w:t>
      </w:r>
      <w:r>
        <w:rPr>
          <w:rFonts w:hint="eastAsia" w:cs="Times New Roman"/>
          <w:color w:val="000000"/>
        </w:rPr>
        <w:t>0，属M</w:t>
      </w:r>
      <w:r>
        <w:rPr>
          <w:rFonts w:hint="eastAsia" w:cs="Times New Roman"/>
          <w:color w:val="000000"/>
          <w:lang w:val="en-US" w:eastAsia="zh-CN"/>
        </w:rPr>
        <w:t>3</w:t>
      </w:r>
      <w:r>
        <w:rPr>
          <w:rFonts w:hint="eastAsia" w:cs="Times New Roman"/>
          <w:color w:val="000000"/>
        </w:rPr>
        <w:t>。</w:t>
      </w:r>
    </w:p>
    <w:p w14:paraId="2646B24B">
      <w:pPr>
        <w:adjustRightInd w:val="0"/>
        <w:snapToGrid w:val="0"/>
        <w:ind w:firstLine="480" w:firstLineChars="200"/>
        <w:rPr>
          <w:rFonts w:cs="Times New Roman"/>
        </w:rPr>
      </w:pPr>
      <w:r>
        <w:rPr>
          <w:rFonts w:hint="eastAsia" w:cs="Times New Roman"/>
        </w:rPr>
        <w:t>③险物质及工艺系统危险性（P）分级</w:t>
      </w:r>
    </w:p>
    <w:p w14:paraId="112CFF3B">
      <w:pPr>
        <w:adjustRightInd w:val="0"/>
        <w:snapToGrid w:val="0"/>
        <w:ind w:firstLine="480" w:firstLineChars="200"/>
        <w:rPr>
          <w:rFonts w:cs="Times New Roman"/>
        </w:rPr>
      </w:pPr>
      <w:r>
        <w:rPr>
          <w:rFonts w:hint="eastAsia" w:cs="Times New Roman"/>
        </w:rPr>
        <w:t>根据危险物质数量与临界量比值（Q）和行业及生产工艺（M），按照</w:t>
      </w:r>
      <w:r>
        <w:rPr>
          <w:rFonts w:hint="eastAsia" w:cs="Times New Roman"/>
          <w:lang w:eastAsia="zh-CN"/>
        </w:rPr>
        <w:t>表3</w:t>
      </w:r>
      <w:r>
        <w:rPr>
          <w:rFonts w:hint="eastAsia" w:cs="Times New Roman"/>
        </w:rPr>
        <w:t>-6确定危险物质及工艺系统危险性等级（P），分别以P1、P2、P3、P4表示。</w:t>
      </w:r>
    </w:p>
    <w:p w14:paraId="001E8EC4">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rPr>
        <w:t>表</w:t>
      </w:r>
      <w:r>
        <w:rPr>
          <w:rFonts w:hint="eastAsia" w:cs="Times New Roman"/>
          <w:b/>
          <w:kern w:val="24"/>
          <w:szCs w:val="20"/>
          <w:lang w:val="en-US" w:eastAsia="zh-CN"/>
        </w:rPr>
        <w:t>3</w:t>
      </w:r>
      <w:r>
        <w:rPr>
          <w:rFonts w:hint="eastAsia" w:cs="Times New Roman"/>
          <w:b/>
          <w:kern w:val="24"/>
          <w:szCs w:val="20"/>
        </w:rPr>
        <w:t>-6 危险物质及工艺系统危险性等级判断（P）</w:t>
      </w:r>
    </w:p>
    <w:tbl>
      <w:tblPr>
        <w:tblStyle w:val="11"/>
        <w:tblW w:w="81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0" w:type="dxa"/>
          <w:left w:w="0" w:type="dxa"/>
          <w:bottom w:w="0" w:type="dxa"/>
          <w:right w:w="0" w:type="dxa"/>
        </w:tblCellMar>
      </w:tblPr>
      <w:tblGrid>
        <w:gridCol w:w="2003"/>
        <w:gridCol w:w="1532"/>
        <w:gridCol w:w="1532"/>
        <w:gridCol w:w="1532"/>
        <w:gridCol w:w="1534"/>
      </w:tblGrid>
      <w:tr w14:paraId="214BCD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003" w:type="dxa"/>
            <w:vMerge w:val="restart"/>
            <w:tcBorders>
              <w:tl2br w:val="nil"/>
              <w:tr2bl w:val="nil"/>
            </w:tcBorders>
            <w:shd w:val="clear" w:color="auto" w:fill="FFFFFF"/>
            <w:tcMar>
              <w:top w:w="0" w:type="dxa"/>
              <w:left w:w="57" w:type="dxa"/>
              <w:bottom w:w="0" w:type="dxa"/>
              <w:right w:w="57" w:type="dxa"/>
            </w:tcMar>
            <w:vAlign w:val="center"/>
          </w:tcPr>
          <w:p w14:paraId="063114B3">
            <w:pPr>
              <w:adjustRightInd w:val="0"/>
              <w:snapToGrid w:val="0"/>
              <w:spacing w:line="240" w:lineRule="auto"/>
              <w:jc w:val="center"/>
              <w:rPr>
                <w:rFonts w:cs="Times New Roman"/>
                <w:b/>
                <w:bCs/>
                <w:sz w:val="21"/>
              </w:rPr>
            </w:pPr>
            <w:r>
              <w:rPr>
                <w:rFonts w:hint="eastAsia" w:cs="Times New Roman"/>
                <w:b/>
                <w:bCs/>
                <w:sz w:val="21"/>
              </w:rPr>
              <w:t>危险物质数量与临界量比值（</w:t>
            </w:r>
            <w:r>
              <w:rPr>
                <w:rFonts w:cs="Times New Roman"/>
                <w:b/>
                <w:bCs/>
                <w:sz w:val="21"/>
              </w:rPr>
              <w:t>Q</w:t>
            </w:r>
            <w:r>
              <w:rPr>
                <w:rFonts w:hint="eastAsia" w:cs="Times New Roman"/>
                <w:b/>
                <w:bCs/>
                <w:sz w:val="21"/>
              </w:rPr>
              <w:t>）</w:t>
            </w:r>
          </w:p>
        </w:tc>
        <w:tc>
          <w:tcPr>
            <w:tcW w:w="6130" w:type="dxa"/>
            <w:gridSpan w:val="4"/>
            <w:tcBorders>
              <w:tl2br w:val="nil"/>
              <w:tr2bl w:val="nil"/>
            </w:tcBorders>
            <w:shd w:val="clear" w:color="auto" w:fill="FFFFFF"/>
            <w:tcMar>
              <w:top w:w="0" w:type="dxa"/>
              <w:left w:w="57" w:type="dxa"/>
              <w:bottom w:w="0" w:type="dxa"/>
              <w:right w:w="57" w:type="dxa"/>
            </w:tcMar>
            <w:vAlign w:val="center"/>
          </w:tcPr>
          <w:p w14:paraId="1130CDD5">
            <w:pPr>
              <w:adjustRightInd w:val="0"/>
              <w:snapToGrid w:val="0"/>
              <w:spacing w:line="240" w:lineRule="auto"/>
              <w:jc w:val="center"/>
              <w:rPr>
                <w:rFonts w:cs="Times New Roman"/>
                <w:b/>
                <w:bCs/>
                <w:sz w:val="21"/>
              </w:rPr>
            </w:pPr>
            <w:r>
              <w:rPr>
                <w:rFonts w:hint="eastAsia" w:cs="Times New Roman"/>
                <w:b/>
                <w:bCs/>
                <w:sz w:val="21"/>
              </w:rPr>
              <w:t>行业及生产工艺（</w:t>
            </w:r>
            <w:r>
              <w:rPr>
                <w:rFonts w:cs="Times New Roman"/>
                <w:b/>
                <w:bCs/>
                <w:sz w:val="21"/>
              </w:rPr>
              <w:t>M</w:t>
            </w:r>
            <w:r>
              <w:rPr>
                <w:rFonts w:hint="eastAsia" w:cs="Times New Roman"/>
                <w:b/>
                <w:bCs/>
                <w:sz w:val="21"/>
              </w:rPr>
              <w:t>）</w:t>
            </w:r>
          </w:p>
        </w:tc>
      </w:tr>
      <w:tr w14:paraId="6B90C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003" w:type="dxa"/>
            <w:vMerge w:val="continue"/>
            <w:tcBorders>
              <w:tl2br w:val="nil"/>
              <w:tr2bl w:val="nil"/>
            </w:tcBorders>
            <w:shd w:val="clear" w:color="auto" w:fill="FFFFFF"/>
            <w:tcMar>
              <w:top w:w="0" w:type="dxa"/>
              <w:left w:w="57" w:type="dxa"/>
              <w:bottom w:w="0" w:type="dxa"/>
              <w:right w:w="57" w:type="dxa"/>
            </w:tcMar>
            <w:vAlign w:val="center"/>
          </w:tcPr>
          <w:p w14:paraId="4B3565A9">
            <w:pPr>
              <w:adjustRightInd w:val="0"/>
              <w:snapToGrid w:val="0"/>
              <w:spacing w:line="240" w:lineRule="auto"/>
              <w:jc w:val="center"/>
              <w:rPr>
                <w:rFonts w:cs="Times New Roman"/>
                <w:b/>
                <w:bCs/>
                <w:sz w:val="21"/>
              </w:rPr>
            </w:pPr>
          </w:p>
        </w:tc>
        <w:tc>
          <w:tcPr>
            <w:tcW w:w="1532" w:type="dxa"/>
            <w:tcBorders>
              <w:tl2br w:val="nil"/>
              <w:tr2bl w:val="nil"/>
            </w:tcBorders>
            <w:shd w:val="clear" w:color="auto" w:fill="FFFFFF"/>
            <w:tcMar>
              <w:top w:w="0" w:type="dxa"/>
              <w:left w:w="57" w:type="dxa"/>
              <w:bottom w:w="0" w:type="dxa"/>
              <w:right w:w="57" w:type="dxa"/>
            </w:tcMar>
            <w:vAlign w:val="center"/>
          </w:tcPr>
          <w:p w14:paraId="6C5160AF">
            <w:pPr>
              <w:adjustRightInd w:val="0"/>
              <w:snapToGrid w:val="0"/>
              <w:spacing w:line="240" w:lineRule="auto"/>
              <w:jc w:val="center"/>
              <w:rPr>
                <w:rFonts w:cs="Times New Roman"/>
                <w:b/>
                <w:bCs/>
                <w:sz w:val="21"/>
              </w:rPr>
            </w:pPr>
            <w:r>
              <w:rPr>
                <w:rFonts w:cs="Times New Roman"/>
                <w:b/>
                <w:bCs/>
                <w:sz w:val="21"/>
              </w:rPr>
              <w:t>M1</w:t>
            </w:r>
          </w:p>
        </w:tc>
        <w:tc>
          <w:tcPr>
            <w:tcW w:w="1532" w:type="dxa"/>
            <w:tcBorders>
              <w:tl2br w:val="nil"/>
              <w:tr2bl w:val="nil"/>
            </w:tcBorders>
            <w:shd w:val="clear" w:color="auto" w:fill="FFFFFF"/>
            <w:tcMar>
              <w:top w:w="0" w:type="dxa"/>
              <w:left w:w="57" w:type="dxa"/>
              <w:bottom w:w="0" w:type="dxa"/>
              <w:right w:w="57" w:type="dxa"/>
            </w:tcMar>
            <w:vAlign w:val="center"/>
          </w:tcPr>
          <w:p w14:paraId="69F54110">
            <w:pPr>
              <w:adjustRightInd w:val="0"/>
              <w:snapToGrid w:val="0"/>
              <w:spacing w:line="240" w:lineRule="auto"/>
              <w:jc w:val="center"/>
              <w:rPr>
                <w:rFonts w:cs="Times New Roman"/>
                <w:b/>
                <w:bCs/>
                <w:sz w:val="21"/>
              </w:rPr>
            </w:pPr>
            <w:r>
              <w:rPr>
                <w:rFonts w:cs="Times New Roman"/>
                <w:b/>
                <w:bCs/>
                <w:sz w:val="21"/>
              </w:rPr>
              <w:t>M2</w:t>
            </w:r>
          </w:p>
        </w:tc>
        <w:tc>
          <w:tcPr>
            <w:tcW w:w="1532" w:type="dxa"/>
            <w:tcBorders>
              <w:tl2br w:val="nil"/>
              <w:tr2bl w:val="nil"/>
            </w:tcBorders>
            <w:shd w:val="clear" w:color="auto" w:fill="FFFFFF"/>
            <w:tcMar>
              <w:top w:w="0" w:type="dxa"/>
              <w:left w:w="57" w:type="dxa"/>
              <w:bottom w:w="0" w:type="dxa"/>
              <w:right w:w="57" w:type="dxa"/>
            </w:tcMar>
            <w:vAlign w:val="center"/>
          </w:tcPr>
          <w:p w14:paraId="561AB289">
            <w:pPr>
              <w:adjustRightInd w:val="0"/>
              <w:snapToGrid w:val="0"/>
              <w:spacing w:line="240" w:lineRule="auto"/>
              <w:jc w:val="center"/>
              <w:rPr>
                <w:rFonts w:cs="Times New Roman"/>
                <w:b/>
                <w:bCs/>
                <w:sz w:val="21"/>
              </w:rPr>
            </w:pPr>
            <w:r>
              <w:rPr>
                <w:rFonts w:cs="Times New Roman"/>
                <w:b/>
                <w:bCs/>
                <w:sz w:val="21"/>
              </w:rPr>
              <w:t>M3</w:t>
            </w:r>
          </w:p>
        </w:tc>
        <w:tc>
          <w:tcPr>
            <w:tcW w:w="1534" w:type="dxa"/>
            <w:tcBorders>
              <w:tl2br w:val="nil"/>
              <w:tr2bl w:val="nil"/>
            </w:tcBorders>
            <w:shd w:val="clear" w:color="auto" w:fill="FFFFFF"/>
            <w:tcMar>
              <w:top w:w="0" w:type="dxa"/>
              <w:left w:w="57" w:type="dxa"/>
              <w:bottom w:w="0" w:type="dxa"/>
              <w:right w:w="57" w:type="dxa"/>
            </w:tcMar>
            <w:vAlign w:val="center"/>
          </w:tcPr>
          <w:p w14:paraId="4A723156">
            <w:pPr>
              <w:adjustRightInd w:val="0"/>
              <w:snapToGrid w:val="0"/>
              <w:spacing w:line="240" w:lineRule="auto"/>
              <w:jc w:val="center"/>
              <w:rPr>
                <w:rFonts w:cs="Times New Roman"/>
                <w:b/>
                <w:bCs/>
                <w:sz w:val="21"/>
              </w:rPr>
            </w:pPr>
            <w:r>
              <w:rPr>
                <w:rFonts w:cs="Times New Roman"/>
                <w:b/>
                <w:bCs/>
                <w:sz w:val="21"/>
              </w:rPr>
              <w:t>M4</w:t>
            </w:r>
          </w:p>
        </w:tc>
      </w:tr>
      <w:tr w14:paraId="034FD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jc w:val="center"/>
        </w:trPr>
        <w:tc>
          <w:tcPr>
            <w:tcW w:w="2003" w:type="dxa"/>
            <w:tcBorders>
              <w:tl2br w:val="nil"/>
              <w:tr2bl w:val="nil"/>
            </w:tcBorders>
            <w:shd w:val="clear" w:color="auto" w:fill="FFFFFF"/>
            <w:tcMar>
              <w:top w:w="0" w:type="dxa"/>
              <w:left w:w="57" w:type="dxa"/>
              <w:bottom w:w="0" w:type="dxa"/>
              <w:right w:w="57" w:type="dxa"/>
            </w:tcMar>
            <w:vAlign w:val="center"/>
          </w:tcPr>
          <w:p w14:paraId="2AA30257">
            <w:pPr>
              <w:adjustRightInd w:val="0"/>
              <w:snapToGrid w:val="0"/>
              <w:spacing w:line="240" w:lineRule="auto"/>
              <w:jc w:val="center"/>
              <w:rPr>
                <w:rFonts w:cs="Times New Roman"/>
                <w:sz w:val="21"/>
              </w:rPr>
            </w:pPr>
            <w:r>
              <w:rPr>
                <w:rFonts w:cs="Times New Roman"/>
                <w:sz w:val="21"/>
              </w:rPr>
              <w:t>Q≥100</w:t>
            </w:r>
          </w:p>
        </w:tc>
        <w:tc>
          <w:tcPr>
            <w:tcW w:w="1532" w:type="dxa"/>
            <w:tcBorders>
              <w:tl2br w:val="nil"/>
              <w:tr2bl w:val="nil"/>
            </w:tcBorders>
            <w:shd w:val="clear" w:color="auto" w:fill="FFFFFF"/>
            <w:tcMar>
              <w:top w:w="0" w:type="dxa"/>
              <w:left w:w="57" w:type="dxa"/>
              <w:bottom w:w="0" w:type="dxa"/>
              <w:right w:w="57" w:type="dxa"/>
            </w:tcMar>
            <w:vAlign w:val="center"/>
          </w:tcPr>
          <w:p w14:paraId="34CAB3CA">
            <w:pPr>
              <w:adjustRightInd w:val="0"/>
              <w:snapToGrid w:val="0"/>
              <w:spacing w:line="240" w:lineRule="auto"/>
              <w:jc w:val="center"/>
              <w:rPr>
                <w:rFonts w:cs="Times New Roman"/>
                <w:sz w:val="21"/>
              </w:rPr>
            </w:pPr>
            <w:r>
              <w:rPr>
                <w:rFonts w:cs="Times New Roman"/>
                <w:sz w:val="21"/>
              </w:rPr>
              <w:t>P1</w:t>
            </w:r>
          </w:p>
        </w:tc>
        <w:tc>
          <w:tcPr>
            <w:tcW w:w="1532" w:type="dxa"/>
            <w:tcBorders>
              <w:tl2br w:val="nil"/>
              <w:tr2bl w:val="nil"/>
            </w:tcBorders>
            <w:shd w:val="clear" w:color="auto" w:fill="FFFFFF"/>
            <w:tcMar>
              <w:top w:w="0" w:type="dxa"/>
              <w:left w:w="57" w:type="dxa"/>
              <w:bottom w:w="0" w:type="dxa"/>
              <w:right w:w="57" w:type="dxa"/>
            </w:tcMar>
            <w:vAlign w:val="center"/>
          </w:tcPr>
          <w:p w14:paraId="29E49A4E">
            <w:pPr>
              <w:adjustRightInd w:val="0"/>
              <w:snapToGrid w:val="0"/>
              <w:spacing w:line="240" w:lineRule="auto"/>
              <w:jc w:val="center"/>
              <w:rPr>
                <w:rFonts w:cs="Times New Roman"/>
                <w:sz w:val="21"/>
              </w:rPr>
            </w:pPr>
            <w:r>
              <w:rPr>
                <w:rFonts w:cs="Times New Roman"/>
                <w:sz w:val="21"/>
              </w:rPr>
              <w:t>P1</w:t>
            </w:r>
          </w:p>
        </w:tc>
        <w:tc>
          <w:tcPr>
            <w:tcW w:w="1532" w:type="dxa"/>
            <w:tcBorders>
              <w:tl2br w:val="nil"/>
              <w:tr2bl w:val="nil"/>
            </w:tcBorders>
            <w:shd w:val="clear" w:color="auto" w:fill="A4A4A4" w:themeFill="background1" w:themeFillShade="A5"/>
            <w:tcMar>
              <w:top w:w="0" w:type="dxa"/>
              <w:left w:w="57" w:type="dxa"/>
              <w:bottom w:w="0" w:type="dxa"/>
              <w:right w:w="57" w:type="dxa"/>
            </w:tcMar>
            <w:vAlign w:val="center"/>
          </w:tcPr>
          <w:p w14:paraId="5045976C">
            <w:pPr>
              <w:adjustRightInd w:val="0"/>
              <w:snapToGrid w:val="0"/>
              <w:spacing w:line="240" w:lineRule="auto"/>
              <w:jc w:val="center"/>
              <w:rPr>
                <w:rFonts w:cs="Times New Roman"/>
                <w:sz w:val="21"/>
              </w:rPr>
            </w:pPr>
            <w:r>
              <w:rPr>
                <w:rFonts w:cs="Times New Roman"/>
                <w:sz w:val="21"/>
              </w:rPr>
              <w:t>P2</w:t>
            </w:r>
          </w:p>
        </w:tc>
        <w:tc>
          <w:tcPr>
            <w:tcW w:w="1534" w:type="dxa"/>
            <w:tcBorders>
              <w:tl2br w:val="nil"/>
              <w:tr2bl w:val="nil"/>
            </w:tcBorders>
            <w:shd w:val="clear" w:color="auto" w:fill="FFFFFF"/>
            <w:tcMar>
              <w:top w:w="0" w:type="dxa"/>
              <w:left w:w="57" w:type="dxa"/>
              <w:bottom w:w="0" w:type="dxa"/>
              <w:right w:w="57" w:type="dxa"/>
            </w:tcMar>
            <w:vAlign w:val="center"/>
          </w:tcPr>
          <w:p w14:paraId="7A6E8A2C">
            <w:pPr>
              <w:adjustRightInd w:val="0"/>
              <w:snapToGrid w:val="0"/>
              <w:spacing w:line="240" w:lineRule="auto"/>
              <w:jc w:val="center"/>
              <w:rPr>
                <w:rFonts w:cs="Times New Roman"/>
                <w:sz w:val="21"/>
              </w:rPr>
            </w:pPr>
            <w:r>
              <w:rPr>
                <w:rFonts w:cs="Times New Roman"/>
                <w:sz w:val="21"/>
              </w:rPr>
              <w:t>P3</w:t>
            </w:r>
          </w:p>
        </w:tc>
      </w:tr>
      <w:tr w14:paraId="3E1222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003" w:type="dxa"/>
            <w:tcBorders>
              <w:tl2br w:val="nil"/>
              <w:tr2bl w:val="nil"/>
            </w:tcBorders>
            <w:shd w:val="clear" w:color="auto" w:fill="FFFFFF"/>
            <w:tcMar>
              <w:top w:w="0" w:type="dxa"/>
              <w:left w:w="57" w:type="dxa"/>
              <w:bottom w:w="0" w:type="dxa"/>
              <w:right w:w="57" w:type="dxa"/>
            </w:tcMar>
            <w:vAlign w:val="center"/>
          </w:tcPr>
          <w:p w14:paraId="008502CA">
            <w:pPr>
              <w:adjustRightInd w:val="0"/>
              <w:snapToGrid w:val="0"/>
              <w:spacing w:line="240" w:lineRule="auto"/>
              <w:jc w:val="center"/>
              <w:rPr>
                <w:rFonts w:cs="Times New Roman"/>
                <w:sz w:val="21"/>
              </w:rPr>
            </w:pPr>
            <w:r>
              <w:rPr>
                <w:rFonts w:cs="Times New Roman"/>
                <w:sz w:val="21"/>
              </w:rPr>
              <w:t>10≤Q</w:t>
            </w:r>
            <w:r>
              <w:rPr>
                <w:rFonts w:hint="eastAsia" w:cs="Times New Roman"/>
                <w:sz w:val="21"/>
              </w:rPr>
              <w:t>＜</w:t>
            </w:r>
            <w:r>
              <w:rPr>
                <w:rFonts w:cs="Times New Roman"/>
                <w:sz w:val="21"/>
              </w:rPr>
              <w:t>100</w:t>
            </w:r>
          </w:p>
        </w:tc>
        <w:tc>
          <w:tcPr>
            <w:tcW w:w="1532" w:type="dxa"/>
            <w:tcBorders>
              <w:tl2br w:val="nil"/>
              <w:tr2bl w:val="nil"/>
            </w:tcBorders>
            <w:shd w:val="clear" w:color="auto" w:fill="FFFFFF"/>
            <w:tcMar>
              <w:top w:w="0" w:type="dxa"/>
              <w:left w:w="57" w:type="dxa"/>
              <w:bottom w:w="0" w:type="dxa"/>
              <w:right w:w="57" w:type="dxa"/>
            </w:tcMar>
            <w:vAlign w:val="center"/>
          </w:tcPr>
          <w:p w14:paraId="65052540">
            <w:pPr>
              <w:adjustRightInd w:val="0"/>
              <w:snapToGrid w:val="0"/>
              <w:spacing w:line="240" w:lineRule="auto"/>
              <w:jc w:val="center"/>
              <w:rPr>
                <w:rFonts w:cs="Times New Roman"/>
                <w:sz w:val="21"/>
              </w:rPr>
            </w:pPr>
            <w:r>
              <w:rPr>
                <w:rFonts w:cs="Times New Roman"/>
                <w:sz w:val="21"/>
              </w:rPr>
              <w:t>P1</w:t>
            </w:r>
          </w:p>
        </w:tc>
        <w:tc>
          <w:tcPr>
            <w:tcW w:w="1532" w:type="dxa"/>
            <w:tcBorders>
              <w:tl2br w:val="nil"/>
              <w:tr2bl w:val="nil"/>
            </w:tcBorders>
            <w:shd w:val="clear" w:color="auto" w:fill="FFFFFF"/>
            <w:tcMar>
              <w:top w:w="0" w:type="dxa"/>
              <w:left w:w="57" w:type="dxa"/>
              <w:bottom w:w="0" w:type="dxa"/>
              <w:right w:w="57" w:type="dxa"/>
            </w:tcMar>
            <w:vAlign w:val="center"/>
          </w:tcPr>
          <w:p w14:paraId="11570F25">
            <w:pPr>
              <w:adjustRightInd w:val="0"/>
              <w:snapToGrid w:val="0"/>
              <w:spacing w:line="240" w:lineRule="auto"/>
              <w:jc w:val="center"/>
              <w:rPr>
                <w:rFonts w:cs="Times New Roman"/>
                <w:sz w:val="21"/>
              </w:rPr>
            </w:pPr>
            <w:r>
              <w:rPr>
                <w:rFonts w:cs="Times New Roman"/>
                <w:sz w:val="21"/>
              </w:rPr>
              <w:t>P2</w:t>
            </w:r>
          </w:p>
        </w:tc>
        <w:tc>
          <w:tcPr>
            <w:tcW w:w="1532" w:type="dxa"/>
            <w:tcBorders>
              <w:tl2br w:val="nil"/>
              <w:tr2bl w:val="nil"/>
            </w:tcBorders>
            <w:shd w:val="clear" w:color="auto" w:fill="FFFFFF"/>
            <w:tcMar>
              <w:top w:w="0" w:type="dxa"/>
              <w:left w:w="57" w:type="dxa"/>
              <w:bottom w:w="0" w:type="dxa"/>
              <w:right w:w="57" w:type="dxa"/>
            </w:tcMar>
            <w:vAlign w:val="center"/>
          </w:tcPr>
          <w:p w14:paraId="119CF0EB">
            <w:pPr>
              <w:adjustRightInd w:val="0"/>
              <w:snapToGrid w:val="0"/>
              <w:spacing w:line="240" w:lineRule="auto"/>
              <w:jc w:val="center"/>
              <w:rPr>
                <w:rFonts w:cs="Times New Roman"/>
                <w:sz w:val="21"/>
              </w:rPr>
            </w:pPr>
            <w:r>
              <w:rPr>
                <w:rFonts w:cs="Times New Roman"/>
                <w:sz w:val="21"/>
              </w:rPr>
              <w:t>P3</w:t>
            </w:r>
          </w:p>
        </w:tc>
        <w:tc>
          <w:tcPr>
            <w:tcW w:w="1534" w:type="dxa"/>
            <w:tcBorders>
              <w:tl2br w:val="nil"/>
              <w:tr2bl w:val="nil"/>
            </w:tcBorders>
            <w:shd w:val="clear" w:color="auto" w:fill="FFFFFF"/>
            <w:tcMar>
              <w:top w:w="0" w:type="dxa"/>
              <w:left w:w="57" w:type="dxa"/>
              <w:bottom w:w="0" w:type="dxa"/>
              <w:right w:w="57" w:type="dxa"/>
            </w:tcMar>
            <w:vAlign w:val="center"/>
          </w:tcPr>
          <w:p w14:paraId="169A67EE">
            <w:pPr>
              <w:adjustRightInd w:val="0"/>
              <w:snapToGrid w:val="0"/>
              <w:spacing w:line="240" w:lineRule="auto"/>
              <w:jc w:val="center"/>
              <w:rPr>
                <w:rFonts w:cs="Times New Roman"/>
                <w:sz w:val="21"/>
              </w:rPr>
            </w:pPr>
            <w:r>
              <w:rPr>
                <w:rFonts w:cs="Times New Roman"/>
                <w:sz w:val="21"/>
              </w:rPr>
              <w:t>P4</w:t>
            </w:r>
          </w:p>
        </w:tc>
      </w:tr>
      <w:tr w14:paraId="784C4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003" w:type="dxa"/>
            <w:tcBorders>
              <w:tl2br w:val="nil"/>
              <w:tr2bl w:val="nil"/>
            </w:tcBorders>
            <w:shd w:val="clear" w:color="auto" w:fill="FFFFFF"/>
            <w:tcMar>
              <w:top w:w="0" w:type="dxa"/>
              <w:left w:w="57" w:type="dxa"/>
              <w:bottom w:w="0" w:type="dxa"/>
              <w:right w:w="57" w:type="dxa"/>
            </w:tcMar>
            <w:vAlign w:val="center"/>
          </w:tcPr>
          <w:p w14:paraId="52D78063">
            <w:pPr>
              <w:adjustRightInd w:val="0"/>
              <w:snapToGrid w:val="0"/>
              <w:spacing w:line="240" w:lineRule="auto"/>
              <w:jc w:val="center"/>
              <w:rPr>
                <w:rFonts w:cs="Times New Roman"/>
                <w:sz w:val="21"/>
              </w:rPr>
            </w:pPr>
            <w:r>
              <w:rPr>
                <w:rFonts w:cs="Times New Roman"/>
                <w:sz w:val="21"/>
              </w:rPr>
              <w:t>1≤Q</w:t>
            </w:r>
            <w:r>
              <w:rPr>
                <w:rFonts w:hint="eastAsia" w:cs="Times New Roman"/>
                <w:sz w:val="21"/>
              </w:rPr>
              <w:t>＜</w:t>
            </w:r>
            <w:r>
              <w:rPr>
                <w:rFonts w:cs="Times New Roman"/>
                <w:sz w:val="21"/>
              </w:rPr>
              <w:t>10</w:t>
            </w:r>
          </w:p>
        </w:tc>
        <w:tc>
          <w:tcPr>
            <w:tcW w:w="1532" w:type="dxa"/>
            <w:tcBorders>
              <w:tl2br w:val="nil"/>
              <w:tr2bl w:val="nil"/>
            </w:tcBorders>
            <w:shd w:val="clear" w:color="auto" w:fill="FFFFFF"/>
            <w:tcMar>
              <w:top w:w="0" w:type="dxa"/>
              <w:left w:w="57" w:type="dxa"/>
              <w:bottom w:w="0" w:type="dxa"/>
              <w:right w:w="57" w:type="dxa"/>
            </w:tcMar>
            <w:vAlign w:val="center"/>
          </w:tcPr>
          <w:p w14:paraId="50A989E9">
            <w:pPr>
              <w:adjustRightInd w:val="0"/>
              <w:snapToGrid w:val="0"/>
              <w:spacing w:line="240" w:lineRule="auto"/>
              <w:jc w:val="center"/>
              <w:rPr>
                <w:rFonts w:cs="Times New Roman"/>
                <w:sz w:val="21"/>
              </w:rPr>
            </w:pPr>
            <w:r>
              <w:rPr>
                <w:rFonts w:cs="Times New Roman"/>
                <w:sz w:val="21"/>
              </w:rPr>
              <w:t>P2</w:t>
            </w:r>
          </w:p>
        </w:tc>
        <w:tc>
          <w:tcPr>
            <w:tcW w:w="1532" w:type="dxa"/>
            <w:tcBorders>
              <w:tl2br w:val="nil"/>
              <w:tr2bl w:val="nil"/>
            </w:tcBorders>
            <w:shd w:val="clear" w:color="auto" w:fill="FFFFFF" w:themeFill="background1"/>
            <w:tcMar>
              <w:top w:w="0" w:type="dxa"/>
              <w:left w:w="57" w:type="dxa"/>
              <w:bottom w:w="0" w:type="dxa"/>
              <w:right w:w="57" w:type="dxa"/>
            </w:tcMar>
            <w:vAlign w:val="center"/>
          </w:tcPr>
          <w:p w14:paraId="59361A5F">
            <w:pPr>
              <w:adjustRightInd w:val="0"/>
              <w:snapToGrid w:val="0"/>
              <w:spacing w:line="240" w:lineRule="auto"/>
              <w:jc w:val="center"/>
              <w:rPr>
                <w:rFonts w:cs="Times New Roman"/>
                <w:sz w:val="21"/>
              </w:rPr>
            </w:pPr>
            <w:r>
              <w:rPr>
                <w:rFonts w:cs="Times New Roman"/>
                <w:sz w:val="21"/>
              </w:rPr>
              <w:t>P3</w:t>
            </w:r>
          </w:p>
        </w:tc>
        <w:tc>
          <w:tcPr>
            <w:tcW w:w="1532" w:type="dxa"/>
            <w:tcBorders>
              <w:tl2br w:val="nil"/>
              <w:tr2bl w:val="nil"/>
            </w:tcBorders>
            <w:shd w:val="clear" w:color="auto" w:fill="FFFFFF"/>
            <w:tcMar>
              <w:top w:w="0" w:type="dxa"/>
              <w:left w:w="57" w:type="dxa"/>
              <w:bottom w:w="0" w:type="dxa"/>
              <w:right w:w="57" w:type="dxa"/>
            </w:tcMar>
            <w:vAlign w:val="center"/>
          </w:tcPr>
          <w:p w14:paraId="5B57012C">
            <w:pPr>
              <w:adjustRightInd w:val="0"/>
              <w:snapToGrid w:val="0"/>
              <w:spacing w:line="240" w:lineRule="auto"/>
              <w:jc w:val="center"/>
              <w:rPr>
                <w:rFonts w:cs="Times New Roman"/>
                <w:sz w:val="21"/>
              </w:rPr>
            </w:pPr>
            <w:r>
              <w:rPr>
                <w:rFonts w:cs="Times New Roman"/>
                <w:sz w:val="21"/>
              </w:rPr>
              <w:t>P4</w:t>
            </w:r>
          </w:p>
        </w:tc>
        <w:tc>
          <w:tcPr>
            <w:tcW w:w="1534" w:type="dxa"/>
            <w:tcBorders>
              <w:tl2br w:val="nil"/>
              <w:tr2bl w:val="nil"/>
            </w:tcBorders>
            <w:shd w:val="clear" w:color="auto" w:fill="FFFFFF"/>
            <w:tcMar>
              <w:top w:w="0" w:type="dxa"/>
              <w:left w:w="57" w:type="dxa"/>
              <w:bottom w:w="0" w:type="dxa"/>
              <w:right w:w="57" w:type="dxa"/>
            </w:tcMar>
            <w:vAlign w:val="center"/>
          </w:tcPr>
          <w:p w14:paraId="620DD95E">
            <w:pPr>
              <w:adjustRightInd w:val="0"/>
              <w:snapToGrid w:val="0"/>
              <w:spacing w:line="240" w:lineRule="auto"/>
              <w:jc w:val="center"/>
              <w:rPr>
                <w:rFonts w:cs="Times New Roman"/>
                <w:sz w:val="21"/>
              </w:rPr>
            </w:pPr>
            <w:r>
              <w:rPr>
                <w:rFonts w:cs="Times New Roman"/>
                <w:sz w:val="21"/>
              </w:rPr>
              <w:t>P4</w:t>
            </w:r>
          </w:p>
        </w:tc>
      </w:tr>
    </w:tbl>
    <w:p w14:paraId="70560ED5">
      <w:pPr>
        <w:autoSpaceDE w:val="0"/>
        <w:autoSpaceDN w:val="0"/>
        <w:adjustRightInd w:val="0"/>
        <w:snapToGrid w:val="0"/>
        <w:spacing w:line="240" w:lineRule="auto"/>
        <w:jc w:val="center"/>
        <w:textAlignment w:val="baseline"/>
        <w:rPr>
          <w:rFonts w:cs="Times New Roman"/>
          <w:b/>
          <w:kern w:val="24"/>
          <w:szCs w:val="20"/>
        </w:rPr>
      </w:pPr>
    </w:p>
    <w:p w14:paraId="5B30D792">
      <w:pPr>
        <w:adjustRightInd w:val="0"/>
        <w:snapToGrid w:val="0"/>
        <w:ind w:firstLine="480" w:firstLineChars="200"/>
        <w:rPr>
          <w:rFonts w:cs="Times New Roman"/>
        </w:rPr>
      </w:pPr>
      <w:r>
        <w:rPr>
          <w:rFonts w:hint="eastAsia" w:cs="Times New Roman"/>
        </w:rPr>
        <w:t>根据上述分析，本次项目的Q值属于Q≥100，M值属于M</w:t>
      </w:r>
      <w:r>
        <w:rPr>
          <w:rFonts w:hint="eastAsia" w:cs="Times New Roman"/>
          <w:lang w:val="en-US" w:eastAsia="zh-CN"/>
        </w:rPr>
        <w:t>3</w:t>
      </w:r>
      <w:r>
        <w:rPr>
          <w:rFonts w:hint="eastAsia" w:cs="Times New Roman"/>
        </w:rPr>
        <w:t>，因此，对照上表，本次项目的P值为P</w:t>
      </w:r>
      <w:r>
        <w:rPr>
          <w:rFonts w:hint="eastAsia" w:cs="Times New Roman"/>
          <w:lang w:val="en-US" w:eastAsia="zh-CN"/>
        </w:rPr>
        <w:t>2</w:t>
      </w:r>
      <w:r>
        <w:rPr>
          <w:rFonts w:hint="eastAsia" w:cs="Times New Roman"/>
        </w:rPr>
        <w:t>。</w:t>
      </w:r>
    </w:p>
    <w:p w14:paraId="7D584AFC">
      <w:pPr>
        <w:keepNext/>
        <w:keepLines/>
        <w:widowControl w:val="0"/>
        <w:bidi w:val="0"/>
        <w:adjustRightInd w:val="0"/>
        <w:snapToGrid w:val="0"/>
        <w:spacing w:before="100" w:beforeLines="0" w:beforeAutospacing="0" w:afterLines="0" w:afterAutospacing="0" w:line="360" w:lineRule="auto"/>
        <w:jc w:val="both"/>
        <w:outlineLvl w:val="1"/>
        <w:rPr>
          <w:rFonts w:ascii="Times New Roman" w:hAnsi="Times New Roman" w:eastAsia="宋体" w:cs="Times New Roman"/>
          <w:b/>
          <w:kern w:val="2"/>
          <w:sz w:val="32"/>
          <w:szCs w:val="24"/>
          <w:lang w:val="en-US" w:eastAsia="zh-CN" w:bidi="ar-SA"/>
        </w:rPr>
      </w:pPr>
      <w:r>
        <w:rPr>
          <w:rFonts w:hint="eastAsia" w:ascii="Times New Roman" w:hAnsi="Times New Roman" w:eastAsia="宋体" w:cs="Times New Roman"/>
          <w:b/>
          <w:kern w:val="2"/>
          <w:sz w:val="32"/>
          <w:szCs w:val="24"/>
          <w:lang w:val="en-US" w:eastAsia="zh-CN" w:bidi="ar-SA"/>
        </w:rPr>
        <w:t>3.2环境敏感程度（E）的分级</w:t>
      </w:r>
    </w:p>
    <w:p w14:paraId="7FE82777">
      <w:pPr>
        <w:adjustRightInd w:val="0"/>
        <w:snapToGrid w:val="0"/>
        <w:ind w:firstLine="480" w:firstLineChars="200"/>
        <w:rPr>
          <w:rFonts w:cs="Times New Roman"/>
        </w:rPr>
      </w:pPr>
      <w:r>
        <w:rPr>
          <w:rFonts w:hint="eastAsia" w:cs="Times New Roman"/>
        </w:rPr>
        <w:t>①大气环境敏感程度分级</w:t>
      </w:r>
    </w:p>
    <w:p w14:paraId="19E30180">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rPr>
        <w:t>表</w:t>
      </w:r>
      <w:r>
        <w:rPr>
          <w:rFonts w:hint="eastAsia" w:cs="Times New Roman"/>
          <w:b/>
          <w:kern w:val="24"/>
          <w:szCs w:val="20"/>
          <w:lang w:val="en-US" w:eastAsia="zh-CN"/>
        </w:rPr>
        <w:t>3</w:t>
      </w:r>
      <w:r>
        <w:rPr>
          <w:rFonts w:hint="eastAsia" w:cs="Times New Roman"/>
          <w:b/>
          <w:kern w:val="24"/>
          <w:szCs w:val="20"/>
        </w:rPr>
        <w:t>-7 大气环境敏感程度分级</w:t>
      </w:r>
    </w:p>
    <w:tbl>
      <w:tblPr>
        <w:tblStyle w:val="12"/>
        <w:tblW w:w="86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655"/>
        <w:gridCol w:w="8039"/>
      </w:tblGrid>
      <w:tr w14:paraId="77093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14" w:hRule="atLeast"/>
          <w:jc w:val="center"/>
        </w:trPr>
        <w:tc>
          <w:tcPr>
            <w:tcW w:w="655" w:type="dxa"/>
            <w:tcBorders>
              <w:tl2br w:val="nil"/>
              <w:tr2bl w:val="nil"/>
            </w:tcBorders>
            <w:vAlign w:val="center"/>
          </w:tcPr>
          <w:p w14:paraId="38B70F6A">
            <w:pPr>
              <w:adjustRightInd w:val="0"/>
              <w:snapToGrid w:val="0"/>
              <w:spacing w:line="240" w:lineRule="auto"/>
              <w:jc w:val="center"/>
              <w:rPr>
                <w:rFonts w:cs="Times New Roman"/>
                <w:b/>
                <w:bCs/>
                <w:sz w:val="21"/>
              </w:rPr>
            </w:pPr>
            <w:r>
              <w:rPr>
                <w:rFonts w:hint="eastAsia" w:cs="Times New Roman"/>
                <w:b/>
                <w:bCs/>
                <w:sz w:val="21"/>
              </w:rPr>
              <w:t>分级</w:t>
            </w:r>
          </w:p>
        </w:tc>
        <w:tc>
          <w:tcPr>
            <w:tcW w:w="8039" w:type="dxa"/>
            <w:tcBorders>
              <w:tl2br w:val="nil"/>
              <w:tr2bl w:val="nil"/>
            </w:tcBorders>
            <w:vAlign w:val="center"/>
          </w:tcPr>
          <w:p w14:paraId="04CE2380">
            <w:pPr>
              <w:adjustRightInd w:val="0"/>
              <w:snapToGrid w:val="0"/>
              <w:spacing w:line="240" w:lineRule="auto"/>
              <w:jc w:val="center"/>
              <w:rPr>
                <w:rFonts w:cs="Times New Roman"/>
                <w:b/>
                <w:bCs/>
                <w:sz w:val="21"/>
              </w:rPr>
            </w:pPr>
            <w:r>
              <w:rPr>
                <w:rFonts w:hint="eastAsia" w:cs="Times New Roman"/>
                <w:b/>
                <w:bCs/>
                <w:sz w:val="21"/>
              </w:rPr>
              <w:t>大气环境敏感性</w:t>
            </w:r>
          </w:p>
        </w:tc>
      </w:tr>
      <w:tr w14:paraId="44B75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655" w:type="dxa"/>
            <w:tcBorders>
              <w:tl2br w:val="nil"/>
              <w:tr2bl w:val="nil"/>
            </w:tcBorders>
            <w:vAlign w:val="center"/>
          </w:tcPr>
          <w:p w14:paraId="630C068C">
            <w:pPr>
              <w:adjustRightInd w:val="0"/>
              <w:snapToGrid w:val="0"/>
              <w:spacing w:line="240" w:lineRule="auto"/>
              <w:jc w:val="center"/>
              <w:rPr>
                <w:rFonts w:cs="Times New Roman"/>
                <w:sz w:val="21"/>
              </w:rPr>
            </w:pPr>
            <w:r>
              <w:rPr>
                <w:rFonts w:hint="eastAsia" w:cs="Times New Roman"/>
                <w:sz w:val="21"/>
              </w:rPr>
              <w:t>E1</w:t>
            </w:r>
          </w:p>
        </w:tc>
        <w:tc>
          <w:tcPr>
            <w:tcW w:w="8039" w:type="dxa"/>
            <w:tcBorders>
              <w:tl2br w:val="nil"/>
              <w:tr2bl w:val="nil"/>
            </w:tcBorders>
            <w:vAlign w:val="center"/>
          </w:tcPr>
          <w:p w14:paraId="45400783">
            <w:pPr>
              <w:adjustRightInd w:val="0"/>
              <w:snapToGrid w:val="0"/>
              <w:spacing w:line="240" w:lineRule="auto"/>
              <w:jc w:val="center"/>
              <w:rPr>
                <w:rFonts w:cs="Times New Roman"/>
                <w:sz w:val="21"/>
              </w:rPr>
            </w:pPr>
            <w:r>
              <w:rPr>
                <w:rFonts w:hint="eastAsia" w:cs="Times New Roman"/>
                <w:sz w:val="21"/>
              </w:rPr>
              <w:t>周边5km范围内居住区、医疗卫生、文化教育、科研、行政办公等机构人后总数大于5万人，或其他需要特殊保护区域；或周边500m范围内人口总数大于1000人；油气、化学品输送管线管段周边200m范围内，每千米管段人口数大于200人</w:t>
            </w:r>
          </w:p>
        </w:tc>
      </w:tr>
      <w:tr w14:paraId="1CBCE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655" w:type="dxa"/>
            <w:tcBorders>
              <w:tl2br w:val="nil"/>
              <w:tr2bl w:val="nil"/>
            </w:tcBorders>
            <w:vAlign w:val="center"/>
          </w:tcPr>
          <w:p w14:paraId="1B9D7DDF">
            <w:pPr>
              <w:adjustRightInd w:val="0"/>
              <w:snapToGrid w:val="0"/>
              <w:spacing w:line="240" w:lineRule="auto"/>
              <w:jc w:val="center"/>
              <w:rPr>
                <w:rFonts w:cs="Times New Roman"/>
                <w:sz w:val="21"/>
              </w:rPr>
            </w:pPr>
            <w:r>
              <w:rPr>
                <w:rFonts w:hint="eastAsia" w:cs="Times New Roman"/>
                <w:sz w:val="21"/>
              </w:rPr>
              <w:t>E2</w:t>
            </w:r>
          </w:p>
        </w:tc>
        <w:tc>
          <w:tcPr>
            <w:tcW w:w="8039" w:type="dxa"/>
            <w:tcBorders>
              <w:tl2br w:val="nil"/>
              <w:tr2bl w:val="nil"/>
            </w:tcBorders>
            <w:vAlign w:val="center"/>
          </w:tcPr>
          <w:p w14:paraId="107704B6">
            <w:pPr>
              <w:adjustRightInd w:val="0"/>
              <w:snapToGrid w:val="0"/>
              <w:spacing w:line="240" w:lineRule="auto"/>
              <w:jc w:val="center"/>
              <w:rPr>
                <w:rFonts w:cs="Times New Roman"/>
                <w:sz w:val="21"/>
              </w:rPr>
            </w:pPr>
            <w:r>
              <w:rPr>
                <w:rFonts w:hint="eastAsia" w:cs="Times New Roman"/>
                <w:sz w:val="21"/>
              </w:rPr>
              <w:t>周边5km范围内居住区、医疗卫生、文化教育、科研、行政办公等机构人后总数大于1万人，小于5万人；或周边500m范围内人口总数大于500人，小于1000人；油气、化学品输送管线管段周边200m范围内，每千米管段人口数大于100人，小于200人</w:t>
            </w:r>
          </w:p>
        </w:tc>
      </w:tr>
      <w:tr w14:paraId="014D9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655" w:type="dxa"/>
            <w:tcBorders>
              <w:tl2br w:val="nil"/>
              <w:tr2bl w:val="nil"/>
            </w:tcBorders>
            <w:vAlign w:val="center"/>
          </w:tcPr>
          <w:p w14:paraId="43815A29">
            <w:pPr>
              <w:adjustRightInd w:val="0"/>
              <w:snapToGrid w:val="0"/>
              <w:spacing w:line="240" w:lineRule="auto"/>
              <w:jc w:val="center"/>
              <w:rPr>
                <w:rFonts w:cs="Times New Roman"/>
                <w:sz w:val="21"/>
              </w:rPr>
            </w:pPr>
            <w:r>
              <w:rPr>
                <w:rFonts w:hint="eastAsia" w:cs="Times New Roman"/>
                <w:sz w:val="21"/>
              </w:rPr>
              <w:t>E3</w:t>
            </w:r>
          </w:p>
        </w:tc>
        <w:tc>
          <w:tcPr>
            <w:tcW w:w="8039" w:type="dxa"/>
            <w:tcBorders>
              <w:tl2br w:val="nil"/>
              <w:tr2bl w:val="nil"/>
            </w:tcBorders>
            <w:vAlign w:val="center"/>
          </w:tcPr>
          <w:p w14:paraId="750403B7">
            <w:pPr>
              <w:adjustRightInd w:val="0"/>
              <w:snapToGrid w:val="0"/>
              <w:spacing w:line="240" w:lineRule="auto"/>
              <w:jc w:val="center"/>
              <w:rPr>
                <w:rFonts w:cs="Times New Roman"/>
                <w:sz w:val="21"/>
              </w:rPr>
            </w:pPr>
            <w:r>
              <w:rPr>
                <w:rFonts w:hint="eastAsia" w:cs="Times New Roman"/>
                <w:sz w:val="21"/>
              </w:rPr>
              <w:t>周边5km范围内居住区、医疗卫生、文化教育、科研、行政办公等机构人后总数小于1万人；或周边500m范围内人口总数小于500人；油气、化学品输送管线管段周边200m范围内，每千米管段人口数小于100人</w:t>
            </w:r>
          </w:p>
        </w:tc>
      </w:tr>
    </w:tbl>
    <w:p w14:paraId="7ACC6449">
      <w:pPr>
        <w:autoSpaceDE w:val="0"/>
        <w:autoSpaceDN w:val="0"/>
        <w:adjustRightInd w:val="0"/>
        <w:snapToGrid w:val="0"/>
        <w:spacing w:line="240" w:lineRule="auto"/>
        <w:jc w:val="center"/>
        <w:textAlignment w:val="baseline"/>
        <w:rPr>
          <w:rFonts w:cs="Times New Roman"/>
          <w:b/>
          <w:kern w:val="24"/>
          <w:szCs w:val="20"/>
        </w:rPr>
      </w:pPr>
    </w:p>
    <w:p w14:paraId="2B9FA8F2">
      <w:pPr>
        <w:adjustRightInd w:val="0"/>
        <w:snapToGrid w:val="0"/>
        <w:ind w:firstLine="480" w:firstLineChars="200"/>
        <w:rPr>
          <w:rFonts w:cs="Times New Roman"/>
        </w:rPr>
      </w:pPr>
      <w:r>
        <w:rPr>
          <w:rFonts w:hint="eastAsia" w:cs="Times New Roman"/>
        </w:rPr>
        <w:t>本项目位于云浮市云安区六都镇茅坪坑，周边5公里范围内居住区、医疗卫生、文化教育、科研、行政办公等机构人口总数大于1万人且小于5万人，因此本次项目的大气环境敏感度属于E2类。</w:t>
      </w:r>
    </w:p>
    <w:p w14:paraId="761D0C47">
      <w:pPr>
        <w:adjustRightInd w:val="0"/>
        <w:snapToGrid w:val="0"/>
        <w:ind w:firstLine="480" w:firstLineChars="200"/>
        <w:rPr>
          <w:rFonts w:cs="Times New Roman"/>
        </w:rPr>
      </w:pPr>
      <w:r>
        <w:rPr>
          <w:rFonts w:hint="eastAsia" w:cs="Times New Roman"/>
        </w:rPr>
        <w:t>综上，对照</w:t>
      </w:r>
      <w:r>
        <w:rPr>
          <w:rFonts w:hint="eastAsia" w:cs="Times New Roman"/>
          <w:lang w:eastAsia="zh-CN"/>
        </w:rPr>
        <w:t>表3</w:t>
      </w:r>
      <w:r>
        <w:rPr>
          <w:rFonts w:hint="eastAsia" w:cs="Times New Roman"/>
        </w:rPr>
        <w:t>-7确定本项目大气环境敏感程度为E2。综上，对照</w:t>
      </w:r>
      <w:r>
        <w:rPr>
          <w:rFonts w:hint="eastAsia" w:cs="Times New Roman"/>
          <w:lang w:eastAsia="zh-CN"/>
        </w:rPr>
        <w:t>表3</w:t>
      </w:r>
      <w:r>
        <w:rPr>
          <w:rFonts w:hint="eastAsia" w:cs="Times New Roman"/>
        </w:rPr>
        <w:t>-2确定本项目大气环境风险潜势为Ⅲ。</w:t>
      </w:r>
    </w:p>
    <w:p w14:paraId="7684BF53">
      <w:pPr>
        <w:adjustRightInd w:val="0"/>
        <w:snapToGrid w:val="0"/>
        <w:ind w:firstLine="480" w:firstLineChars="200"/>
        <w:rPr>
          <w:rFonts w:cs="Times New Roman"/>
        </w:rPr>
      </w:pPr>
      <w:r>
        <w:rPr>
          <w:rFonts w:hint="eastAsia" w:cs="Times New Roman"/>
        </w:rPr>
        <w:t>②地表水环境敏感程度分级</w:t>
      </w:r>
    </w:p>
    <w:p w14:paraId="02098023">
      <w:pPr>
        <w:adjustRightInd w:val="0"/>
        <w:snapToGrid w:val="0"/>
        <w:ind w:firstLine="480" w:firstLineChars="200"/>
        <w:rPr>
          <w:rFonts w:cs="Times New Roman"/>
        </w:rPr>
      </w:pPr>
      <w:r>
        <w:rPr>
          <w:rFonts w:hint="eastAsia" w:cs="Times New Roman"/>
        </w:rPr>
        <w:t>依据事故情况下危险物质泄漏到水体的排放点受纳地表水体功能敏感性，与下游环境敏感目标种类型，E1为环境高度敏感区，E2为环境中度敏感区，E3为环境低度敏感区，分级原则见</w:t>
      </w:r>
      <w:r>
        <w:rPr>
          <w:rFonts w:hint="eastAsia" w:cs="Times New Roman"/>
          <w:lang w:eastAsia="zh-CN"/>
        </w:rPr>
        <w:t>表3</w:t>
      </w:r>
      <w:r>
        <w:rPr>
          <w:rFonts w:hint="eastAsia" w:cs="Times New Roman"/>
        </w:rPr>
        <w:t>-8。其中地表水功能敏感性分区和环境敏感目标分级分别见</w:t>
      </w:r>
      <w:r>
        <w:rPr>
          <w:rFonts w:hint="eastAsia" w:cs="Times New Roman"/>
          <w:lang w:eastAsia="zh-CN"/>
        </w:rPr>
        <w:t>表3</w:t>
      </w:r>
      <w:r>
        <w:rPr>
          <w:rFonts w:hint="eastAsia" w:cs="Times New Roman"/>
        </w:rPr>
        <w:t>-9和</w:t>
      </w:r>
      <w:r>
        <w:rPr>
          <w:rFonts w:hint="eastAsia" w:cs="Times New Roman"/>
          <w:lang w:eastAsia="zh-CN"/>
        </w:rPr>
        <w:t>表3</w:t>
      </w:r>
      <w:r>
        <w:rPr>
          <w:rFonts w:hint="eastAsia" w:cs="Times New Roman"/>
        </w:rPr>
        <w:t>-10。</w:t>
      </w:r>
    </w:p>
    <w:p w14:paraId="1C5F9DE2">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lang w:eastAsia="zh-CN"/>
        </w:rPr>
        <w:t>表3</w:t>
      </w:r>
      <w:r>
        <w:rPr>
          <w:rFonts w:hint="eastAsia" w:cs="Times New Roman"/>
          <w:b/>
          <w:kern w:val="24"/>
          <w:szCs w:val="20"/>
        </w:rPr>
        <w:t>-8 地表水环境敏感程度分级</w:t>
      </w:r>
    </w:p>
    <w:tbl>
      <w:tblPr>
        <w:tblStyle w:val="11"/>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2108"/>
        <w:gridCol w:w="2108"/>
        <w:gridCol w:w="2110"/>
      </w:tblGrid>
      <w:tr w14:paraId="00FE3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33" w:type="dxa"/>
            <w:vMerge w:val="restart"/>
            <w:tcBorders>
              <w:tl2br w:val="nil"/>
              <w:tr2bl w:val="nil"/>
            </w:tcBorders>
            <w:tcMar>
              <w:left w:w="57" w:type="dxa"/>
              <w:right w:w="57" w:type="dxa"/>
            </w:tcMar>
            <w:vAlign w:val="center"/>
          </w:tcPr>
          <w:p w14:paraId="3427BEC9">
            <w:pPr>
              <w:adjustRightInd w:val="0"/>
              <w:snapToGrid w:val="0"/>
              <w:spacing w:line="240" w:lineRule="auto"/>
              <w:jc w:val="center"/>
              <w:rPr>
                <w:rFonts w:cs="Times New Roman"/>
                <w:b/>
                <w:bCs/>
                <w:sz w:val="21"/>
              </w:rPr>
            </w:pPr>
            <w:r>
              <w:rPr>
                <w:rFonts w:hint="eastAsia" w:cs="Times New Roman"/>
                <w:b/>
                <w:bCs/>
                <w:sz w:val="21"/>
              </w:rPr>
              <w:t>环境敏感目标</w:t>
            </w:r>
          </w:p>
        </w:tc>
        <w:tc>
          <w:tcPr>
            <w:tcW w:w="6326" w:type="dxa"/>
            <w:gridSpan w:val="3"/>
            <w:tcBorders>
              <w:tl2br w:val="nil"/>
              <w:tr2bl w:val="nil"/>
            </w:tcBorders>
            <w:tcMar>
              <w:left w:w="57" w:type="dxa"/>
              <w:right w:w="57" w:type="dxa"/>
            </w:tcMar>
            <w:vAlign w:val="center"/>
          </w:tcPr>
          <w:p w14:paraId="26DC80BE">
            <w:pPr>
              <w:adjustRightInd w:val="0"/>
              <w:snapToGrid w:val="0"/>
              <w:spacing w:line="240" w:lineRule="auto"/>
              <w:jc w:val="center"/>
              <w:rPr>
                <w:rFonts w:cs="Times New Roman"/>
                <w:b/>
                <w:bCs/>
                <w:sz w:val="21"/>
              </w:rPr>
            </w:pPr>
            <w:r>
              <w:rPr>
                <w:rFonts w:hint="eastAsia" w:cs="Times New Roman"/>
                <w:b/>
                <w:bCs/>
                <w:sz w:val="21"/>
              </w:rPr>
              <w:t>地表水功能敏感性</w:t>
            </w:r>
          </w:p>
        </w:tc>
      </w:tr>
      <w:tr w14:paraId="017F3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933" w:type="dxa"/>
            <w:vMerge w:val="continue"/>
            <w:tcBorders>
              <w:tl2br w:val="nil"/>
              <w:tr2bl w:val="nil"/>
            </w:tcBorders>
            <w:tcMar>
              <w:left w:w="57" w:type="dxa"/>
              <w:right w:w="57" w:type="dxa"/>
            </w:tcMar>
            <w:vAlign w:val="center"/>
          </w:tcPr>
          <w:p w14:paraId="5D51CFC0">
            <w:pPr>
              <w:adjustRightInd w:val="0"/>
              <w:snapToGrid w:val="0"/>
              <w:spacing w:line="240" w:lineRule="auto"/>
              <w:jc w:val="center"/>
              <w:rPr>
                <w:rFonts w:cs="Times New Roman"/>
                <w:sz w:val="21"/>
              </w:rPr>
            </w:pPr>
          </w:p>
        </w:tc>
        <w:tc>
          <w:tcPr>
            <w:tcW w:w="2108" w:type="dxa"/>
            <w:tcBorders>
              <w:tl2br w:val="nil"/>
              <w:tr2bl w:val="nil"/>
            </w:tcBorders>
            <w:tcMar>
              <w:left w:w="57" w:type="dxa"/>
              <w:right w:w="57" w:type="dxa"/>
            </w:tcMar>
            <w:vAlign w:val="center"/>
          </w:tcPr>
          <w:p w14:paraId="43A099FE">
            <w:pPr>
              <w:adjustRightInd w:val="0"/>
              <w:snapToGrid w:val="0"/>
              <w:spacing w:line="240" w:lineRule="auto"/>
              <w:jc w:val="center"/>
              <w:rPr>
                <w:rFonts w:cs="Times New Roman"/>
                <w:b/>
                <w:bCs/>
                <w:sz w:val="21"/>
              </w:rPr>
            </w:pPr>
            <w:r>
              <w:rPr>
                <w:rFonts w:hint="eastAsia" w:cs="Times New Roman"/>
                <w:b/>
                <w:bCs/>
                <w:sz w:val="21"/>
              </w:rPr>
              <w:t>F1</w:t>
            </w:r>
          </w:p>
        </w:tc>
        <w:tc>
          <w:tcPr>
            <w:tcW w:w="2108" w:type="dxa"/>
            <w:tcBorders>
              <w:tl2br w:val="nil"/>
              <w:tr2bl w:val="nil"/>
            </w:tcBorders>
            <w:tcMar>
              <w:left w:w="57" w:type="dxa"/>
              <w:right w:w="57" w:type="dxa"/>
            </w:tcMar>
            <w:vAlign w:val="center"/>
          </w:tcPr>
          <w:p w14:paraId="57BD7A73">
            <w:pPr>
              <w:adjustRightInd w:val="0"/>
              <w:snapToGrid w:val="0"/>
              <w:spacing w:line="240" w:lineRule="auto"/>
              <w:jc w:val="center"/>
              <w:rPr>
                <w:rFonts w:cs="Times New Roman"/>
                <w:b/>
                <w:bCs/>
                <w:sz w:val="21"/>
              </w:rPr>
            </w:pPr>
            <w:r>
              <w:rPr>
                <w:rFonts w:hint="eastAsia" w:cs="Times New Roman"/>
                <w:b/>
                <w:bCs/>
                <w:sz w:val="21"/>
              </w:rPr>
              <w:t>F2</w:t>
            </w:r>
          </w:p>
        </w:tc>
        <w:tc>
          <w:tcPr>
            <w:tcW w:w="2110" w:type="dxa"/>
            <w:tcBorders>
              <w:tl2br w:val="nil"/>
              <w:tr2bl w:val="nil"/>
            </w:tcBorders>
            <w:tcMar>
              <w:left w:w="57" w:type="dxa"/>
              <w:right w:w="57" w:type="dxa"/>
            </w:tcMar>
            <w:vAlign w:val="center"/>
          </w:tcPr>
          <w:p w14:paraId="55684117">
            <w:pPr>
              <w:adjustRightInd w:val="0"/>
              <w:snapToGrid w:val="0"/>
              <w:spacing w:line="240" w:lineRule="auto"/>
              <w:jc w:val="center"/>
              <w:rPr>
                <w:rFonts w:cs="Times New Roman"/>
                <w:b/>
                <w:bCs/>
                <w:sz w:val="21"/>
              </w:rPr>
            </w:pPr>
            <w:r>
              <w:rPr>
                <w:rFonts w:hint="eastAsia" w:cs="Times New Roman"/>
                <w:b/>
                <w:bCs/>
                <w:sz w:val="21"/>
              </w:rPr>
              <w:t>F3</w:t>
            </w:r>
          </w:p>
        </w:tc>
      </w:tr>
      <w:tr w14:paraId="0A735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933" w:type="dxa"/>
            <w:tcBorders>
              <w:tl2br w:val="nil"/>
              <w:tr2bl w:val="nil"/>
            </w:tcBorders>
            <w:tcMar>
              <w:left w:w="57" w:type="dxa"/>
              <w:right w:w="57" w:type="dxa"/>
            </w:tcMar>
            <w:vAlign w:val="center"/>
          </w:tcPr>
          <w:p w14:paraId="007467E3">
            <w:pPr>
              <w:adjustRightInd w:val="0"/>
              <w:snapToGrid w:val="0"/>
              <w:spacing w:line="240" w:lineRule="auto"/>
              <w:jc w:val="center"/>
              <w:rPr>
                <w:rFonts w:cs="Times New Roman"/>
                <w:b/>
                <w:bCs/>
                <w:sz w:val="21"/>
              </w:rPr>
            </w:pPr>
            <w:r>
              <w:rPr>
                <w:rFonts w:hint="eastAsia" w:cs="Times New Roman"/>
                <w:b/>
                <w:bCs/>
                <w:sz w:val="21"/>
              </w:rPr>
              <w:t>S1</w:t>
            </w:r>
          </w:p>
        </w:tc>
        <w:tc>
          <w:tcPr>
            <w:tcW w:w="2108" w:type="dxa"/>
            <w:tcBorders>
              <w:tl2br w:val="nil"/>
              <w:tr2bl w:val="nil"/>
            </w:tcBorders>
            <w:tcMar>
              <w:left w:w="57" w:type="dxa"/>
              <w:right w:w="57" w:type="dxa"/>
            </w:tcMar>
            <w:vAlign w:val="center"/>
          </w:tcPr>
          <w:p w14:paraId="0F1F04BA">
            <w:pPr>
              <w:adjustRightInd w:val="0"/>
              <w:snapToGrid w:val="0"/>
              <w:spacing w:line="240" w:lineRule="auto"/>
              <w:jc w:val="center"/>
              <w:rPr>
                <w:rFonts w:cs="Times New Roman"/>
                <w:sz w:val="21"/>
              </w:rPr>
            </w:pPr>
            <w:r>
              <w:rPr>
                <w:rFonts w:hint="eastAsia" w:cs="Times New Roman"/>
                <w:sz w:val="21"/>
              </w:rPr>
              <w:t>E1</w:t>
            </w:r>
          </w:p>
        </w:tc>
        <w:tc>
          <w:tcPr>
            <w:tcW w:w="2108" w:type="dxa"/>
            <w:tcBorders>
              <w:tl2br w:val="nil"/>
              <w:tr2bl w:val="nil"/>
            </w:tcBorders>
            <w:tcMar>
              <w:left w:w="57" w:type="dxa"/>
              <w:right w:w="57" w:type="dxa"/>
            </w:tcMar>
            <w:vAlign w:val="center"/>
          </w:tcPr>
          <w:p w14:paraId="36422A56">
            <w:pPr>
              <w:adjustRightInd w:val="0"/>
              <w:snapToGrid w:val="0"/>
              <w:spacing w:line="240" w:lineRule="auto"/>
              <w:jc w:val="center"/>
              <w:rPr>
                <w:rFonts w:cs="Times New Roman"/>
                <w:sz w:val="21"/>
              </w:rPr>
            </w:pPr>
            <w:r>
              <w:rPr>
                <w:rFonts w:hint="eastAsia" w:cs="Times New Roman"/>
                <w:sz w:val="21"/>
              </w:rPr>
              <w:t>E1</w:t>
            </w:r>
          </w:p>
        </w:tc>
        <w:tc>
          <w:tcPr>
            <w:tcW w:w="2110" w:type="dxa"/>
            <w:tcBorders>
              <w:tl2br w:val="nil"/>
              <w:tr2bl w:val="nil"/>
            </w:tcBorders>
            <w:tcMar>
              <w:left w:w="57" w:type="dxa"/>
              <w:right w:w="57" w:type="dxa"/>
            </w:tcMar>
            <w:vAlign w:val="center"/>
          </w:tcPr>
          <w:p w14:paraId="52C03B8C">
            <w:pPr>
              <w:adjustRightInd w:val="0"/>
              <w:snapToGrid w:val="0"/>
              <w:spacing w:line="240" w:lineRule="auto"/>
              <w:jc w:val="center"/>
              <w:rPr>
                <w:rFonts w:cs="Times New Roman"/>
                <w:sz w:val="21"/>
              </w:rPr>
            </w:pPr>
            <w:r>
              <w:rPr>
                <w:rFonts w:hint="eastAsia" w:cs="Times New Roman"/>
                <w:sz w:val="21"/>
              </w:rPr>
              <w:t>E2</w:t>
            </w:r>
          </w:p>
        </w:tc>
      </w:tr>
      <w:tr w14:paraId="75C68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933" w:type="dxa"/>
            <w:tcBorders>
              <w:tl2br w:val="nil"/>
              <w:tr2bl w:val="nil"/>
            </w:tcBorders>
            <w:tcMar>
              <w:left w:w="57" w:type="dxa"/>
              <w:right w:w="57" w:type="dxa"/>
            </w:tcMar>
            <w:vAlign w:val="center"/>
          </w:tcPr>
          <w:p w14:paraId="7AF591D0">
            <w:pPr>
              <w:adjustRightInd w:val="0"/>
              <w:snapToGrid w:val="0"/>
              <w:spacing w:line="240" w:lineRule="auto"/>
              <w:jc w:val="center"/>
              <w:rPr>
                <w:rFonts w:cs="Times New Roman"/>
                <w:b/>
                <w:bCs/>
                <w:sz w:val="21"/>
              </w:rPr>
            </w:pPr>
            <w:r>
              <w:rPr>
                <w:rFonts w:hint="eastAsia" w:cs="Times New Roman"/>
                <w:b/>
                <w:bCs/>
                <w:sz w:val="21"/>
              </w:rPr>
              <w:t>S2</w:t>
            </w:r>
          </w:p>
        </w:tc>
        <w:tc>
          <w:tcPr>
            <w:tcW w:w="2108" w:type="dxa"/>
            <w:tcBorders>
              <w:tl2br w:val="nil"/>
              <w:tr2bl w:val="nil"/>
            </w:tcBorders>
            <w:tcMar>
              <w:left w:w="57" w:type="dxa"/>
              <w:right w:w="57" w:type="dxa"/>
            </w:tcMar>
            <w:vAlign w:val="center"/>
          </w:tcPr>
          <w:p w14:paraId="08365B4B">
            <w:pPr>
              <w:adjustRightInd w:val="0"/>
              <w:snapToGrid w:val="0"/>
              <w:spacing w:line="240" w:lineRule="auto"/>
              <w:jc w:val="center"/>
              <w:rPr>
                <w:rFonts w:cs="Times New Roman"/>
                <w:sz w:val="21"/>
              </w:rPr>
            </w:pPr>
            <w:r>
              <w:rPr>
                <w:rFonts w:hint="eastAsia" w:cs="Times New Roman"/>
                <w:sz w:val="21"/>
              </w:rPr>
              <w:t>E1</w:t>
            </w:r>
          </w:p>
        </w:tc>
        <w:tc>
          <w:tcPr>
            <w:tcW w:w="2108" w:type="dxa"/>
            <w:tcBorders>
              <w:tl2br w:val="nil"/>
              <w:tr2bl w:val="nil"/>
            </w:tcBorders>
            <w:tcMar>
              <w:left w:w="57" w:type="dxa"/>
              <w:right w:w="57" w:type="dxa"/>
            </w:tcMar>
            <w:vAlign w:val="center"/>
          </w:tcPr>
          <w:p w14:paraId="1EA6968E">
            <w:pPr>
              <w:adjustRightInd w:val="0"/>
              <w:snapToGrid w:val="0"/>
              <w:spacing w:line="240" w:lineRule="auto"/>
              <w:jc w:val="center"/>
              <w:rPr>
                <w:rFonts w:cs="Times New Roman"/>
                <w:sz w:val="21"/>
              </w:rPr>
            </w:pPr>
            <w:r>
              <w:rPr>
                <w:rFonts w:hint="eastAsia" w:cs="Times New Roman"/>
                <w:sz w:val="21"/>
              </w:rPr>
              <w:t>E2</w:t>
            </w:r>
          </w:p>
        </w:tc>
        <w:tc>
          <w:tcPr>
            <w:tcW w:w="2110" w:type="dxa"/>
            <w:tcBorders>
              <w:tl2br w:val="nil"/>
              <w:tr2bl w:val="nil"/>
            </w:tcBorders>
            <w:tcMar>
              <w:left w:w="57" w:type="dxa"/>
              <w:right w:w="57" w:type="dxa"/>
            </w:tcMar>
            <w:vAlign w:val="center"/>
          </w:tcPr>
          <w:p w14:paraId="25D15FFF">
            <w:pPr>
              <w:adjustRightInd w:val="0"/>
              <w:snapToGrid w:val="0"/>
              <w:spacing w:line="240" w:lineRule="auto"/>
              <w:jc w:val="center"/>
              <w:rPr>
                <w:rFonts w:cs="Times New Roman"/>
                <w:sz w:val="21"/>
              </w:rPr>
            </w:pPr>
            <w:r>
              <w:rPr>
                <w:rFonts w:hint="eastAsia" w:cs="Times New Roman"/>
                <w:sz w:val="21"/>
              </w:rPr>
              <w:t>E3</w:t>
            </w:r>
          </w:p>
        </w:tc>
      </w:tr>
      <w:tr w14:paraId="2DDD8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933" w:type="dxa"/>
            <w:tcBorders>
              <w:tl2br w:val="nil"/>
              <w:tr2bl w:val="nil"/>
            </w:tcBorders>
            <w:tcMar>
              <w:left w:w="57" w:type="dxa"/>
              <w:right w:w="57" w:type="dxa"/>
            </w:tcMar>
            <w:vAlign w:val="center"/>
          </w:tcPr>
          <w:p w14:paraId="7BCE68C1">
            <w:pPr>
              <w:adjustRightInd w:val="0"/>
              <w:snapToGrid w:val="0"/>
              <w:spacing w:line="240" w:lineRule="auto"/>
              <w:jc w:val="center"/>
              <w:rPr>
                <w:rFonts w:cs="Times New Roman"/>
                <w:b/>
                <w:bCs/>
                <w:sz w:val="21"/>
              </w:rPr>
            </w:pPr>
            <w:r>
              <w:rPr>
                <w:rFonts w:hint="eastAsia" w:cs="Times New Roman"/>
                <w:b/>
                <w:bCs/>
                <w:sz w:val="21"/>
              </w:rPr>
              <w:t>S3</w:t>
            </w:r>
          </w:p>
        </w:tc>
        <w:tc>
          <w:tcPr>
            <w:tcW w:w="2108" w:type="dxa"/>
            <w:tcBorders>
              <w:tl2br w:val="nil"/>
              <w:tr2bl w:val="nil"/>
            </w:tcBorders>
            <w:tcMar>
              <w:left w:w="57" w:type="dxa"/>
              <w:right w:w="57" w:type="dxa"/>
            </w:tcMar>
            <w:vAlign w:val="center"/>
          </w:tcPr>
          <w:p w14:paraId="5E922504">
            <w:pPr>
              <w:adjustRightInd w:val="0"/>
              <w:snapToGrid w:val="0"/>
              <w:spacing w:line="240" w:lineRule="auto"/>
              <w:jc w:val="center"/>
              <w:rPr>
                <w:rFonts w:cs="Times New Roman"/>
                <w:sz w:val="21"/>
              </w:rPr>
            </w:pPr>
            <w:r>
              <w:rPr>
                <w:rFonts w:hint="eastAsia" w:cs="Times New Roman"/>
                <w:sz w:val="21"/>
              </w:rPr>
              <w:t>E1</w:t>
            </w:r>
          </w:p>
        </w:tc>
        <w:tc>
          <w:tcPr>
            <w:tcW w:w="2108" w:type="dxa"/>
            <w:tcBorders>
              <w:tl2br w:val="nil"/>
              <w:tr2bl w:val="nil"/>
            </w:tcBorders>
            <w:shd w:val="clear" w:color="auto" w:fill="BEBEBE"/>
            <w:tcMar>
              <w:left w:w="57" w:type="dxa"/>
              <w:right w:w="57" w:type="dxa"/>
            </w:tcMar>
            <w:vAlign w:val="center"/>
          </w:tcPr>
          <w:p w14:paraId="029E2A6B">
            <w:pPr>
              <w:adjustRightInd w:val="0"/>
              <w:snapToGrid w:val="0"/>
              <w:spacing w:line="240" w:lineRule="auto"/>
              <w:jc w:val="center"/>
              <w:rPr>
                <w:rFonts w:cs="Times New Roman"/>
                <w:sz w:val="21"/>
              </w:rPr>
            </w:pPr>
            <w:r>
              <w:rPr>
                <w:rFonts w:hint="eastAsia" w:cs="Times New Roman"/>
                <w:sz w:val="21"/>
              </w:rPr>
              <w:t>E2</w:t>
            </w:r>
          </w:p>
        </w:tc>
        <w:tc>
          <w:tcPr>
            <w:tcW w:w="2110" w:type="dxa"/>
            <w:tcBorders>
              <w:tl2br w:val="nil"/>
              <w:tr2bl w:val="nil"/>
            </w:tcBorders>
            <w:tcMar>
              <w:left w:w="57" w:type="dxa"/>
              <w:right w:w="57" w:type="dxa"/>
            </w:tcMar>
            <w:vAlign w:val="center"/>
          </w:tcPr>
          <w:p w14:paraId="11574E9B">
            <w:pPr>
              <w:adjustRightInd w:val="0"/>
              <w:snapToGrid w:val="0"/>
              <w:spacing w:line="240" w:lineRule="auto"/>
              <w:jc w:val="center"/>
              <w:rPr>
                <w:rFonts w:cs="Times New Roman"/>
                <w:sz w:val="21"/>
              </w:rPr>
            </w:pPr>
            <w:r>
              <w:rPr>
                <w:rFonts w:hint="eastAsia" w:cs="Times New Roman"/>
                <w:sz w:val="21"/>
              </w:rPr>
              <w:t>E3</w:t>
            </w:r>
          </w:p>
        </w:tc>
      </w:tr>
    </w:tbl>
    <w:p w14:paraId="30A7C9DA">
      <w:pPr>
        <w:autoSpaceDE w:val="0"/>
        <w:autoSpaceDN w:val="0"/>
        <w:adjustRightInd w:val="0"/>
        <w:snapToGrid w:val="0"/>
        <w:spacing w:line="240" w:lineRule="auto"/>
        <w:jc w:val="center"/>
        <w:textAlignment w:val="baseline"/>
        <w:rPr>
          <w:rFonts w:cs="Times New Roman"/>
          <w:b/>
          <w:kern w:val="24"/>
          <w:szCs w:val="20"/>
        </w:rPr>
      </w:pPr>
    </w:p>
    <w:p w14:paraId="32371E90">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lang w:eastAsia="zh-CN"/>
        </w:rPr>
        <w:t>表3</w:t>
      </w:r>
      <w:r>
        <w:rPr>
          <w:rFonts w:hint="eastAsia" w:cs="Times New Roman"/>
          <w:b/>
          <w:kern w:val="24"/>
          <w:szCs w:val="20"/>
        </w:rPr>
        <w:t>-9 地表水功能敏感性分区</w:t>
      </w:r>
    </w:p>
    <w:tbl>
      <w:tblPr>
        <w:tblStyle w:val="12"/>
        <w:tblW w:w="84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1033"/>
        <w:gridCol w:w="7442"/>
      </w:tblGrid>
      <w:tr w14:paraId="098EA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14" w:hRule="atLeast"/>
          <w:jc w:val="center"/>
        </w:trPr>
        <w:tc>
          <w:tcPr>
            <w:tcW w:w="1033" w:type="dxa"/>
            <w:tcBorders>
              <w:tl2br w:val="nil"/>
              <w:tr2bl w:val="nil"/>
            </w:tcBorders>
            <w:vAlign w:val="center"/>
          </w:tcPr>
          <w:p w14:paraId="545B4149">
            <w:pPr>
              <w:adjustRightInd w:val="0"/>
              <w:snapToGrid w:val="0"/>
              <w:spacing w:line="240" w:lineRule="auto"/>
              <w:jc w:val="center"/>
              <w:rPr>
                <w:rFonts w:cs="Times New Roman"/>
                <w:b/>
                <w:bCs/>
                <w:sz w:val="21"/>
              </w:rPr>
            </w:pPr>
            <w:r>
              <w:rPr>
                <w:rFonts w:hint="eastAsia" w:cs="Times New Roman"/>
                <w:b/>
                <w:bCs/>
                <w:sz w:val="21"/>
              </w:rPr>
              <w:t>敏感性</w:t>
            </w:r>
          </w:p>
        </w:tc>
        <w:tc>
          <w:tcPr>
            <w:tcW w:w="7442" w:type="dxa"/>
            <w:tcBorders>
              <w:tl2br w:val="nil"/>
              <w:tr2bl w:val="nil"/>
            </w:tcBorders>
            <w:vAlign w:val="center"/>
          </w:tcPr>
          <w:p w14:paraId="3C99A363">
            <w:pPr>
              <w:adjustRightInd w:val="0"/>
              <w:snapToGrid w:val="0"/>
              <w:spacing w:line="240" w:lineRule="auto"/>
              <w:jc w:val="center"/>
              <w:rPr>
                <w:rFonts w:cs="Times New Roman"/>
                <w:b/>
                <w:bCs/>
                <w:sz w:val="21"/>
              </w:rPr>
            </w:pPr>
            <w:r>
              <w:rPr>
                <w:rFonts w:hint="eastAsia" w:cs="Times New Roman"/>
                <w:b/>
                <w:bCs/>
                <w:sz w:val="21"/>
              </w:rPr>
              <w:t>地表水环境敏感特征</w:t>
            </w:r>
          </w:p>
        </w:tc>
      </w:tr>
      <w:tr w14:paraId="499E6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1033" w:type="dxa"/>
            <w:tcBorders>
              <w:tl2br w:val="nil"/>
              <w:tr2bl w:val="nil"/>
            </w:tcBorders>
            <w:vAlign w:val="center"/>
          </w:tcPr>
          <w:p w14:paraId="4AD0E6B8">
            <w:pPr>
              <w:adjustRightInd w:val="0"/>
              <w:snapToGrid w:val="0"/>
              <w:spacing w:line="240" w:lineRule="auto"/>
              <w:jc w:val="center"/>
              <w:rPr>
                <w:rFonts w:cs="Times New Roman"/>
                <w:sz w:val="21"/>
              </w:rPr>
            </w:pPr>
            <w:r>
              <w:rPr>
                <w:rFonts w:hint="eastAsia" w:cs="Times New Roman"/>
                <w:sz w:val="21"/>
              </w:rPr>
              <w:t>敏感F1</w:t>
            </w:r>
          </w:p>
        </w:tc>
        <w:tc>
          <w:tcPr>
            <w:tcW w:w="7442" w:type="dxa"/>
            <w:tcBorders>
              <w:tl2br w:val="nil"/>
              <w:tr2bl w:val="nil"/>
            </w:tcBorders>
            <w:vAlign w:val="center"/>
          </w:tcPr>
          <w:p w14:paraId="1391E0B4">
            <w:pPr>
              <w:adjustRightInd w:val="0"/>
              <w:snapToGrid w:val="0"/>
              <w:spacing w:line="240" w:lineRule="auto"/>
              <w:jc w:val="center"/>
              <w:rPr>
                <w:rFonts w:cs="Times New Roman"/>
                <w:sz w:val="21"/>
              </w:rPr>
            </w:pPr>
            <w:r>
              <w:rPr>
                <w:rFonts w:hint="eastAsia" w:cs="Times New Roman"/>
                <w:sz w:val="21"/>
              </w:rPr>
              <w:t>排放点进入地表水水域环境功能为Ⅱ类及以上，或海水水质分类第一类；或以发生事故时，危险物质泄漏到水体的排放点算起，排放进入受纳河流最大流速时，24h流经范围内涉跨国界的</w:t>
            </w:r>
          </w:p>
        </w:tc>
      </w:tr>
      <w:tr w14:paraId="6C490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1033" w:type="dxa"/>
            <w:tcBorders>
              <w:tl2br w:val="nil"/>
              <w:tr2bl w:val="nil"/>
            </w:tcBorders>
            <w:vAlign w:val="center"/>
          </w:tcPr>
          <w:p w14:paraId="25029E9D">
            <w:pPr>
              <w:adjustRightInd w:val="0"/>
              <w:snapToGrid w:val="0"/>
              <w:spacing w:line="240" w:lineRule="auto"/>
              <w:jc w:val="center"/>
              <w:rPr>
                <w:rFonts w:cs="Times New Roman"/>
                <w:sz w:val="21"/>
              </w:rPr>
            </w:pPr>
            <w:r>
              <w:rPr>
                <w:rFonts w:hint="eastAsia" w:cs="Times New Roman"/>
                <w:sz w:val="21"/>
              </w:rPr>
              <w:t>较敏感F2</w:t>
            </w:r>
          </w:p>
        </w:tc>
        <w:tc>
          <w:tcPr>
            <w:tcW w:w="7442" w:type="dxa"/>
            <w:tcBorders>
              <w:tl2br w:val="nil"/>
              <w:tr2bl w:val="nil"/>
            </w:tcBorders>
            <w:vAlign w:val="center"/>
          </w:tcPr>
          <w:p w14:paraId="6D38885E">
            <w:pPr>
              <w:adjustRightInd w:val="0"/>
              <w:snapToGrid w:val="0"/>
              <w:spacing w:line="240" w:lineRule="auto"/>
              <w:jc w:val="center"/>
              <w:rPr>
                <w:rFonts w:cs="Times New Roman"/>
                <w:sz w:val="21"/>
              </w:rPr>
            </w:pPr>
            <w:r>
              <w:rPr>
                <w:rFonts w:hint="eastAsia" w:cs="Times New Roman"/>
                <w:sz w:val="21"/>
              </w:rPr>
              <w:t>排放点进入地表水水域环境功能为Ⅲ类，或海水水质分类第二类；或以发生事故时，危险物质泄漏到水体的排放点算起，排放进入受纳河流最大流速时，24h流经范围内涉跨省界的</w:t>
            </w:r>
          </w:p>
        </w:tc>
      </w:tr>
      <w:tr w14:paraId="32605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1033" w:type="dxa"/>
            <w:tcBorders>
              <w:tl2br w:val="nil"/>
              <w:tr2bl w:val="nil"/>
            </w:tcBorders>
            <w:vAlign w:val="center"/>
          </w:tcPr>
          <w:p w14:paraId="0B39BA86">
            <w:pPr>
              <w:adjustRightInd w:val="0"/>
              <w:snapToGrid w:val="0"/>
              <w:spacing w:line="240" w:lineRule="auto"/>
              <w:jc w:val="center"/>
              <w:rPr>
                <w:rFonts w:cs="Times New Roman"/>
                <w:sz w:val="21"/>
              </w:rPr>
            </w:pPr>
            <w:r>
              <w:rPr>
                <w:rFonts w:hint="eastAsia" w:cs="Times New Roman"/>
                <w:sz w:val="21"/>
              </w:rPr>
              <w:t>低敏感F3</w:t>
            </w:r>
          </w:p>
        </w:tc>
        <w:tc>
          <w:tcPr>
            <w:tcW w:w="7442" w:type="dxa"/>
            <w:tcBorders>
              <w:tl2br w:val="nil"/>
              <w:tr2bl w:val="nil"/>
            </w:tcBorders>
            <w:vAlign w:val="center"/>
          </w:tcPr>
          <w:p w14:paraId="4FB9ABA6">
            <w:pPr>
              <w:adjustRightInd w:val="0"/>
              <w:snapToGrid w:val="0"/>
              <w:spacing w:line="240" w:lineRule="auto"/>
              <w:jc w:val="center"/>
              <w:rPr>
                <w:rFonts w:cs="Times New Roman"/>
                <w:sz w:val="21"/>
              </w:rPr>
            </w:pPr>
            <w:r>
              <w:rPr>
                <w:rFonts w:hint="eastAsia" w:cs="Times New Roman"/>
                <w:sz w:val="21"/>
              </w:rPr>
              <w:t>上述地区之外的其他地区</w:t>
            </w:r>
          </w:p>
        </w:tc>
      </w:tr>
    </w:tbl>
    <w:p w14:paraId="77DB7B62">
      <w:pPr>
        <w:autoSpaceDE w:val="0"/>
        <w:autoSpaceDN w:val="0"/>
        <w:adjustRightInd w:val="0"/>
        <w:snapToGrid w:val="0"/>
        <w:spacing w:line="240" w:lineRule="auto"/>
        <w:jc w:val="center"/>
        <w:textAlignment w:val="baseline"/>
        <w:rPr>
          <w:rFonts w:cs="Times New Roman"/>
          <w:b/>
          <w:kern w:val="24"/>
          <w:szCs w:val="20"/>
        </w:rPr>
      </w:pPr>
    </w:p>
    <w:p w14:paraId="44944EEA">
      <w:pPr>
        <w:adjustRightInd w:val="0"/>
        <w:snapToGrid w:val="0"/>
        <w:ind w:firstLine="480" w:firstLineChars="200"/>
        <w:rPr>
          <w:rFonts w:cs="Times New Roman"/>
        </w:rPr>
      </w:pPr>
      <w:r>
        <w:rPr>
          <w:rFonts w:hint="eastAsia" w:cs="Times New Roman"/>
        </w:rPr>
        <w:t>本项目发生事故情况下危险物质泄漏到的水体为</w:t>
      </w:r>
      <w:r>
        <w:rPr>
          <w:rFonts w:hint="eastAsia" w:cs="Times New Roman"/>
          <w:color w:val="000000"/>
        </w:rPr>
        <w:t>逢源河</w:t>
      </w:r>
      <w:r>
        <w:rPr>
          <w:rFonts w:hint="eastAsia" w:cs="Times New Roman"/>
        </w:rPr>
        <w:t>，</w:t>
      </w:r>
      <w:r>
        <w:rPr>
          <w:rFonts w:hint="eastAsia" w:cs="Times New Roman"/>
          <w:color w:val="000000"/>
        </w:rPr>
        <w:t>逢源河</w:t>
      </w:r>
      <w:r>
        <w:rPr>
          <w:rFonts w:hint="eastAsia" w:cs="Times New Roman"/>
        </w:rPr>
        <w:t>属Ⅲ类地表水体；危险物质泄漏到</w:t>
      </w:r>
      <w:r>
        <w:rPr>
          <w:rFonts w:hint="eastAsia" w:cs="Times New Roman"/>
          <w:color w:val="000000"/>
        </w:rPr>
        <w:t>逢源河</w:t>
      </w:r>
      <w:r>
        <w:rPr>
          <w:rFonts w:hint="eastAsia" w:cs="Times New Roman"/>
        </w:rPr>
        <w:t>后24h内流经范围不涉跨国界和省界，因此对照</w:t>
      </w:r>
      <w:r>
        <w:rPr>
          <w:rFonts w:hint="eastAsia" w:cs="Times New Roman"/>
          <w:lang w:eastAsia="zh-CN"/>
        </w:rPr>
        <w:t>表3</w:t>
      </w:r>
      <w:r>
        <w:rPr>
          <w:rFonts w:hint="eastAsia" w:cs="Times New Roman"/>
        </w:rPr>
        <w:t>-9确定本项目地表水环境敏感性为较敏感F2。</w:t>
      </w:r>
    </w:p>
    <w:p w14:paraId="6B41D2D3">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lang w:eastAsia="zh-CN"/>
        </w:rPr>
        <w:t>表3</w:t>
      </w:r>
      <w:r>
        <w:rPr>
          <w:rFonts w:hint="eastAsia" w:cs="Times New Roman"/>
          <w:b/>
          <w:kern w:val="24"/>
          <w:szCs w:val="20"/>
        </w:rPr>
        <w:t>-10 地表水环境敏感目标分级</w:t>
      </w:r>
    </w:p>
    <w:tbl>
      <w:tblPr>
        <w:tblStyle w:val="12"/>
        <w:tblW w:w="89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693"/>
        <w:gridCol w:w="8301"/>
      </w:tblGrid>
      <w:tr w14:paraId="73E40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14" w:hRule="atLeast"/>
          <w:jc w:val="center"/>
        </w:trPr>
        <w:tc>
          <w:tcPr>
            <w:tcW w:w="693" w:type="dxa"/>
            <w:tcBorders>
              <w:tl2br w:val="nil"/>
              <w:tr2bl w:val="nil"/>
            </w:tcBorders>
            <w:vAlign w:val="center"/>
          </w:tcPr>
          <w:p w14:paraId="4D642F1A">
            <w:pPr>
              <w:adjustRightInd w:val="0"/>
              <w:snapToGrid w:val="0"/>
              <w:spacing w:line="240" w:lineRule="auto"/>
              <w:jc w:val="center"/>
              <w:rPr>
                <w:rFonts w:cs="Times New Roman"/>
                <w:b/>
                <w:bCs/>
                <w:sz w:val="21"/>
              </w:rPr>
            </w:pPr>
            <w:r>
              <w:rPr>
                <w:rFonts w:hint="eastAsia" w:cs="Times New Roman"/>
                <w:b/>
                <w:bCs/>
                <w:sz w:val="21"/>
              </w:rPr>
              <w:t>分级</w:t>
            </w:r>
          </w:p>
        </w:tc>
        <w:tc>
          <w:tcPr>
            <w:tcW w:w="8301" w:type="dxa"/>
            <w:tcBorders>
              <w:tl2br w:val="nil"/>
              <w:tr2bl w:val="nil"/>
            </w:tcBorders>
            <w:vAlign w:val="center"/>
          </w:tcPr>
          <w:p w14:paraId="798707A7">
            <w:pPr>
              <w:adjustRightInd w:val="0"/>
              <w:snapToGrid w:val="0"/>
              <w:spacing w:line="240" w:lineRule="auto"/>
              <w:jc w:val="center"/>
              <w:rPr>
                <w:rFonts w:cs="Times New Roman"/>
                <w:b/>
                <w:bCs/>
                <w:sz w:val="21"/>
              </w:rPr>
            </w:pPr>
            <w:r>
              <w:rPr>
                <w:rFonts w:hint="eastAsia" w:cs="Times New Roman"/>
                <w:b/>
                <w:bCs/>
                <w:sz w:val="21"/>
              </w:rPr>
              <w:t>环境敏感目标</w:t>
            </w:r>
          </w:p>
        </w:tc>
      </w:tr>
      <w:tr w14:paraId="56A01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693" w:type="dxa"/>
            <w:tcBorders>
              <w:tl2br w:val="nil"/>
              <w:tr2bl w:val="nil"/>
            </w:tcBorders>
            <w:vAlign w:val="center"/>
          </w:tcPr>
          <w:p w14:paraId="263B5E6A">
            <w:pPr>
              <w:adjustRightInd w:val="0"/>
              <w:snapToGrid w:val="0"/>
              <w:spacing w:line="240" w:lineRule="auto"/>
              <w:jc w:val="center"/>
              <w:rPr>
                <w:rFonts w:cs="Times New Roman"/>
                <w:sz w:val="21"/>
              </w:rPr>
            </w:pPr>
            <w:r>
              <w:rPr>
                <w:rFonts w:hint="eastAsia" w:cs="Times New Roman"/>
                <w:sz w:val="21"/>
              </w:rPr>
              <w:t>S1</w:t>
            </w:r>
          </w:p>
        </w:tc>
        <w:tc>
          <w:tcPr>
            <w:tcW w:w="8301" w:type="dxa"/>
            <w:tcBorders>
              <w:tl2br w:val="nil"/>
              <w:tr2bl w:val="nil"/>
            </w:tcBorders>
            <w:vAlign w:val="center"/>
          </w:tcPr>
          <w:p w14:paraId="62F262D0">
            <w:pPr>
              <w:adjustRightInd w:val="0"/>
              <w:snapToGrid w:val="0"/>
              <w:spacing w:line="240" w:lineRule="auto"/>
              <w:jc w:val="center"/>
              <w:rPr>
                <w:rFonts w:cs="Times New Roman"/>
                <w:sz w:val="21"/>
              </w:rPr>
            </w:pPr>
            <w:r>
              <w:rPr>
                <w:rFonts w:hint="eastAsia" w:cs="Times New Roman"/>
                <w:sz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惜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500B4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693" w:type="dxa"/>
            <w:tcBorders>
              <w:tl2br w:val="nil"/>
              <w:tr2bl w:val="nil"/>
            </w:tcBorders>
            <w:vAlign w:val="center"/>
          </w:tcPr>
          <w:p w14:paraId="50563F21">
            <w:pPr>
              <w:adjustRightInd w:val="0"/>
              <w:snapToGrid w:val="0"/>
              <w:spacing w:line="240" w:lineRule="auto"/>
              <w:jc w:val="center"/>
              <w:rPr>
                <w:rFonts w:cs="Times New Roman"/>
                <w:sz w:val="21"/>
              </w:rPr>
            </w:pPr>
            <w:r>
              <w:rPr>
                <w:rFonts w:hint="eastAsia" w:cs="Times New Roman"/>
                <w:sz w:val="21"/>
              </w:rPr>
              <w:t>S2</w:t>
            </w:r>
          </w:p>
        </w:tc>
        <w:tc>
          <w:tcPr>
            <w:tcW w:w="8301" w:type="dxa"/>
            <w:tcBorders>
              <w:tl2br w:val="nil"/>
              <w:tr2bl w:val="nil"/>
            </w:tcBorders>
            <w:vAlign w:val="center"/>
          </w:tcPr>
          <w:p w14:paraId="6DF29F36">
            <w:pPr>
              <w:adjustRightInd w:val="0"/>
              <w:snapToGrid w:val="0"/>
              <w:spacing w:line="240" w:lineRule="auto"/>
              <w:jc w:val="center"/>
              <w:rPr>
                <w:rFonts w:cs="Times New Roman"/>
                <w:sz w:val="21"/>
              </w:rPr>
            </w:pPr>
            <w:r>
              <w:rPr>
                <w:rFonts w:hint="eastAsia" w:cs="Times New Roman"/>
                <w:sz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046E3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693" w:type="dxa"/>
            <w:tcBorders>
              <w:tl2br w:val="nil"/>
              <w:tr2bl w:val="nil"/>
            </w:tcBorders>
            <w:vAlign w:val="center"/>
          </w:tcPr>
          <w:p w14:paraId="61D0B7E5">
            <w:pPr>
              <w:adjustRightInd w:val="0"/>
              <w:snapToGrid w:val="0"/>
              <w:spacing w:line="240" w:lineRule="auto"/>
              <w:jc w:val="center"/>
              <w:rPr>
                <w:rFonts w:cs="Times New Roman"/>
                <w:sz w:val="21"/>
              </w:rPr>
            </w:pPr>
            <w:r>
              <w:rPr>
                <w:rFonts w:hint="eastAsia" w:cs="Times New Roman"/>
                <w:sz w:val="21"/>
              </w:rPr>
              <w:t>S3</w:t>
            </w:r>
          </w:p>
        </w:tc>
        <w:tc>
          <w:tcPr>
            <w:tcW w:w="8301" w:type="dxa"/>
            <w:tcBorders>
              <w:tl2br w:val="nil"/>
              <w:tr2bl w:val="nil"/>
            </w:tcBorders>
            <w:vAlign w:val="center"/>
          </w:tcPr>
          <w:p w14:paraId="6F374878">
            <w:pPr>
              <w:adjustRightInd w:val="0"/>
              <w:snapToGrid w:val="0"/>
              <w:spacing w:line="240" w:lineRule="auto"/>
              <w:jc w:val="center"/>
              <w:rPr>
                <w:rFonts w:cs="Times New Roman"/>
                <w:sz w:val="21"/>
              </w:rPr>
            </w:pPr>
            <w:r>
              <w:rPr>
                <w:rFonts w:hint="eastAsia" w:cs="Times New Roman"/>
                <w:sz w:val="21"/>
              </w:rPr>
              <w:t>排放点下游（顺水流向）10km范围、近岸海域一个潮周期水质点可能达到的最大水平距离的两倍距离内无上述类型1和类型2包括的敏感保护目标</w:t>
            </w:r>
          </w:p>
        </w:tc>
      </w:tr>
    </w:tbl>
    <w:p w14:paraId="3B13BA30">
      <w:pPr>
        <w:autoSpaceDE w:val="0"/>
        <w:autoSpaceDN w:val="0"/>
        <w:adjustRightInd w:val="0"/>
        <w:snapToGrid w:val="0"/>
        <w:spacing w:line="240" w:lineRule="auto"/>
        <w:jc w:val="center"/>
        <w:textAlignment w:val="baseline"/>
        <w:rPr>
          <w:rFonts w:cs="Times New Roman"/>
          <w:b/>
          <w:kern w:val="24"/>
          <w:szCs w:val="20"/>
        </w:rPr>
      </w:pPr>
    </w:p>
    <w:p w14:paraId="2195758F">
      <w:pPr>
        <w:adjustRightInd w:val="0"/>
        <w:snapToGrid w:val="0"/>
        <w:ind w:firstLine="480" w:firstLineChars="200"/>
        <w:rPr>
          <w:rFonts w:cs="Times New Roman"/>
        </w:rPr>
      </w:pPr>
      <w:r>
        <w:rPr>
          <w:rFonts w:hint="eastAsia" w:cs="Times New Roman"/>
        </w:rPr>
        <w:t>本项目发生事故时，危险物质泄漏到</w:t>
      </w:r>
      <w:r>
        <w:rPr>
          <w:rFonts w:hint="eastAsia" w:cs="Times New Roman"/>
          <w:color w:val="000000"/>
        </w:rPr>
        <w:t>逢源河</w:t>
      </w:r>
      <w:r>
        <w:rPr>
          <w:rFonts w:hint="eastAsia" w:cs="Times New Roman"/>
        </w:rPr>
        <w:t>的排放点下游10km范围内无</w:t>
      </w:r>
      <w:r>
        <w:rPr>
          <w:rFonts w:hint="eastAsia" w:cs="Times New Roman"/>
          <w:lang w:eastAsia="zh-CN"/>
        </w:rPr>
        <w:t>表3</w:t>
      </w:r>
      <w:r>
        <w:rPr>
          <w:rFonts w:hint="eastAsia" w:cs="Times New Roman"/>
        </w:rPr>
        <w:t>-10中S1和S2包括的敏感保护目标，因此本项目地表水环境敏感保护目标分级为S3。</w:t>
      </w:r>
    </w:p>
    <w:p w14:paraId="7F36DAC1">
      <w:pPr>
        <w:adjustRightInd w:val="0"/>
        <w:snapToGrid w:val="0"/>
        <w:ind w:firstLine="480" w:firstLineChars="200"/>
        <w:rPr>
          <w:rFonts w:cs="Times New Roman"/>
        </w:rPr>
      </w:pPr>
      <w:r>
        <w:rPr>
          <w:rFonts w:hint="eastAsia" w:cs="Times New Roman"/>
        </w:rPr>
        <w:t>综上，对照</w:t>
      </w:r>
      <w:r>
        <w:rPr>
          <w:rFonts w:hint="eastAsia" w:cs="Times New Roman"/>
          <w:lang w:eastAsia="zh-CN"/>
        </w:rPr>
        <w:t>表3</w:t>
      </w:r>
      <w:r>
        <w:rPr>
          <w:rFonts w:hint="eastAsia" w:cs="Times New Roman"/>
        </w:rPr>
        <w:t>-8确定本项目地表水环境敏感程度为E2。综上，对照</w:t>
      </w:r>
      <w:r>
        <w:rPr>
          <w:rFonts w:hint="eastAsia" w:cs="Times New Roman"/>
          <w:lang w:eastAsia="zh-CN"/>
        </w:rPr>
        <w:t>表3</w:t>
      </w:r>
      <w:r>
        <w:rPr>
          <w:rFonts w:hint="eastAsia" w:cs="Times New Roman"/>
        </w:rPr>
        <w:t>-2确定本项目地表水环境风险潜势为Ⅲ。</w:t>
      </w:r>
    </w:p>
    <w:p w14:paraId="2F587E22">
      <w:pPr>
        <w:adjustRightInd w:val="0"/>
        <w:snapToGrid w:val="0"/>
        <w:ind w:firstLine="480" w:firstLineChars="200"/>
        <w:rPr>
          <w:rFonts w:cs="Times New Roman"/>
        </w:rPr>
      </w:pPr>
      <w:r>
        <w:rPr>
          <w:rFonts w:hint="eastAsia" w:cs="Times New Roman"/>
        </w:rPr>
        <w:t>④地下水环境敏感程度分级</w:t>
      </w:r>
    </w:p>
    <w:p w14:paraId="0A2FA530">
      <w:pPr>
        <w:adjustRightInd w:val="0"/>
        <w:snapToGrid w:val="0"/>
        <w:ind w:firstLine="480" w:firstLineChars="200"/>
        <w:rPr>
          <w:rFonts w:cs="Times New Roman"/>
        </w:rPr>
      </w:pPr>
      <w:r>
        <w:rPr>
          <w:rFonts w:hint="eastAsia" w:cs="Times New Roman"/>
        </w:rPr>
        <w:t>依据地下水功能敏感性与包气带防污性能，共分为三种类型，E1为环境高度敏感区，E2为环境中度敏感区，E3为环境低度敏感区，分级原则见</w:t>
      </w:r>
      <w:r>
        <w:rPr>
          <w:rFonts w:hint="eastAsia" w:cs="Times New Roman"/>
          <w:lang w:eastAsia="zh-CN"/>
        </w:rPr>
        <w:t>表3</w:t>
      </w:r>
      <w:r>
        <w:rPr>
          <w:rFonts w:hint="eastAsia" w:cs="Times New Roman"/>
        </w:rPr>
        <w:t>-11。其中地下水功能敏感性分区和包气带防污性能分级分别见</w:t>
      </w:r>
      <w:r>
        <w:rPr>
          <w:rFonts w:hint="eastAsia" w:cs="Times New Roman"/>
          <w:lang w:eastAsia="zh-CN"/>
        </w:rPr>
        <w:t>表3</w:t>
      </w:r>
      <w:r>
        <w:rPr>
          <w:rFonts w:hint="eastAsia" w:cs="Times New Roman"/>
        </w:rPr>
        <w:t>-12和</w:t>
      </w:r>
      <w:r>
        <w:rPr>
          <w:rFonts w:hint="eastAsia" w:cs="Times New Roman"/>
          <w:lang w:eastAsia="zh-CN"/>
        </w:rPr>
        <w:t>表3</w:t>
      </w:r>
      <w:r>
        <w:rPr>
          <w:rFonts w:hint="eastAsia" w:cs="Times New Roman"/>
        </w:rPr>
        <w:t>-13。当同一建设项目涉及两个G分区或D分级及以上时，取相对高值。</w:t>
      </w:r>
    </w:p>
    <w:p w14:paraId="60C71F07">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lang w:eastAsia="zh-CN"/>
        </w:rPr>
        <w:t>表3</w:t>
      </w:r>
      <w:r>
        <w:rPr>
          <w:rFonts w:hint="eastAsia" w:cs="Times New Roman"/>
          <w:b/>
          <w:kern w:val="24"/>
          <w:szCs w:val="20"/>
        </w:rPr>
        <w:t>-11 地下水环境敏感程度分级</w:t>
      </w:r>
    </w:p>
    <w:tbl>
      <w:tblPr>
        <w:tblStyle w:val="11"/>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2108"/>
        <w:gridCol w:w="2108"/>
        <w:gridCol w:w="2110"/>
      </w:tblGrid>
      <w:tr w14:paraId="375F2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33" w:type="dxa"/>
            <w:vMerge w:val="restart"/>
            <w:tcBorders>
              <w:tl2br w:val="nil"/>
              <w:tr2bl w:val="nil"/>
            </w:tcBorders>
            <w:tcMar>
              <w:left w:w="57" w:type="dxa"/>
              <w:right w:w="57" w:type="dxa"/>
            </w:tcMar>
            <w:vAlign w:val="center"/>
          </w:tcPr>
          <w:p w14:paraId="32F31603">
            <w:pPr>
              <w:adjustRightInd w:val="0"/>
              <w:snapToGrid w:val="0"/>
              <w:spacing w:line="240" w:lineRule="auto"/>
              <w:jc w:val="center"/>
              <w:rPr>
                <w:rFonts w:cs="Times New Roman"/>
                <w:b/>
                <w:bCs/>
                <w:sz w:val="21"/>
              </w:rPr>
            </w:pPr>
            <w:r>
              <w:rPr>
                <w:rFonts w:hint="eastAsia" w:cs="Times New Roman"/>
                <w:b/>
                <w:bCs/>
                <w:sz w:val="21"/>
              </w:rPr>
              <w:t>包气带防污性能</w:t>
            </w:r>
          </w:p>
        </w:tc>
        <w:tc>
          <w:tcPr>
            <w:tcW w:w="6326" w:type="dxa"/>
            <w:gridSpan w:val="3"/>
            <w:tcBorders>
              <w:tl2br w:val="nil"/>
              <w:tr2bl w:val="nil"/>
            </w:tcBorders>
            <w:tcMar>
              <w:left w:w="57" w:type="dxa"/>
              <w:right w:w="57" w:type="dxa"/>
            </w:tcMar>
            <w:vAlign w:val="center"/>
          </w:tcPr>
          <w:p w14:paraId="2FCCAF19">
            <w:pPr>
              <w:adjustRightInd w:val="0"/>
              <w:snapToGrid w:val="0"/>
              <w:spacing w:line="240" w:lineRule="auto"/>
              <w:jc w:val="center"/>
              <w:rPr>
                <w:rFonts w:cs="Times New Roman"/>
                <w:b/>
                <w:bCs/>
                <w:sz w:val="21"/>
              </w:rPr>
            </w:pPr>
            <w:r>
              <w:rPr>
                <w:rFonts w:hint="eastAsia" w:cs="Times New Roman"/>
                <w:b/>
                <w:bCs/>
                <w:sz w:val="21"/>
              </w:rPr>
              <w:t>地下水功能敏感性</w:t>
            </w:r>
          </w:p>
        </w:tc>
      </w:tr>
      <w:tr w14:paraId="61568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933" w:type="dxa"/>
            <w:vMerge w:val="continue"/>
            <w:tcBorders>
              <w:tl2br w:val="nil"/>
              <w:tr2bl w:val="nil"/>
            </w:tcBorders>
            <w:tcMar>
              <w:left w:w="57" w:type="dxa"/>
              <w:right w:w="57" w:type="dxa"/>
            </w:tcMar>
            <w:vAlign w:val="center"/>
          </w:tcPr>
          <w:p w14:paraId="3B08917E">
            <w:pPr>
              <w:adjustRightInd w:val="0"/>
              <w:snapToGrid w:val="0"/>
              <w:spacing w:line="240" w:lineRule="auto"/>
              <w:jc w:val="center"/>
              <w:rPr>
                <w:rFonts w:cs="Times New Roman"/>
                <w:sz w:val="21"/>
              </w:rPr>
            </w:pPr>
          </w:p>
        </w:tc>
        <w:tc>
          <w:tcPr>
            <w:tcW w:w="2108" w:type="dxa"/>
            <w:tcBorders>
              <w:tl2br w:val="nil"/>
              <w:tr2bl w:val="nil"/>
            </w:tcBorders>
            <w:tcMar>
              <w:left w:w="57" w:type="dxa"/>
              <w:right w:w="57" w:type="dxa"/>
            </w:tcMar>
            <w:vAlign w:val="center"/>
          </w:tcPr>
          <w:p w14:paraId="00FE3058">
            <w:pPr>
              <w:adjustRightInd w:val="0"/>
              <w:snapToGrid w:val="0"/>
              <w:spacing w:line="240" w:lineRule="auto"/>
              <w:jc w:val="center"/>
              <w:rPr>
                <w:rFonts w:cs="Times New Roman"/>
                <w:b/>
                <w:bCs/>
                <w:sz w:val="21"/>
              </w:rPr>
            </w:pPr>
            <w:r>
              <w:rPr>
                <w:rFonts w:hint="eastAsia" w:cs="Times New Roman"/>
                <w:b/>
                <w:bCs/>
                <w:sz w:val="21"/>
              </w:rPr>
              <w:t>G1</w:t>
            </w:r>
          </w:p>
        </w:tc>
        <w:tc>
          <w:tcPr>
            <w:tcW w:w="2108" w:type="dxa"/>
            <w:tcBorders>
              <w:tl2br w:val="nil"/>
              <w:tr2bl w:val="nil"/>
            </w:tcBorders>
            <w:tcMar>
              <w:left w:w="57" w:type="dxa"/>
              <w:right w:w="57" w:type="dxa"/>
            </w:tcMar>
            <w:vAlign w:val="center"/>
          </w:tcPr>
          <w:p w14:paraId="75CECDFE">
            <w:pPr>
              <w:adjustRightInd w:val="0"/>
              <w:snapToGrid w:val="0"/>
              <w:spacing w:line="240" w:lineRule="auto"/>
              <w:jc w:val="center"/>
              <w:rPr>
                <w:rFonts w:cs="Times New Roman"/>
                <w:b/>
                <w:bCs/>
                <w:sz w:val="21"/>
              </w:rPr>
            </w:pPr>
            <w:r>
              <w:rPr>
                <w:rFonts w:hint="eastAsia" w:cs="Times New Roman"/>
                <w:b/>
                <w:bCs/>
                <w:sz w:val="21"/>
              </w:rPr>
              <w:t>G2</w:t>
            </w:r>
          </w:p>
        </w:tc>
        <w:tc>
          <w:tcPr>
            <w:tcW w:w="2110" w:type="dxa"/>
            <w:tcBorders>
              <w:tl2br w:val="nil"/>
              <w:tr2bl w:val="nil"/>
            </w:tcBorders>
            <w:tcMar>
              <w:left w:w="57" w:type="dxa"/>
              <w:right w:w="57" w:type="dxa"/>
            </w:tcMar>
            <w:vAlign w:val="center"/>
          </w:tcPr>
          <w:p w14:paraId="009A49D5">
            <w:pPr>
              <w:adjustRightInd w:val="0"/>
              <w:snapToGrid w:val="0"/>
              <w:spacing w:line="240" w:lineRule="auto"/>
              <w:jc w:val="center"/>
              <w:rPr>
                <w:rFonts w:cs="Times New Roman"/>
                <w:b/>
                <w:bCs/>
                <w:sz w:val="21"/>
              </w:rPr>
            </w:pPr>
            <w:r>
              <w:rPr>
                <w:rFonts w:hint="eastAsia" w:cs="Times New Roman"/>
                <w:b/>
                <w:bCs/>
                <w:sz w:val="21"/>
              </w:rPr>
              <w:t>G3</w:t>
            </w:r>
          </w:p>
        </w:tc>
      </w:tr>
      <w:tr w14:paraId="627B5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933" w:type="dxa"/>
            <w:tcBorders>
              <w:tl2br w:val="nil"/>
              <w:tr2bl w:val="nil"/>
            </w:tcBorders>
            <w:tcMar>
              <w:left w:w="57" w:type="dxa"/>
              <w:right w:w="57" w:type="dxa"/>
            </w:tcMar>
            <w:vAlign w:val="center"/>
          </w:tcPr>
          <w:p w14:paraId="7E22E641">
            <w:pPr>
              <w:adjustRightInd w:val="0"/>
              <w:snapToGrid w:val="0"/>
              <w:spacing w:line="240" w:lineRule="auto"/>
              <w:jc w:val="center"/>
              <w:rPr>
                <w:rFonts w:cs="Times New Roman"/>
                <w:b/>
                <w:bCs/>
                <w:sz w:val="21"/>
              </w:rPr>
            </w:pPr>
            <w:r>
              <w:rPr>
                <w:rFonts w:hint="eastAsia" w:cs="Times New Roman"/>
                <w:b/>
                <w:bCs/>
                <w:sz w:val="21"/>
              </w:rPr>
              <w:t>D1</w:t>
            </w:r>
          </w:p>
        </w:tc>
        <w:tc>
          <w:tcPr>
            <w:tcW w:w="2108" w:type="dxa"/>
            <w:tcBorders>
              <w:tl2br w:val="nil"/>
              <w:tr2bl w:val="nil"/>
            </w:tcBorders>
            <w:tcMar>
              <w:left w:w="57" w:type="dxa"/>
              <w:right w:w="57" w:type="dxa"/>
            </w:tcMar>
            <w:vAlign w:val="center"/>
          </w:tcPr>
          <w:p w14:paraId="1315685E">
            <w:pPr>
              <w:adjustRightInd w:val="0"/>
              <w:snapToGrid w:val="0"/>
              <w:spacing w:line="240" w:lineRule="auto"/>
              <w:jc w:val="center"/>
              <w:rPr>
                <w:rFonts w:cs="Times New Roman"/>
                <w:sz w:val="21"/>
              </w:rPr>
            </w:pPr>
            <w:r>
              <w:rPr>
                <w:rFonts w:hint="eastAsia" w:cs="Times New Roman"/>
                <w:sz w:val="21"/>
              </w:rPr>
              <w:t>E1</w:t>
            </w:r>
          </w:p>
        </w:tc>
        <w:tc>
          <w:tcPr>
            <w:tcW w:w="2108" w:type="dxa"/>
            <w:tcBorders>
              <w:tl2br w:val="nil"/>
              <w:tr2bl w:val="nil"/>
            </w:tcBorders>
            <w:tcMar>
              <w:left w:w="57" w:type="dxa"/>
              <w:right w:w="57" w:type="dxa"/>
            </w:tcMar>
            <w:vAlign w:val="center"/>
          </w:tcPr>
          <w:p w14:paraId="1E352E36">
            <w:pPr>
              <w:adjustRightInd w:val="0"/>
              <w:snapToGrid w:val="0"/>
              <w:spacing w:line="240" w:lineRule="auto"/>
              <w:jc w:val="center"/>
              <w:rPr>
                <w:rFonts w:cs="Times New Roman"/>
                <w:sz w:val="21"/>
              </w:rPr>
            </w:pPr>
            <w:r>
              <w:rPr>
                <w:rFonts w:hint="eastAsia" w:cs="Times New Roman"/>
                <w:sz w:val="21"/>
              </w:rPr>
              <w:t>E1</w:t>
            </w:r>
          </w:p>
        </w:tc>
        <w:tc>
          <w:tcPr>
            <w:tcW w:w="2110" w:type="dxa"/>
            <w:tcBorders>
              <w:tl2br w:val="nil"/>
              <w:tr2bl w:val="nil"/>
            </w:tcBorders>
            <w:tcMar>
              <w:left w:w="57" w:type="dxa"/>
              <w:right w:w="57" w:type="dxa"/>
            </w:tcMar>
            <w:vAlign w:val="center"/>
          </w:tcPr>
          <w:p w14:paraId="1FD0EF20">
            <w:pPr>
              <w:adjustRightInd w:val="0"/>
              <w:snapToGrid w:val="0"/>
              <w:spacing w:line="240" w:lineRule="auto"/>
              <w:jc w:val="center"/>
              <w:rPr>
                <w:rFonts w:cs="Times New Roman"/>
                <w:sz w:val="21"/>
              </w:rPr>
            </w:pPr>
            <w:r>
              <w:rPr>
                <w:rFonts w:hint="eastAsia" w:cs="Times New Roman"/>
                <w:sz w:val="21"/>
              </w:rPr>
              <w:t>E2</w:t>
            </w:r>
          </w:p>
        </w:tc>
      </w:tr>
      <w:tr w14:paraId="779C4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933" w:type="dxa"/>
            <w:tcBorders>
              <w:tl2br w:val="nil"/>
              <w:tr2bl w:val="nil"/>
            </w:tcBorders>
            <w:tcMar>
              <w:left w:w="57" w:type="dxa"/>
              <w:right w:w="57" w:type="dxa"/>
            </w:tcMar>
            <w:vAlign w:val="center"/>
          </w:tcPr>
          <w:p w14:paraId="2F282AD1">
            <w:pPr>
              <w:adjustRightInd w:val="0"/>
              <w:snapToGrid w:val="0"/>
              <w:spacing w:line="240" w:lineRule="auto"/>
              <w:jc w:val="center"/>
              <w:rPr>
                <w:rFonts w:cs="Times New Roman"/>
                <w:b/>
                <w:bCs/>
                <w:sz w:val="21"/>
              </w:rPr>
            </w:pPr>
            <w:r>
              <w:rPr>
                <w:rFonts w:hint="eastAsia" w:cs="Times New Roman"/>
                <w:b/>
                <w:bCs/>
                <w:sz w:val="21"/>
              </w:rPr>
              <w:t>D2</w:t>
            </w:r>
          </w:p>
        </w:tc>
        <w:tc>
          <w:tcPr>
            <w:tcW w:w="2108" w:type="dxa"/>
            <w:tcBorders>
              <w:tl2br w:val="nil"/>
              <w:tr2bl w:val="nil"/>
            </w:tcBorders>
            <w:tcMar>
              <w:left w:w="57" w:type="dxa"/>
              <w:right w:w="57" w:type="dxa"/>
            </w:tcMar>
            <w:vAlign w:val="center"/>
          </w:tcPr>
          <w:p w14:paraId="1351DE15">
            <w:pPr>
              <w:adjustRightInd w:val="0"/>
              <w:snapToGrid w:val="0"/>
              <w:spacing w:line="240" w:lineRule="auto"/>
              <w:jc w:val="center"/>
              <w:rPr>
                <w:rFonts w:cs="Times New Roman"/>
                <w:sz w:val="21"/>
              </w:rPr>
            </w:pPr>
            <w:r>
              <w:rPr>
                <w:rFonts w:hint="eastAsia" w:cs="Times New Roman"/>
                <w:sz w:val="21"/>
              </w:rPr>
              <w:t>E1</w:t>
            </w:r>
          </w:p>
        </w:tc>
        <w:tc>
          <w:tcPr>
            <w:tcW w:w="2108" w:type="dxa"/>
            <w:tcBorders>
              <w:tl2br w:val="nil"/>
              <w:tr2bl w:val="nil"/>
            </w:tcBorders>
            <w:tcMar>
              <w:left w:w="57" w:type="dxa"/>
              <w:right w:w="57" w:type="dxa"/>
            </w:tcMar>
            <w:vAlign w:val="center"/>
          </w:tcPr>
          <w:p w14:paraId="62762ED2">
            <w:pPr>
              <w:adjustRightInd w:val="0"/>
              <w:snapToGrid w:val="0"/>
              <w:spacing w:line="240" w:lineRule="auto"/>
              <w:jc w:val="center"/>
              <w:rPr>
                <w:rFonts w:cs="Times New Roman"/>
                <w:sz w:val="21"/>
              </w:rPr>
            </w:pPr>
            <w:r>
              <w:rPr>
                <w:rFonts w:hint="eastAsia" w:cs="Times New Roman"/>
                <w:sz w:val="21"/>
              </w:rPr>
              <w:t>E2</w:t>
            </w:r>
          </w:p>
        </w:tc>
        <w:tc>
          <w:tcPr>
            <w:tcW w:w="2110" w:type="dxa"/>
            <w:tcBorders>
              <w:tl2br w:val="nil"/>
              <w:tr2bl w:val="nil"/>
            </w:tcBorders>
            <w:shd w:val="solid" w:color="AEAAAA" w:fill="auto"/>
            <w:tcMar>
              <w:left w:w="57" w:type="dxa"/>
              <w:right w:w="57" w:type="dxa"/>
            </w:tcMar>
            <w:vAlign w:val="center"/>
          </w:tcPr>
          <w:p w14:paraId="357F43BA">
            <w:pPr>
              <w:adjustRightInd w:val="0"/>
              <w:snapToGrid w:val="0"/>
              <w:spacing w:line="240" w:lineRule="auto"/>
              <w:jc w:val="center"/>
              <w:rPr>
                <w:rFonts w:cs="Times New Roman"/>
                <w:sz w:val="21"/>
              </w:rPr>
            </w:pPr>
            <w:r>
              <w:rPr>
                <w:rFonts w:hint="eastAsia" w:cs="Times New Roman"/>
                <w:sz w:val="21"/>
              </w:rPr>
              <w:t>E3</w:t>
            </w:r>
          </w:p>
        </w:tc>
      </w:tr>
      <w:tr w14:paraId="1BCFE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933" w:type="dxa"/>
            <w:tcBorders>
              <w:tl2br w:val="nil"/>
              <w:tr2bl w:val="nil"/>
            </w:tcBorders>
            <w:tcMar>
              <w:left w:w="57" w:type="dxa"/>
              <w:right w:w="57" w:type="dxa"/>
            </w:tcMar>
            <w:vAlign w:val="center"/>
          </w:tcPr>
          <w:p w14:paraId="317497D9">
            <w:pPr>
              <w:adjustRightInd w:val="0"/>
              <w:snapToGrid w:val="0"/>
              <w:spacing w:line="240" w:lineRule="auto"/>
              <w:jc w:val="center"/>
              <w:rPr>
                <w:rFonts w:cs="Times New Roman"/>
                <w:b/>
                <w:bCs/>
                <w:sz w:val="21"/>
              </w:rPr>
            </w:pPr>
            <w:r>
              <w:rPr>
                <w:rFonts w:hint="eastAsia" w:cs="Times New Roman"/>
                <w:b/>
                <w:bCs/>
                <w:sz w:val="21"/>
              </w:rPr>
              <w:t>D3</w:t>
            </w:r>
          </w:p>
        </w:tc>
        <w:tc>
          <w:tcPr>
            <w:tcW w:w="2108" w:type="dxa"/>
            <w:tcBorders>
              <w:tl2br w:val="nil"/>
              <w:tr2bl w:val="nil"/>
            </w:tcBorders>
            <w:tcMar>
              <w:left w:w="57" w:type="dxa"/>
              <w:right w:w="57" w:type="dxa"/>
            </w:tcMar>
            <w:vAlign w:val="center"/>
          </w:tcPr>
          <w:p w14:paraId="272F4D82">
            <w:pPr>
              <w:adjustRightInd w:val="0"/>
              <w:snapToGrid w:val="0"/>
              <w:spacing w:line="240" w:lineRule="auto"/>
              <w:jc w:val="center"/>
              <w:rPr>
                <w:rFonts w:cs="Times New Roman"/>
                <w:sz w:val="21"/>
              </w:rPr>
            </w:pPr>
            <w:r>
              <w:rPr>
                <w:rFonts w:hint="eastAsia" w:cs="Times New Roman"/>
                <w:sz w:val="21"/>
              </w:rPr>
              <w:t>E2</w:t>
            </w:r>
          </w:p>
        </w:tc>
        <w:tc>
          <w:tcPr>
            <w:tcW w:w="2108" w:type="dxa"/>
            <w:tcBorders>
              <w:tl2br w:val="nil"/>
              <w:tr2bl w:val="nil"/>
            </w:tcBorders>
            <w:tcMar>
              <w:left w:w="57" w:type="dxa"/>
              <w:right w:w="57" w:type="dxa"/>
            </w:tcMar>
            <w:vAlign w:val="center"/>
          </w:tcPr>
          <w:p w14:paraId="27D5C2B3">
            <w:pPr>
              <w:adjustRightInd w:val="0"/>
              <w:snapToGrid w:val="0"/>
              <w:spacing w:line="240" w:lineRule="auto"/>
              <w:jc w:val="center"/>
              <w:rPr>
                <w:rFonts w:cs="Times New Roman"/>
                <w:sz w:val="21"/>
              </w:rPr>
            </w:pPr>
            <w:r>
              <w:rPr>
                <w:rFonts w:hint="eastAsia" w:cs="Times New Roman"/>
                <w:sz w:val="21"/>
              </w:rPr>
              <w:t>E3</w:t>
            </w:r>
          </w:p>
        </w:tc>
        <w:tc>
          <w:tcPr>
            <w:tcW w:w="2110" w:type="dxa"/>
            <w:tcBorders>
              <w:tl2br w:val="nil"/>
              <w:tr2bl w:val="nil"/>
            </w:tcBorders>
            <w:tcMar>
              <w:left w:w="57" w:type="dxa"/>
              <w:right w:w="57" w:type="dxa"/>
            </w:tcMar>
            <w:vAlign w:val="center"/>
          </w:tcPr>
          <w:p w14:paraId="4458DE42">
            <w:pPr>
              <w:adjustRightInd w:val="0"/>
              <w:snapToGrid w:val="0"/>
              <w:spacing w:line="240" w:lineRule="auto"/>
              <w:jc w:val="center"/>
              <w:rPr>
                <w:rFonts w:cs="Times New Roman"/>
                <w:sz w:val="21"/>
              </w:rPr>
            </w:pPr>
            <w:r>
              <w:rPr>
                <w:rFonts w:hint="eastAsia" w:cs="Times New Roman"/>
                <w:sz w:val="21"/>
              </w:rPr>
              <w:t>E3</w:t>
            </w:r>
          </w:p>
        </w:tc>
      </w:tr>
    </w:tbl>
    <w:p w14:paraId="0184C089">
      <w:pPr>
        <w:autoSpaceDE w:val="0"/>
        <w:autoSpaceDN w:val="0"/>
        <w:adjustRightInd w:val="0"/>
        <w:snapToGrid w:val="0"/>
        <w:spacing w:line="240" w:lineRule="auto"/>
        <w:jc w:val="center"/>
        <w:textAlignment w:val="baseline"/>
        <w:rPr>
          <w:rFonts w:cs="Times New Roman"/>
          <w:b/>
          <w:kern w:val="24"/>
          <w:szCs w:val="20"/>
        </w:rPr>
      </w:pPr>
    </w:p>
    <w:p w14:paraId="5CA888B6">
      <w:pPr>
        <w:widowControl/>
        <w:adjustRightInd w:val="0"/>
        <w:snapToGrid w:val="0"/>
        <w:ind w:firstLine="480" w:firstLineChars="200"/>
        <w:jc w:val="left"/>
        <w:rPr>
          <w:rFonts w:cs="Times New Roman"/>
        </w:rPr>
      </w:pPr>
      <w:r>
        <w:rPr>
          <w:rFonts w:hint="eastAsia" w:cs="Times New Roman"/>
          <w:lang w:eastAsia="zh-CN"/>
        </w:rPr>
        <w:t>表3</w:t>
      </w:r>
      <w:r>
        <w:rPr>
          <w:rFonts w:hint="eastAsia" w:cs="Times New Roman"/>
        </w:rPr>
        <w:t>-11中，地下水环境敏感性的划分见</w:t>
      </w:r>
      <w:r>
        <w:rPr>
          <w:rFonts w:hint="eastAsia" w:cs="Times New Roman"/>
          <w:lang w:eastAsia="zh-CN"/>
        </w:rPr>
        <w:t>表3</w:t>
      </w:r>
      <w:r>
        <w:rPr>
          <w:rFonts w:hint="eastAsia" w:cs="Times New Roman"/>
        </w:rPr>
        <w:t>-12。</w:t>
      </w:r>
    </w:p>
    <w:p w14:paraId="4E8E3776">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lang w:eastAsia="zh-CN"/>
        </w:rPr>
        <w:t>表3</w:t>
      </w:r>
      <w:r>
        <w:rPr>
          <w:rFonts w:hint="eastAsia" w:cs="Times New Roman"/>
          <w:b/>
          <w:kern w:val="24"/>
          <w:szCs w:val="20"/>
        </w:rPr>
        <w:t>-12 地下水环境敏感性分区</w:t>
      </w:r>
    </w:p>
    <w:tbl>
      <w:tblPr>
        <w:tblStyle w:val="12"/>
        <w:tblW w:w="86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1156"/>
        <w:gridCol w:w="7538"/>
      </w:tblGrid>
      <w:tr w14:paraId="6A860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14" w:hRule="atLeast"/>
          <w:jc w:val="center"/>
        </w:trPr>
        <w:tc>
          <w:tcPr>
            <w:tcW w:w="1156" w:type="dxa"/>
            <w:tcBorders>
              <w:tl2br w:val="nil"/>
              <w:tr2bl w:val="nil"/>
            </w:tcBorders>
            <w:vAlign w:val="center"/>
          </w:tcPr>
          <w:p w14:paraId="11769D3F">
            <w:pPr>
              <w:adjustRightInd w:val="0"/>
              <w:snapToGrid w:val="0"/>
              <w:spacing w:line="240" w:lineRule="auto"/>
              <w:jc w:val="center"/>
              <w:rPr>
                <w:rFonts w:cs="Times New Roman"/>
                <w:b/>
                <w:bCs/>
                <w:sz w:val="21"/>
              </w:rPr>
            </w:pPr>
            <w:r>
              <w:rPr>
                <w:rFonts w:hint="eastAsia" w:cs="Times New Roman"/>
                <w:b/>
                <w:bCs/>
                <w:sz w:val="21"/>
              </w:rPr>
              <w:t>敏感性</w:t>
            </w:r>
          </w:p>
        </w:tc>
        <w:tc>
          <w:tcPr>
            <w:tcW w:w="7538" w:type="dxa"/>
            <w:tcBorders>
              <w:tl2br w:val="nil"/>
              <w:tr2bl w:val="nil"/>
            </w:tcBorders>
            <w:vAlign w:val="center"/>
          </w:tcPr>
          <w:p w14:paraId="7F59A2D6">
            <w:pPr>
              <w:adjustRightInd w:val="0"/>
              <w:snapToGrid w:val="0"/>
              <w:spacing w:line="240" w:lineRule="auto"/>
              <w:jc w:val="center"/>
              <w:rPr>
                <w:rFonts w:cs="Times New Roman"/>
                <w:b/>
                <w:bCs/>
                <w:sz w:val="21"/>
              </w:rPr>
            </w:pPr>
            <w:r>
              <w:rPr>
                <w:rFonts w:hint="eastAsia" w:cs="Times New Roman"/>
                <w:b/>
                <w:bCs/>
                <w:sz w:val="21"/>
              </w:rPr>
              <w:t>地下水环境敏感特征</w:t>
            </w:r>
          </w:p>
        </w:tc>
      </w:tr>
      <w:tr w14:paraId="790A3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1156" w:type="dxa"/>
            <w:tcBorders>
              <w:tl2br w:val="nil"/>
              <w:tr2bl w:val="nil"/>
            </w:tcBorders>
            <w:vAlign w:val="center"/>
          </w:tcPr>
          <w:p w14:paraId="7A44B06F">
            <w:pPr>
              <w:adjustRightInd w:val="0"/>
              <w:snapToGrid w:val="0"/>
              <w:spacing w:line="240" w:lineRule="auto"/>
              <w:jc w:val="center"/>
              <w:rPr>
                <w:rFonts w:cs="Times New Roman"/>
                <w:sz w:val="21"/>
              </w:rPr>
            </w:pPr>
            <w:r>
              <w:rPr>
                <w:rFonts w:hint="eastAsia" w:cs="Times New Roman"/>
                <w:sz w:val="21"/>
              </w:rPr>
              <w:t>敏感G1</w:t>
            </w:r>
          </w:p>
        </w:tc>
        <w:tc>
          <w:tcPr>
            <w:tcW w:w="7538" w:type="dxa"/>
            <w:tcBorders>
              <w:tl2br w:val="nil"/>
              <w:tr2bl w:val="nil"/>
            </w:tcBorders>
            <w:vAlign w:val="center"/>
          </w:tcPr>
          <w:p w14:paraId="61049EB3">
            <w:pPr>
              <w:adjustRightInd w:val="0"/>
              <w:snapToGrid w:val="0"/>
              <w:spacing w:line="240" w:lineRule="auto"/>
              <w:jc w:val="center"/>
              <w:rPr>
                <w:rFonts w:cs="Times New Roman"/>
                <w:sz w:val="21"/>
              </w:rPr>
            </w:pPr>
            <w:r>
              <w:rPr>
                <w:rFonts w:hint="eastAsia" w:cs="Times New Roman"/>
                <w:sz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17504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1156" w:type="dxa"/>
            <w:tcBorders>
              <w:tl2br w:val="nil"/>
              <w:tr2bl w:val="nil"/>
            </w:tcBorders>
            <w:vAlign w:val="center"/>
          </w:tcPr>
          <w:p w14:paraId="6EBC9DFB">
            <w:pPr>
              <w:adjustRightInd w:val="0"/>
              <w:snapToGrid w:val="0"/>
              <w:spacing w:line="240" w:lineRule="auto"/>
              <w:jc w:val="center"/>
              <w:rPr>
                <w:rFonts w:cs="Times New Roman"/>
                <w:sz w:val="21"/>
              </w:rPr>
            </w:pPr>
            <w:r>
              <w:rPr>
                <w:rFonts w:hint="eastAsia" w:cs="Times New Roman"/>
                <w:sz w:val="21"/>
              </w:rPr>
              <w:t>较敏感G2</w:t>
            </w:r>
          </w:p>
        </w:tc>
        <w:tc>
          <w:tcPr>
            <w:tcW w:w="7538" w:type="dxa"/>
            <w:tcBorders>
              <w:tl2br w:val="nil"/>
              <w:tr2bl w:val="nil"/>
            </w:tcBorders>
            <w:vAlign w:val="center"/>
          </w:tcPr>
          <w:p w14:paraId="0EF5D77E">
            <w:pPr>
              <w:adjustRightInd w:val="0"/>
              <w:snapToGrid w:val="0"/>
              <w:spacing w:line="240" w:lineRule="auto"/>
              <w:jc w:val="center"/>
              <w:rPr>
                <w:rFonts w:cs="Times New Roman"/>
                <w:sz w:val="21"/>
              </w:rPr>
            </w:pPr>
            <w:r>
              <w:rPr>
                <w:rFonts w:hint="eastAsia" w:cs="Times New Roman"/>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hint="eastAsia" w:cs="Times New Roman"/>
                <w:sz w:val="21"/>
                <w:vertAlign w:val="superscript"/>
              </w:rPr>
              <w:t>a</w:t>
            </w:r>
            <w:r>
              <w:rPr>
                <w:rFonts w:hint="eastAsia" w:cs="Times New Roman"/>
                <w:sz w:val="21"/>
              </w:rPr>
              <w:t>。</w:t>
            </w:r>
          </w:p>
        </w:tc>
      </w:tr>
      <w:tr w14:paraId="67AC2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1156" w:type="dxa"/>
            <w:tcBorders>
              <w:tl2br w:val="nil"/>
              <w:tr2bl w:val="nil"/>
            </w:tcBorders>
            <w:vAlign w:val="center"/>
          </w:tcPr>
          <w:p w14:paraId="182B3C12">
            <w:pPr>
              <w:adjustRightInd w:val="0"/>
              <w:snapToGrid w:val="0"/>
              <w:spacing w:line="240" w:lineRule="auto"/>
              <w:jc w:val="center"/>
              <w:rPr>
                <w:rFonts w:cs="Times New Roman"/>
                <w:sz w:val="21"/>
              </w:rPr>
            </w:pPr>
            <w:r>
              <w:rPr>
                <w:rFonts w:hint="eastAsia" w:cs="Times New Roman"/>
                <w:sz w:val="21"/>
              </w:rPr>
              <w:t>不敏感G3</w:t>
            </w:r>
          </w:p>
        </w:tc>
        <w:tc>
          <w:tcPr>
            <w:tcW w:w="7538" w:type="dxa"/>
            <w:tcBorders>
              <w:tl2br w:val="nil"/>
              <w:tr2bl w:val="nil"/>
            </w:tcBorders>
            <w:vAlign w:val="center"/>
          </w:tcPr>
          <w:p w14:paraId="56395C6B">
            <w:pPr>
              <w:adjustRightInd w:val="0"/>
              <w:snapToGrid w:val="0"/>
              <w:spacing w:line="240" w:lineRule="auto"/>
              <w:jc w:val="center"/>
              <w:rPr>
                <w:rFonts w:cs="Times New Roman"/>
                <w:sz w:val="21"/>
              </w:rPr>
            </w:pPr>
            <w:r>
              <w:rPr>
                <w:rFonts w:hint="eastAsia" w:cs="Times New Roman"/>
                <w:sz w:val="21"/>
              </w:rPr>
              <w:t>上述地区之外的其他地区。</w:t>
            </w:r>
          </w:p>
        </w:tc>
      </w:tr>
      <w:tr w14:paraId="78C90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8694" w:type="dxa"/>
            <w:gridSpan w:val="2"/>
            <w:tcBorders>
              <w:tl2br w:val="nil"/>
              <w:tr2bl w:val="nil"/>
            </w:tcBorders>
            <w:vAlign w:val="center"/>
          </w:tcPr>
          <w:p w14:paraId="47C5AA86">
            <w:pPr>
              <w:adjustRightInd w:val="0"/>
              <w:snapToGrid w:val="0"/>
              <w:spacing w:line="240" w:lineRule="auto"/>
              <w:jc w:val="left"/>
              <w:rPr>
                <w:rFonts w:cs="Times New Roman"/>
                <w:sz w:val="21"/>
              </w:rPr>
            </w:pPr>
            <w:r>
              <w:rPr>
                <w:rFonts w:hint="eastAsia" w:cs="Times New Roman"/>
                <w:sz w:val="21"/>
              </w:rPr>
              <w:t>注：</w:t>
            </w:r>
            <w:r>
              <w:rPr>
                <w:rFonts w:hint="eastAsia" w:cs="Times New Roman"/>
                <w:sz w:val="21"/>
                <w:vertAlign w:val="superscript"/>
              </w:rPr>
              <w:t>a</w:t>
            </w:r>
            <w:r>
              <w:rPr>
                <w:rFonts w:hint="eastAsia" w:cs="Times New Roman"/>
                <w:sz w:val="21"/>
              </w:rPr>
              <w:t>“环境敏感区”是指《建设项目环境影响评价分类管理名录》中所界定的涉及地下水的环境敏感区。</w:t>
            </w:r>
          </w:p>
        </w:tc>
      </w:tr>
    </w:tbl>
    <w:p w14:paraId="10BDF850">
      <w:pPr>
        <w:autoSpaceDE w:val="0"/>
        <w:autoSpaceDN w:val="0"/>
        <w:adjustRightInd w:val="0"/>
        <w:snapToGrid w:val="0"/>
        <w:spacing w:line="240" w:lineRule="auto"/>
        <w:jc w:val="center"/>
        <w:textAlignment w:val="baseline"/>
        <w:rPr>
          <w:rFonts w:cs="Times New Roman"/>
          <w:b/>
          <w:kern w:val="24"/>
          <w:szCs w:val="20"/>
        </w:rPr>
      </w:pPr>
    </w:p>
    <w:p w14:paraId="61DE3D94">
      <w:pPr>
        <w:widowControl/>
        <w:adjustRightInd w:val="0"/>
        <w:snapToGrid w:val="0"/>
        <w:ind w:firstLine="480" w:firstLineChars="200"/>
        <w:jc w:val="left"/>
        <w:rPr>
          <w:rFonts w:cs="Times New Roman"/>
        </w:rPr>
      </w:pPr>
      <w:r>
        <w:rPr>
          <w:rFonts w:hint="eastAsia" w:cs="Times New Roman"/>
          <w:lang w:eastAsia="zh-CN"/>
        </w:rPr>
        <w:t>本项目位于云浮市云安区六都镇茅坪坑，项目所在区域在上述地下水环境敏感地区之外</w:t>
      </w:r>
      <w:r>
        <w:rPr>
          <w:rFonts w:hint="eastAsia" w:cs="Times New Roman"/>
        </w:rPr>
        <w:t>，</w:t>
      </w:r>
      <w:r>
        <w:rPr>
          <w:rFonts w:hint="eastAsia" w:cs="Times New Roman"/>
          <w:lang w:eastAsia="zh-CN"/>
        </w:rPr>
        <w:t>因此</w:t>
      </w:r>
      <w:r>
        <w:rPr>
          <w:rFonts w:hint="eastAsia" w:cs="Times New Roman"/>
        </w:rPr>
        <w:t>本项目所在地地下水环境敏感程度为不敏感G3。</w:t>
      </w:r>
      <w:r>
        <w:rPr>
          <w:rFonts w:hint="eastAsia" w:cs="Times New Roman"/>
          <w:lang w:eastAsia="zh-CN"/>
        </w:rPr>
        <w:t>表3</w:t>
      </w:r>
      <w:r>
        <w:rPr>
          <w:rFonts w:hint="eastAsia" w:cs="Times New Roman"/>
        </w:rPr>
        <w:t>-11中，包气带防污性能的划分见</w:t>
      </w:r>
      <w:r>
        <w:rPr>
          <w:rFonts w:hint="eastAsia" w:cs="Times New Roman"/>
          <w:lang w:eastAsia="zh-CN"/>
        </w:rPr>
        <w:t>表3</w:t>
      </w:r>
      <w:r>
        <w:rPr>
          <w:rFonts w:hint="eastAsia" w:cs="Times New Roman"/>
        </w:rPr>
        <w:t>-13。</w:t>
      </w:r>
    </w:p>
    <w:p w14:paraId="0425C807">
      <w:pPr>
        <w:autoSpaceDE w:val="0"/>
        <w:autoSpaceDN w:val="0"/>
        <w:adjustRightInd w:val="0"/>
        <w:snapToGrid w:val="0"/>
        <w:spacing w:line="240" w:lineRule="auto"/>
        <w:jc w:val="center"/>
        <w:textAlignment w:val="baseline"/>
        <w:rPr>
          <w:rFonts w:cs="Times New Roman"/>
          <w:b/>
          <w:kern w:val="24"/>
          <w:szCs w:val="20"/>
        </w:rPr>
      </w:pPr>
      <w:r>
        <w:rPr>
          <w:rFonts w:hint="eastAsia" w:cs="Times New Roman"/>
          <w:b/>
          <w:kern w:val="24"/>
          <w:szCs w:val="20"/>
          <w:lang w:eastAsia="zh-CN"/>
        </w:rPr>
        <w:t>表3</w:t>
      </w:r>
      <w:r>
        <w:rPr>
          <w:rFonts w:hint="eastAsia" w:cs="Times New Roman"/>
          <w:b/>
          <w:kern w:val="24"/>
          <w:szCs w:val="20"/>
        </w:rPr>
        <w:t>-13 包气带防污性能分级</w:t>
      </w:r>
    </w:p>
    <w:tbl>
      <w:tblPr>
        <w:tblStyle w:val="12"/>
        <w:tblW w:w="8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1" w:type="dxa"/>
          <w:bottom w:w="0" w:type="dxa"/>
          <w:right w:w="51" w:type="dxa"/>
        </w:tblCellMar>
      </w:tblPr>
      <w:tblGrid>
        <w:gridCol w:w="742"/>
        <w:gridCol w:w="7546"/>
      </w:tblGrid>
      <w:tr w14:paraId="46D28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14" w:hRule="atLeast"/>
          <w:jc w:val="center"/>
        </w:trPr>
        <w:tc>
          <w:tcPr>
            <w:tcW w:w="742" w:type="dxa"/>
            <w:tcBorders>
              <w:tl2br w:val="nil"/>
              <w:tr2bl w:val="nil"/>
            </w:tcBorders>
            <w:vAlign w:val="center"/>
          </w:tcPr>
          <w:p w14:paraId="0AE6B37E">
            <w:pPr>
              <w:adjustRightInd w:val="0"/>
              <w:snapToGrid w:val="0"/>
              <w:spacing w:line="240" w:lineRule="auto"/>
              <w:jc w:val="center"/>
              <w:rPr>
                <w:rFonts w:cs="Times New Roman"/>
                <w:b/>
                <w:bCs/>
                <w:sz w:val="21"/>
              </w:rPr>
            </w:pPr>
            <w:r>
              <w:rPr>
                <w:rFonts w:hint="eastAsia" w:cs="Times New Roman"/>
                <w:b/>
                <w:bCs/>
                <w:sz w:val="21"/>
              </w:rPr>
              <w:t>分级</w:t>
            </w:r>
          </w:p>
        </w:tc>
        <w:tc>
          <w:tcPr>
            <w:tcW w:w="7546" w:type="dxa"/>
            <w:tcBorders>
              <w:tl2br w:val="nil"/>
              <w:tr2bl w:val="nil"/>
            </w:tcBorders>
            <w:vAlign w:val="center"/>
          </w:tcPr>
          <w:p w14:paraId="6C6F3FC1">
            <w:pPr>
              <w:adjustRightInd w:val="0"/>
              <w:snapToGrid w:val="0"/>
              <w:spacing w:line="240" w:lineRule="auto"/>
              <w:jc w:val="center"/>
              <w:rPr>
                <w:rFonts w:cs="Times New Roman"/>
                <w:b/>
                <w:bCs/>
                <w:sz w:val="21"/>
              </w:rPr>
            </w:pPr>
            <w:r>
              <w:rPr>
                <w:rFonts w:hint="eastAsia" w:cs="Times New Roman"/>
                <w:b/>
                <w:bCs/>
                <w:sz w:val="21"/>
              </w:rPr>
              <w:t>包气带防污性能分级</w:t>
            </w:r>
          </w:p>
        </w:tc>
      </w:tr>
      <w:tr w14:paraId="1D457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742" w:type="dxa"/>
            <w:tcBorders>
              <w:tl2br w:val="nil"/>
              <w:tr2bl w:val="nil"/>
            </w:tcBorders>
            <w:vAlign w:val="center"/>
          </w:tcPr>
          <w:p w14:paraId="4856D3C3">
            <w:pPr>
              <w:adjustRightInd w:val="0"/>
              <w:snapToGrid w:val="0"/>
              <w:spacing w:line="240" w:lineRule="auto"/>
              <w:jc w:val="center"/>
              <w:rPr>
                <w:rFonts w:cs="Times New Roman"/>
                <w:sz w:val="21"/>
              </w:rPr>
            </w:pPr>
            <w:r>
              <w:rPr>
                <w:rFonts w:hint="eastAsia" w:cs="Times New Roman"/>
                <w:sz w:val="21"/>
              </w:rPr>
              <w:t>D3</w:t>
            </w:r>
          </w:p>
        </w:tc>
        <w:tc>
          <w:tcPr>
            <w:tcW w:w="7546" w:type="dxa"/>
            <w:tcBorders>
              <w:tl2br w:val="nil"/>
              <w:tr2bl w:val="nil"/>
            </w:tcBorders>
            <w:vAlign w:val="center"/>
          </w:tcPr>
          <w:p w14:paraId="0DA92C4D">
            <w:pPr>
              <w:adjustRightInd w:val="0"/>
              <w:snapToGrid w:val="0"/>
              <w:spacing w:line="240" w:lineRule="auto"/>
              <w:jc w:val="center"/>
              <w:rPr>
                <w:rFonts w:cs="Times New Roman"/>
                <w:sz w:val="21"/>
              </w:rPr>
            </w:pPr>
            <w:r>
              <w:rPr>
                <w:rFonts w:hint="eastAsia" w:cs="Times New Roman"/>
                <w:sz w:val="21"/>
              </w:rPr>
              <w:t>Mb≥1.0m，K≤1.0×10</w:t>
            </w:r>
            <w:r>
              <w:rPr>
                <w:rFonts w:hint="eastAsia" w:cs="Times New Roman"/>
                <w:sz w:val="21"/>
                <w:vertAlign w:val="superscript"/>
              </w:rPr>
              <w:t>-6</w:t>
            </w:r>
            <w:r>
              <w:rPr>
                <w:rFonts w:hint="eastAsia" w:cs="Times New Roman"/>
                <w:sz w:val="21"/>
              </w:rPr>
              <w:t>cm/s，且分布连续、稳定</w:t>
            </w:r>
          </w:p>
        </w:tc>
      </w:tr>
      <w:tr w14:paraId="3BBA8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742" w:type="dxa"/>
            <w:tcBorders>
              <w:tl2br w:val="nil"/>
              <w:tr2bl w:val="nil"/>
            </w:tcBorders>
            <w:vAlign w:val="center"/>
          </w:tcPr>
          <w:p w14:paraId="06796D06">
            <w:pPr>
              <w:adjustRightInd w:val="0"/>
              <w:snapToGrid w:val="0"/>
              <w:spacing w:line="240" w:lineRule="auto"/>
              <w:jc w:val="center"/>
              <w:rPr>
                <w:rFonts w:cs="Times New Roman"/>
                <w:sz w:val="21"/>
              </w:rPr>
            </w:pPr>
            <w:r>
              <w:rPr>
                <w:rFonts w:hint="eastAsia" w:cs="Times New Roman"/>
                <w:sz w:val="21"/>
              </w:rPr>
              <w:t>D2</w:t>
            </w:r>
          </w:p>
        </w:tc>
        <w:tc>
          <w:tcPr>
            <w:tcW w:w="7546" w:type="dxa"/>
            <w:tcBorders>
              <w:tl2br w:val="nil"/>
              <w:tr2bl w:val="nil"/>
            </w:tcBorders>
            <w:vAlign w:val="center"/>
          </w:tcPr>
          <w:p w14:paraId="52E7359F">
            <w:pPr>
              <w:adjustRightInd w:val="0"/>
              <w:snapToGrid w:val="0"/>
              <w:spacing w:line="240" w:lineRule="auto"/>
              <w:jc w:val="center"/>
              <w:rPr>
                <w:rFonts w:cs="Times New Roman"/>
                <w:sz w:val="21"/>
              </w:rPr>
            </w:pPr>
            <w:r>
              <w:rPr>
                <w:rFonts w:hint="eastAsia" w:cs="Times New Roman"/>
                <w:sz w:val="21"/>
              </w:rPr>
              <w:t>0.5m≤Mb＜1.0m，K≤1.0×10</w:t>
            </w:r>
            <w:r>
              <w:rPr>
                <w:rFonts w:hint="eastAsia" w:cs="Times New Roman"/>
                <w:sz w:val="21"/>
                <w:vertAlign w:val="superscript"/>
              </w:rPr>
              <w:t>-6</w:t>
            </w:r>
            <w:r>
              <w:rPr>
                <w:rFonts w:hint="eastAsia" w:cs="Times New Roman"/>
                <w:sz w:val="21"/>
              </w:rPr>
              <w:t>cm/s，且分布连续、稳定</w:t>
            </w:r>
          </w:p>
          <w:p w14:paraId="77C8322A">
            <w:pPr>
              <w:adjustRightInd w:val="0"/>
              <w:snapToGrid w:val="0"/>
              <w:spacing w:line="240" w:lineRule="auto"/>
              <w:jc w:val="center"/>
              <w:rPr>
                <w:rFonts w:cs="Times New Roman"/>
                <w:sz w:val="21"/>
              </w:rPr>
            </w:pPr>
            <w:r>
              <w:rPr>
                <w:rFonts w:hint="eastAsia" w:cs="Times New Roman"/>
                <w:sz w:val="21"/>
              </w:rPr>
              <w:t>Mb≥1.0m，1.0×10</w:t>
            </w:r>
            <w:r>
              <w:rPr>
                <w:rFonts w:hint="eastAsia" w:cs="Times New Roman"/>
                <w:sz w:val="21"/>
                <w:vertAlign w:val="superscript"/>
              </w:rPr>
              <w:t>-6</w:t>
            </w:r>
            <w:r>
              <w:rPr>
                <w:rFonts w:hint="eastAsia" w:cs="Times New Roman"/>
                <w:sz w:val="21"/>
              </w:rPr>
              <w:t>cm/s＜K≤1.0×10</w:t>
            </w:r>
            <w:r>
              <w:rPr>
                <w:rFonts w:hint="eastAsia" w:cs="Times New Roman"/>
                <w:sz w:val="21"/>
                <w:vertAlign w:val="superscript"/>
              </w:rPr>
              <w:t>-4</w:t>
            </w:r>
            <w:r>
              <w:rPr>
                <w:rFonts w:hint="eastAsia" w:cs="Times New Roman"/>
                <w:sz w:val="21"/>
              </w:rPr>
              <w:t>cm/s，且分布连续、稳定</w:t>
            </w:r>
          </w:p>
        </w:tc>
      </w:tr>
      <w:tr w14:paraId="527CA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742" w:type="dxa"/>
            <w:tcBorders>
              <w:tl2br w:val="nil"/>
              <w:tr2bl w:val="nil"/>
            </w:tcBorders>
            <w:vAlign w:val="center"/>
          </w:tcPr>
          <w:p w14:paraId="57339D7F">
            <w:pPr>
              <w:adjustRightInd w:val="0"/>
              <w:snapToGrid w:val="0"/>
              <w:spacing w:line="240" w:lineRule="auto"/>
              <w:jc w:val="center"/>
              <w:rPr>
                <w:rFonts w:cs="Times New Roman"/>
                <w:sz w:val="21"/>
              </w:rPr>
            </w:pPr>
            <w:r>
              <w:rPr>
                <w:rFonts w:hint="eastAsia" w:cs="Times New Roman"/>
                <w:sz w:val="21"/>
              </w:rPr>
              <w:t>D1</w:t>
            </w:r>
          </w:p>
        </w:tc>
        <w:tc>
          <w:tcPr>
            <w:tcW w:w="7546" w:type="dxa"/>
            <w:tcBorders>
              <w:tl2br w:val="nil"/>
              <w:tr2bl w:val="nil"/>
            </w:tcBorders>
            <w:vAlign w:val="center"/>
          </w:tcPr>
          <w:p w14:paraId="293B7B0A">
            <w:pPr>
              <w:adjustRightInd w:val="0"/>
              <w:snapToGrid w:val="0"/>
              <w:spacing w:line="240" w:lineRule="auto"/>
              <w:jc w:val="center"/>
              <w:rPr>
                <w:rFonts w:cs="Times New Roman"/>
                <w:sz w:val="21"/>
              </w:rPr>
            </w:pPr>
            <w:r>
              <w:rPr>
                <w:rFonts w:hint="eastAsia" w:cs="Times New Roman"/>
                <w:sz w:val="21"/>
              </w:rPr>
              <w:t>岩（土）层不满足上述“D2”和“D3”条件</w:t>
            </w:r>
          </w:p>
        </w:tc>
      </w:tr>
      <w:tr w14:paraId="1B4A1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99" w:hRule="atLeast"/>
          <w:jc w:val="center"/>
        </w:trPr>
        <w:tc>
          <w:tcPr>
            <w:tcW w:w="8288" w:type="dxa"/>
            <w:gridSpan w:val="2"/>
            <w:tcBorders>
              <w:tl2br w:val="nil"/>
              <w:tr2bl w:val="nil"/>
            </w:tcBorders>
            <w:vAlign w:val="center"/>
          </w:tcPr>
          <w:p w14:paraId="6B7DE688">
            <w:pPr>
              <w:adjustRightInd w:val="0"/>
              <w:snapToGrid w:val="0"/>
              <w:spacing w:line="240" w:lineRule="auto"/>
              <w:jc w:val="left"/>
              <w:rPr>
                <w:rFonts w:cs="Times New Roman"/>
                <w:sz w:val="21"/>
              </w:rPr>
            </w:pPr>
            <w:r>
              <w:rPr>
                <w:rFonts w:hint="eastAsia" w:cs="Times New Roman"/>
                <w:sz w:val="21"/>
              </w:rPr>
              <w:t>Mb：岩土层单层厚度；K：渗透系数。</w:t>
            </w:r>
          </w:p>
        </w:tc>
      </w:tr>
    </w:tbl>
    <w:p w14:paraId="5067A2E2">
      <w:pPr>
        <w:widowControl/>
        <w:adjustRightInd w:val="0"/>
        <w:snapToGrid w:val="0"/>
        <w:ind w:firstLine="480" w:firstLineChars="200"/>
        <w:jc w:val="left"/>
        <w:rPr>
          <w:rFonts w:cs="Times New Roman"/>
          <w:color w:val="000000"/>
        </w:rPr>
      </w:pPr>
      <w:r>
        <w:rPr>
          <w:rFonts w:hint="eastAsia" w:cs="Times New Roman"/>
          <w:color w:val="000000"/>
        </w:rPr>
        <w:t>根据《广东中建新材科技有限公司年产10万吨高性能聚羧酸系列减水剂生产线项目岩土工程勘察报告》（江西核鹰勘测规划设计有限责任公司，2022年5月），</w:t>
      </w:r>
      <w:r>
        <w:rPr>
          <w:rFonts w:hint="eastAsia" w:cs="Times New Roman"/>
          <w:color w:val="000000"/>
          <w:lang w:eastAsia="zh-CN"/>
        </w:rPr>
        <w:t>该项目位于本项目西南方</w:t>
      </w:r>
      <w:r>
        <w:rPr>
          <w:rFonts w:hint="eastAsia" w:cs="Times New Roman"/>
          <w:color w:val="000000"/>
          <w:lang w:val="en-US" w:eastAsia="zh-CN"/>
        </w:rPr>
        <w:t>600米处</w:t>
      </w:r>
      <w:r>
        <w:rPr>
          <w:rFonts w:hint="eastAsia" w:cs="Times New Roman"/>
          <w:color w:val="000000"/>
          <w:lang w:eastAsia="zh-CN"/>
        </w:rPr>
        <w:t>，</w:t>
      </w:r>
      <w:r>
        <w:rPr>
          <w:rFonts w:hint="eastAsia" w:cs="Times New Roman"/>
          <w:color w:val="000000"/>
        </w:rPr>
        <w:t>项目岩土层自上而下分布有：第四系人工填土层（Q</w:t>
      </w:r>
      <w:r>
        <w:rPr>
          <w:rFonts w:hint="eastAsia" w:cs="Times New Roman"/>
          <w:color w:val="000000"/>
          <w:vertAlign w:val="subscript"/>
        </w:rPr>
        <w:t>4</w:t>
      </w:r>
      <w:r>
        <w:rPr>
          <w:rFonts w:hint="eastAsia" w:cs="Times New Roman"/>
          <w:color w:val="000000"/>
          <w:vertAlign w:val="superscript"/>
        </w:rPr>
        <w:t>ml</w:t>
      </w:r>
      <w:r>
        <w:rPr>
          <w:rFonts w:hint="eastAsia" w:cs="Times New Roman"/>
          <w:color w:val="000000"/>
        </w:rPr>
        <w:t>）的素填土、第四冲积层（Q</w:t>
      </w:r>
      <w:r>
        <w:rPr>
          <w:rFonts w:hint="eastAsia" w:cs="Times New Roman"/>
          <w:color w:val="000000"/>
          <w:vertAlign w:val="subscript"/>
        </w:rPr>
        <w:t>4</w:t>
      </w:r>
      <w:r>
        <w:rPr>
          <w:rFonts w:hint="eastAsia" w:cs="Times New Roman"/>
          <w:color w:val="000000"/>
          <w:vertAlign w:val="superscript"/>
        </w:rPr>
        <w:t>el</w:t>
      </w:r>
      <w:r>
        <w:rPr>
          <w:rFonts w:hint="eastAsia" w:cs="Times New Roman"/>
          <w:color w:val="000000"/>
        </w:rPr>
        <w:t>）的粉质黏土、泥盆系上统粉砂岩（D</w:t>
      </w:r>
      <w:r>
        <w:rPr>
          <w:rFonts w:hint="eastAsia" w:cs="Times New Roman"/>
          <w:color w:val="000000"/>
          <w:vertAlign w:val="subscript"/>
        </w:rPr>
        <w:t>3</w:t>
      </w:r>
      <w:r>
        <w:rPr>
          <w:rFonts w:hint="eastAsia" w:cs="Times New Roman"/>
          <w:color w:val="000000"/>
        </w:rPr>
        <w:t>）的全风化粉砂岩和强风化粉砂岩。其中素填土为灰色、褐黄色，由粉质黏土组成，夹小岩碎石、碎屑，湿，回填时间&gt;5年，结构松散，全场地分布。因此项目所在位置包气带防污性能分级为D2。</w:t>
      </w:r>
    </w:p>
    <w:p w14:paraId="2F69FE60">
      <w:pPr>
        <w:adjustRightInd w:val="0"/>
        <w:snapToGrid w:val="0"/>
        <w:ind w:firstLine="480" w:firstLineChars="200"/>
        <w:rPr>
          <w:rFonts w:cs="Times New Roman"/>
          <w:color w:val="000000"/>
        </w:rPr>
      </w:pPr>
      <w:r>
        <w:rPr>
          <w:rFonts w:hint="eastAsia" w:cs="Times New Roman"/>
          <w:color w:val="000000"/>
        </w:rPr>
        <w:t>综上，对照</w:t>
      </w:r>
      <w:r>
        <w:rPr>
          <w:rFonts w:hint="eastAsia" w:cs="Times New Roman"/>
          <w:color w:val="000000"/>
          <w:lang w:eastAsia="zh-CN"/>
        </w:rPr>
        <w:t>表3</w:t>
      </w:r>
      <w:r>
        <w:rPr>
          <w:rFonts w:hint="eastAsia" w:cs="Times New Roman"/>
          <w:color w:val="000000"/>
        </w:rPr>
        <w:t>-11确定本项目地下水环境敏感程度为E3。综上，对照</w:t>
      </w:r>
      <w:r>
        <w:rPr>
          <w:rFonts w:hint="eastAsia" w:cs="Times New Roman"/>
          <w:color w:val="000000"/>
          <w:lang w:eastAsia="zh-CN"/>
        </w:rPr>
        <w:t>表3</w:t>
      </w:r>
      <w:r>
        <w:rPr>
          <w:rFonts w:hint="eastAsia" w:cs="Times New Roman"/>
          <w:color w:val="000000"/>
        </w:rPr>
        <w:t>-2确定本项目地下水环境风险潜势为Ⅲ。</w:t>
      </w:r>
    </w:p>
    <w:p w14:paraId="4AFAEA63">
      <w:pPr>
        <w:adjustRightInd w:val="0"/>
        <w:snapToGrid w:val="0"/>
        <w:ind w:firstLine="480" w:firstLineChars="200"/>
        <w:rPr>
          <w:rFonts w:cs="Times New Roman"/>
          <w:color w:val="000000"/>
        </w:rPr>
      </w:pPr>
      <w:r>
        <w:rPr>
          <w:rFonts w:hint="eastAsia" w:cs="Times New Roman"/>
          <w:color w:val="000000"/>
        </w:rPr>
        <w:t>本项目危险物质及工艺系统危险性P为P</w:t>
      </w:r>
      <w:r>
        <w:rPr>
          <w:rFonts w:hint="eastAsia" w:cs="Times New Roman"/>
          <w:color w:val="000000"/>
          <w:lang w:val="en-US" w:eastAsia="zh-CN"/>
        </w:rPr>
        <w:t>2</w:t>
      </w:r>
      <w:r>
        <w:rPr>
          <w:rFonts w:hint="eastAsia" w:cs="Times New Roman"/>
          <w:color w:val="000000"/>
        </w:rPr>
        <w:t>，大气环境敏感程度、地表水环境敏感程度均为E2</w:t>
      </w:r>
      <w:r>
        <w:rPr>
          <w:rFonts w:hint="eastAsia" w:cs="Times New Roman"/>
          <w:color w:val="000000"/>
          <w:lang w:eastAsia="zh-CN"/>
        </w:rPr>
        <w:t>，</w:t>
      </w:r>
      <w:r>
        <w:rPr>
          <w:rFonts w:hint="eastAsia" w:cs="Times New Roman"/>
          <w:color w:val="000000"/>
        </w:rPr>
        <w:t>地下水环境敏感程度为E</w:t>
      </w:r>
      <w:r>
        <w:rPr>
          <w:rFonts w:hint="eastAsia" w:cs="Times New Roman"/>
          <w:color w:val="000000"/>
          <w:lang w:val="en-US" w:eastAsia="zh-CN"/>
        </w:rPr>
        <w:t>3</w:t>
      </w:r>
      <w:r>
        <w:rPr>
          <w:rFonts w:hint="eastAsia" w:cs="Times New Roman"/>
          <w:color w:val="000000"/>
        </w:rPr>
        <w:t>，对照</w:t>
      </w:r>
      <w:r>
        <w:rPr>
          <w:rFonts w:hint="eastAsia" w:cs="Times New Roman"/>
          <w:color w:val="000000"/>
          <w:lang w:eastAsia="zh-CN"/>
        </w:rPr>
        <w:t>表3</w:t>
      </w:r>
      <w:r>
        <w:rPr>
          <w:rFonts w:hint="eastAsia" w:cs="Times New Roman"/>
          <w:color w:val="000000"/>
        </w:rPr>
        <w:t>-2确定大气环境风险潜势、地表水环境风险潜势均为Ⅲ，地下水环境风险潜势为Ⅲ，最终根据</w:t>
      </w:r>
      <w:r>
        <w:rPr>
          <w:rFonts w:hint="eastAsia" w:cs="Times New Roman"/>
          <w:color w:val="000000"/>
          <w:lang w:eastAsia="zh-CN"/>
        </w:rPr>
        <w:t>表3</w:t>
      </w:r>
      <w:r>
        <w:rPr>
          <w:rFonts w:hint="eastAsia" w:cs="Times New Roman"/>
          <w:color w:val="000000"/>
        </w:rPr>
        <w:t>-1确定本项目环境风险评价工作等级为“二级”。</w:t>
      </w:r>
    </w:p>
    <w:p w14:paraId="0E8A1105">
      <w:pPr>
        <w:keepNext/>
        <w:keepLines/>
        <w:widowControl w:val="0"/>
        <w:bidi w:val="0"/>
        <w:adjustRightInd w:val="0"/>
        <w:snapToGrid w:val="0"/>
        <w:spacing w:before="100" w:beforeLines="0" w:beforeAutospacing="0" w:afterLines="0" w:afterAutospacing="0" w:line="360" w:lineRule="auto"/>
        <w:jc w:val="both"/>
        <w:outlineLvl w:val="1"/>
        <w:rPr>
          <w:rFonts w:ascii="Times New Roman" w:hAnsi="Times New Roman" w:eastAsia="宋体" w:cs="Times New Roman"/>
          <w:b/>
          <w:kern w:val="2"/>
          <w:sz w:val="32"/>
          <w:szCs w:val="24"/>
          <w:lang w:val="en-US" w:eastAsia="zh-CN" w:bidi="ar-SA"/>
        </w:rPr>
      </w:pPr>
      <w:r>
        <w:rPr>
          <w:rFonts w:hint="eastAsia" w:ascii="Times New Roman" w:hAnsi="Times New Roman" w:eastAsia="宋体" w:cs="Times New Roman"/>
          <w:b/>
          <w:kern w:val="2"/>
          <w:sz w:val="32"/>
          <w:szCs w:val="24"/>
          <w:lang w:val="en-US" w:eastAsia="zh-CN" w:bidi="ar-SA"/>
        </w:rPr>
        <w:t>3.3评价等级</w:t>
      </w:r>
    </w:p>
    <w:p w14:paraId="037304A4">
      <w:pPr>
        <w:adjustRightInd w:val="0"/>
        <w:snapToGrid w:val="0"/>
        <w:ind w:firstLine="480" w:firstLineChars="200"/>
        <w:rPr>
          <w:rFonts w:cs="Times New Roman"/>
        </w:rPr>
      </w:pPr>
      <w:r>
        <w:rPr>
          <w:rFonts w:hint="eastAsia" w:cs="Times New Roman"/>
        </w:rPr>
        <w:t>①大气环境风险评级工作等级</w:t>
      </w:r>
    </w:p>
    <w:p w14:paraId="21D0F755">
      <w:pPr>
        <w:adjustRightInd w:val="0"/>
        <w:snapToGrid w:val="0"/>
        <w:ind w:firstLine="480" w:firstLineChars="200"/>
        <w:rPr>
          <w:rFonts w:cs="Times New Roman"/>
        </w:rPr>
      </w:pPr>
      <w:r>
        <w:rPr>
          <w:rFonts w:hint="eastAsia" w:cs="Times New Roman"/>
        </w:rPr>
        <w:t>根据《建设项目环境风险评价技术导则》（HJ169-2018）中“建设项目环境风险潜势划分”表，大气环境敏感度属于E2类，危险物质及工艺系统危险性属于P</w:t>
      </w:r>
      <w:r>
        <w:rPr>
          <w:rFonts w:hint="eastAsia" w:cs="Times New Roman"/>
          <w:lang w:val="en-US" w:eastAsia="zh-CN"/>
        </w:rPr>
        <w:t>2</w:t>
      </w:r>
      <w:r>
        <w:rPr>
          <w:rFonts w:hint="eastAsia" w:cs="Times New Roman"/>
        </w:rPr>
        <w:t>类，因此，大气环境风险潜势为Ⅲ，大气环境风险评级工作等级为二级。</w:t>
      </w:r>
    </w:p>
    <w:p w14:paraId="01536603">
      <w:pPr>
        <w:adjustRightInd w:val="0"/>
        <w:snapToGrid w:val="0"/>
        <w:ind w:firstLine="480" w:firstLineChars="200"/>
        <w:rPr>
          <w:rFonts w:cs="Times New Roman"/>
        </w:rPr>
      </w:pPr>
      <w:r>
        <w:rPr>
          <w:rFonts w:hint="eastAsia" w:cs="Times New Roman"/>
        </w:rPr>
        <w:t>②地表水环境风险评级工作等级</w:t>
      </w:r>
    </w:p>
    <w:p w14:paraId="12096C0E">
      <w:pPr>
        <w:adjustRightInd w:val="0"/>
        <w:snapToGrid w:val="0"/>
        <w:ind w:firstLine="480" w:firstLineChars="200"/>
        <w:rPr>
          <w:rFonts w:cs="Times New Roman"/>
        </w:rPr>
      </w:pPr>
      <w:r>
        <w:rPr>
          <w:rFonts w:hint="eastAsia" w:cs="Times New Roman"/>
        </w:rPr>
        <w:t>根据《建设项目环境风险评价技术导则》（HJ169-2018）中“建设项目环境风险潜势划分”表，地表水功能敏感性属于E2类，危险物质及工艺系统危险性属于P</w:t>
      </w:r>
      <w:r>
        <w:rPr>
          <w:rFonts w:hint="eastAsia" w:cs="Times New Roman"/>
          <w:lang w:val="en-US" w:eastAsia="zh-CN"/>
        </w:rPr>
        <w:t>2</w:t>
      </w:r>
      <w:r>
        <w:rPr>
          <w:rFonts w:hint="eastAsia" w:cs="Times New Roman"/>
        </w:rPr>
        <w:t>类，因此，地表水环境风险潜势为Ⅲ，地表水环境风险评级工作等级为二级。</w:t>
      </w:r>
    </w:p>
    <w:p w14:paraId="16EF76B0">
      <w:pPr>
        <w:adjustRightInd w:val="0"/>
        <w:snapToGrid w:val="0"/>
        <w:ind w:firstLine="480" w:firstLineChars="200"/>
        <w:rPr>
          <w:rFonts w:cs="Times New Roman"/>
        </w:rPr>
      </w:pPr>
      <w:r>
        <w:rPr>
          <w:rFonts w:hint="eastAsia" w:cs="Times New Roman"/>
        </w:rPr>
        <w:t>③地下水环境风险评级工作等级</w:t>
      </w:r>
    </w:p>
    <w:p w14:paraId="0219EA9D">
      <w:pPr>
        <w:adjustRightInd w:val="0"/>
        <w:snapToGrid w:val="0"/>
        <w:ind w:firstLine="480" w:firstLineChars="200"/>
        <w:rPr>
          <w:rFonts w:cs="Times New Roman"/>
        </w:rPr>
      </w:pPr>
      <w:r>
        <w:rPr>
          <w:rFonts w:hint="eastAsia" w:cs="Times New Roman"/>
        </w:rPr>
        <w:t>根据《建设项目环境风险评价技术导则》（HJ169-2018）中“建设项目环境风险潜势划分”表，地下水功能敏感性属于E</w:t>
      </w:r>
      <w:r>
        <w:rPr>
          <w:rFonts w:hint="eastAsia" w:cs="Times New Roman"/>
          <w:lang w:val="en-US" w:eastAsia="zh-CN"/>
        </w:rPr>
        <w:t>2</w:t>
      </w:r>
      <w:r>
        <w:rPr>
          <w:rFonts w:hint="eastAsia" w:cs="Times New Roman"/>
        </w:rPr>
        <w:t>类，危险物质及工艺系统危险性属于P</w:t>
      </w:r>
      <w:r>
        <w:rPr>
          <w:rFonts w:hint="eastAsia" w:cs="Times New Roman"/>
          <w:lang w:val="en-US" w:eastAsia="zh-CN"/>
        </w:rPr>
        <w:t>2</w:t>
      </w:r>
      <w:r>
        <w:rPr>
          <w:rFonts w:hint="eastAsia" w:cs="Times New Roman"/>
        </w:rPr>
        <w:t>类，因此，地下水环境风险潜势为Ⅲ，地表水环境风险评级工作等级为</w:t>
      </w:r>
      <w:r>
        <w:rPr>
          <w:rFonts w:hint="eastAsia" w:cs="Times New Roman"/>
          <w:lang w:eastAsia="zh-CN"/>
        </w:rPr>
        <w:t>二</w:t>
      </w:r>
      <w:r>
        <w:rPr>
          <w:rFonts w:hint="eastAsia" w:cs="Times New Roman"/>
        </w:rPr>
        <w:t>级。</w:t>
      </w:r>
    </w:p>
    <w:p w14:paraId="4F98D8F9">
      <w:pPr>
        <w:adjustRightInd w:val="0"/>
        <w:snapToGrid w:val="0"/>
        <w:ind w:firstLine="480" w:firstLineChars="200"/>
        <w:rPr>
          <w:rFonts w:cs="Times New Roman"/>
        </w:rPr>
      </w:pPr>
      <w:r>
        <w:rPr>
          <w:rFonts w:hint="eastAsia" w:cs="Times New Roman"/>
        </w:rPr>
        <w:t>④综合风险潜势和评价工作等级</w:t>
      </w:r>
    </w:p>
    <w:p w14:paraId="4BEB0E63">
      <w:pPr>
        <w:adjustRightInd w:val="0"/>
        <w:snapToGrid w:val="0"/>
        <w:ind w:firstLine="480" w:firstLineChars="200"/>
        <w:rPr>
          <w:rFonts w:cs="Times New Roman"/>
        </w:rPr>
      </w:pPr>
      <w:r>
        <w:rPr>
          <w:rFonts w:hint="eastAsia" w:cs="Times New Roman"/>
        </w:rPr>
        <w:t>根据《建设项目环境风险评价技术导则》（HJ169-2018）中“建设项目环境风险潜势综合等级取各要素等级的相对高值”，因此，本项目的环境风险潜势综合等级为二级。</w:t>
      </w:r>
    </w:p>
    <w:p w14:paraId="3369D1A1">
      <w:pPr>
        <w:keepNext/>
        <w:keepLines/>
        <w:widowControl w:val="0"/>
        <w:bidi w:val="0"/>
        <w:adjustRightInd w:val="0"/>
        <w:snapToGrid w:val="0"/>
        <w:spacing w:before="100" w:beforeLines="0" w:beforeAutospacing="0" w:afterLines="0" w:afterAutospacing="0" w:line="360" w:lineRule="auto"/>
        <w:jc w:val="both"/>
        <w:outlineLvl w:val="1"/>
        <w:rPr>
          <w:rFonts w:ascii="Times New Roman" w:hAnsi="Times New Roman" w:eastAsia="宋体" w:cs="Times New Roman"/>
          <w:b/>
          <w:kern w:val="2"/>
          <w:sz w:val="32"/>
          <w:szCs w:val="24"/>
          <w:lang w:val="en-US" w:eastAsia="zh-CN" w:bidi="ar-SA"/>
        </w:rPr>
      </w:pPr>
      <w:r>
        <w:rPr>
          <w:rFonts w:hint="eastAsia" w:ascii="Times New Roman" w:hAnsi="Times New Roman" w:eastAsia="宋体" w:cs="Times New Roman"/>
          <w:b/>
          <w:kern w:val="2"/>
          <w:sz w:val="32"/>
          <w:szCs w:val="24"/>
          <w:lang w:val="en-US" w:eastAsia="zh-CN" w:bidi="ar-SA"/>
        </w:rPr>
        <w:t>3.4环境敏感目标概况</w:t>
      </w:r>
    </w:p>
    <w:p w14:paraId="53E9B398">
      <w:pPr>
        <w:adjustRightInd w:val="0"/>
        <w:snapToGrid w:val="0"/>
        <w:ind w:firstLine="480" w:firstLineChars="200"/>
        <w:rPr>
          <w:rFonts w:cs="Times New Roman"/>
        </w:rPr>
      </w:pPr>
      <w:r>
        <w:rPr>
          <w:rFonts w:hint="eastAsia" w:cs="Times New Roman"/>
        </w:rPr>
        <w:t>按《建设项目环境风险评价技术导则》（HJ/T169-2018）有关规定，本项目大气环境风险潜势为Ⅲ，大气环境风险评级工作等级为二级，大气环境风险评价范围为距项目边界5km的圆形区域；地表水环境风险潜势为Ⅲ，地表水环境风险评级工作等级为二级，地表水环境风险评价范围为综合园区污水处理厂污水排放口上游500m至下游4km范围；地下水环境风险潜势为Ⅲ，地表水环境风险评级工作等级为二级，地下水环境风险评价范围为以项目为中心，半径2.5km的圆形区域（其中西面以</w:t>
      </w:r>
      <w:r>
        <w:rPr>
          <w:rFonts w:hint="eastAsia" w:cs="Times New Roman"/>
          <w:color w:val="000000"/>
        </w:rPr>
        <w:t>逢源河</w:t>
      </w:r>
      <w:r>
        <w:rPr>
          <w:rFonts w:hint="eastAsia" w:cs="Times New Roman"/>
        </w:rPr>
        <w:t>为界），评价范围约12km</w:t>
      </w:r>
      <w:r>
        <w:rPr>
          <w:rFonts w:hint="eastAsia" w:cs="Times New Roman"/>
          <w:vertAlign w:val="superscript"/>
        </w:rPr>
        <w:t>2</w:t>
      </w:r>
      <w:r>
        <w:rPr>
          <w:rFonts w:hint="eastAsia" w:cs="Times New Roman"/>
        </w:rPr>
        <w:t>。因此，本次环境风险评价敏感特征表如下。</w:t>
      </w:r>
    </w:p>
    <w:p w14:paraId="5A54249F">
      <w:pPr>
        <w:ind w:firstLine="480" w:firstLineChars="200"/>
        <w:rPr>
          <w:rFonts w:hint="eastAsia" w:eastAsia="宋体"/>
          <w:lang w:val="en-US" w:eastAsia="zh-CN"/>
        </w:rPr>
      </w:pPr>
    </w:p>
    <w:p w14:paraId="395CE702">
      <w:pPr>
        <w:pStyle w:val="2"/>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3909EE4">
      <w:pPr>
        <w:pStyle w:val="2"/>
        <w:bidi w:val="0"/>
      </w:pPr>
      <w:bookmarkStart w:id="25" w:name="_Toc4445"/>
      <w:r>
        <w:rPr>
          <w:rFonts w:hint="eastAsia"/>
          <w:lang w:val="en-US" w:eastAsia="zh-CN"/>
        </w:rPr>
        <w:t>4</w:t>
      </w:r>
      <w:r>
        <w:rPr>
          <w:rFonts w:hint="eastAsia"/>
        </w:rPr>
        <w:t>环境风险识别</w:t>
      </w:r>
      <w:bookmarkEnd w:id="25"/>
    </w:p>
    <w:p w14:paraId="090A1967">
      <w:pPr>
        <w:pStyle w:val="3"/>
        <w:bidi w:val="0"/>
      </w:pPr>
      <w:r>
        <w:rPr>
          <w:rFonts w:hint="eastAsia"/>
          <w:lang w:eastAsia="zh-CN"/>
        </w:rPr>
        <w:t>4</w:t>
      </w:r>
      <w:r>
        <w:rPr>
          <w:rFonts w:hint="eastAsia"/>
        </w:rPr>
        <w:t>.1危险物质风险识别</w:t>
      </w:r>
    </w:p>
    <w:p w14:paraId="4ED01616">
      <w:pPr>
        <w:adjustRightInd w:val="0"/>
        <w:snapToGrid w:val="0"/>
        <w:ind w:firstLine="480" w:firstLineChars="200"/>
      </w:pPr>
      <w:r>
        <w:rPr>
          <w:rFonts w:hint="eastAsia"/>
        </w:rPr>
        <w:t>根据建设单位提供资料，项目全厂使用、储存原料情况见</w:t>
      </w:r>
      <w:r>
        <w:rPr>
          <w:rFonts w:hint="eastAsia"/>
          <w:color w:val="000000"/>
        </w:rPr>
        <w:t>表3.1-3。</w:t>
      </w:r>
      <w:r>
        <w:rPr>
          <w:rFonts w:hint="eastAsia"/>
        </w:rPr>
        <w:t>其中主要危险物质主要为</w:t>
      </w:r>
      <w:r>
        <w:rPr>
          <w:rFonts w:hint="eastAsia"/>
          <w:color w:val="000000" w:themeColor="text1"/>
          <w:lang w:eastAsia="zh-CN"/>
          <w14:textFill>
            <w14:solidFill>
              <w14:schemeClr w14:val="tx1"/>
            </w14:solidFill>
          </w14:textFill>
        </w:rPr>
        <w:t>液氨、氨水、废机油和柴油</w:t>
      </w:r>
      <w:r>
        <w:rPr>
          <w:rFonts w:hint="eastAsia"/>
        </w:rPr>
        <w:t>等。主要危险品信息如表</w:t>
      </w:r>
      <w:r>
        <w:rPr>
          <w:rFonts w:hint="eastAsia"/>
          <w:lang w:val="en-US" w:eastAsia="zh-CN"/>
        </w:rPr>
        <w:t>4-1</w:t>
      </w:r>
      <w:r>
        <w:rPr>
          <w:rFonts w:hint="eastAsia"/>
        </w:rPr>
        <w:t>。</w:t>
      </w:r>
    </w:p>
    <w:p w14:paraId="1A02ECEC">
      <w:pPr>
        <w:autoSpaceDE w:val="0"/>
        <w:autoSpaceDN w:val="0"/>
        <w:adjustRightInd w:val="0"/>
        <w:snapToGrid w:val="0"/>
        <w:spacing w:line="240" w:lineRule="auto"/>
        <w:jc w:val="center"/>
        <w:textAlignment w:val="baseline"/>
        <w:rPr>
          <w:b/>
          <w:kern w:val="24"/>
          <w:szCs w:val="20"/>
        </w:rPr>
      </w:pPr>
      <w:r>
        <w:rPr>
          <w:rFonts w:hint="eastAsia"/>
          <w:b/>
          <w:kern w:val="24"/>
          <w:szCs w:val="20"/>
        </w:rPr>
        <w:t>表</w:t>
      </w:r>
      <w:r>
        <w:rPr>
          <w:rFonts w:hint="eastAsia"/>
          <w:b/>
          <w:kern w:val="24"/>
          <w:szCs w:val="20"/>
          <w:lang w:val="en-US" w:eastAsia="zh-CN"/>
        </w:rPr>
        <w:t>4-1</w:t>
      </w:r>
      <w:r>
        <w:rPr>
          <w:rFonts w:hint="eastAsia"/>
          <w:b/>
          <w:kern w:val="24"/>
          <w:szCs w:val="20"/>
        </w:rPr>
        <w:t xml:space="preserve"> 危险品信息一览表</w:t>
      </w:r>
    </w:p>
    <w:tbl>
      <w:tblPr>
        <w:tblStyle w:val="11"/>
        <w:tblW w:w="87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25"/>
        <w:gridCol w:w="1597"/>
        <w:gridCol w:w="1000"/>
        <w:gridCol w:w="829"/>
        <w:gridCol w:w="1211"/>
        <w:gridCol w:w="1644"/>
        <w:gridCol w:w="1798"/>
      </w:tblGrid>
      <w:tr w14:paraId="02DA9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625" w:type="dxa"/>
            <w:tcBorders>
              <w:tl2br w:val="nil"/>
              <w:tr2bl w:val="nil"/>
            </w:tcBorders>
            <w:vAlign w:val="center"/>
          </w:tcPr>
          <w:p w14:paraId="1D67718F">
            <w:pPr>
              <w:adjustRightInd w:val="0"/>
              <w:snapToGrid w:val="0"/>
              <w:spacing w:line="240" w:lineRule="auto"/>
              <w:jc w:val="center"/>
              <w:rPr>
                <w:b/>
                <w:bCs/>
                <w:color w:val="000000"/>
                <w:sz w:val="21"/>
              </w:rPr>
            </w:pPr>
            <w:r>
              <w:rPr>
                <w:rFonts w:hint="eastAsia"/>
                <w:b/>
                <w:bCs/>
                <w:color w:val="000000"/>
                <w:sz w:val="21"/>
              </w:rPr>
              <w:t>序号</w:t>
            </w:r>
          </w:p>
        </w:tc>
        <w:tc>
          <w:tcPr>
            <w:tcW w:w="1597" w:type="dxa"/>
            <w:tcBorders>
              <w:tl2br w:val="nil"/>
              <w:tr2bl w:val="nil"/>
            </w:tcBorders>
            <w:vAlign w:val="center"/>
          </w:tcPr>
          <w:p w14:paraId="54BF870D">
            <w:pPr>
              <w:adjustRightInd w:val="0"/>
              <w:snapToGrid w:val="0"/>
              <w:spacing w:line="240" w:lineRule="auto"/>
              <w:jc w:val="center"/>
              <w:rPr>
                <w:b/>
                <w:bCs/>
                <w:color w:val="000000"/>
                <w:sz w:val="21"/>
              </w:rPr>
            </w:pPr>
            <w:r>
              <w:rPr>
                <w:rFonts w:hint="eastAsia"/>
                <w:b/>
                <w:bCs/>
                <w:color w:val="000000"/>
                <w:sz w:val="21"/>
              </w:rPr>
              <w:t>危险物质名称</w:t>
            </w:r>
          </w:p>
        </w:tc>
        <w:tc>
          <w:tcPr>
            <w:tcW w:w="1000" w:type="dxa"/>
            <w:tcBorders>
              <w:tl2br w:val="nil"/>
              <w:tr2bl w:val="nil"/>
            </w:tcBorders>
            <w:vAlign w:val="center"/>
          </w:tcPr>
          <w:p w14:paraId="74D90E06">
            <w:pPr>
              <w:adjustRightInd w:val="0"/>
              <w:snapToGrid w:val="0"/>
              <w:spacing w:line="240" w:lineRule="auto"/>
              <w:jc w:val="center"/>
              <w:rPr>
                <w:b/>
                <w:bCs/>
                <w:color w:val="000000"/>
                <w:sz w:val="21"/>
              </w:rPr>
            </w:pPr>
            <w:r>
              <w:rPr>
                <w:rFonts w:hint="eastAsia"/>
                <w:b/>
                <w:bCs/>
                <w:color w:val="000000"/>
                <w:sz w:val="21"/>
              </w:rPr>
              <w:t>年用量</w:t>
            </w:r>
            <w:r>
              <w:rPr>
                <w:b/>
                <w:bCs/>
                <w:color w:val="000000"/>
                <w:sz w:val="21"/>
              </w:rPr>
              <w:t>t</w:t>
            </w:r>
          </w:p>
        </w:tc>
        <w:tc>
          <w:tcPr>
            <w:tcW w:w="829" w:type="dxa"/>
            <w:tcBorders>
              <w:tl2br w:val="nil"/>
              <w:tr2bl w:val="nil"/>
            </w:tcBorders>
            <w:vAlign w:val="center"/>
          </w:tcPr>
          <w:p w14:paraId="1DA6346E">
            <w:pPr>
              <w:adjustRightInd w:val="0"/>
              <w:snapToGrid w:val="0"/>
              <w:spacing w:line="240" w:lineRule="auto"/>
              <w:jc w:val="center"/>
              <w:rPr>
                <w:b/>
                <w:bCs/>
                <w:color w:val="000000"/>
                <w:sz w:val="21"/>
              </w:rPr>
            </w:pPr>
            <w:r>
              <w:rPr>
                <w:rFonts w:hint="eastAsia"/>
                <w:b/>
                <w:bCs/>
                <w:color w:val="000000"/>
                <w:sz w:val="21"/>
              </w:rPr>
              <w:t>状态</w:t>
            </w:r>
          </w:p>
        </w:tc>
        <w:tc>
          <w:tcPr>
            <w:tcW w:w="1211" w:type="dxa"/>
            <w:tcBorders>
              <w:tl2br w:val="nil"/>
              <w:tr2bl w:val="nil"/>
            </w:tcBorders>
            <w:vAlign w:val="center"/>
          </w:tcPr>
          <w:p w14:paraId="4D7F486F">
            <w:pPr>
              <w:adjustRightInd w:val="0"/>
              <w:snapToGrid w:val="0"/>
              <w:spacing w:line="240" w:lineRule="auto"/>
              <w:jc w:val="center"/>
              <w:rPr>
                <w:b/>
                <w:bCs/>
                <w:color w:val="000000"/>
                <w:sz w:val="21"/>
              </w:rPr>
            </w:pPr>
            <w:r>
              <w:rPr>
                <w:rFonts w:hint="eastAsia"/>
                <w:b/>
                <w:bCs/>
                <w:color w:val="000000"/>
                <w:sz w:val="21"/>
              </w:rPr>
              <w:t>储存方式</w:t>
            </w:r>
          </w:p>
        </w:tc>
        <w:tc>
          <w:tcPr>
            <w:tcW w:w="1644" w:type="dxa"/>
            <w:tcBorders>
              <w:tl2br w:val="nil"/>
              <w:tr2bl w:val="nil"/>
            </w:tcBorders>
            <w:vAlign w:val="center"/>
          </w:tcPr>
          <w:p w14:paraId="37134397">
            <w:pPr>
              <w:adjustRightInd w:val="0"/>
              <w:snapToGrid w:val="0"/>
              <w:spacing w:line="240" w:lineRule="auto"/>
              <w:jc w:val="center"/>
              <w:rPr>
                <w:b/>
                <w:bCs/>
                <w:color w:val="000000"/>
                <w:sz w:val="21"/>
              </w:rPr>
            </w:pPr>
            <w:r>
              <w:rPr>
                <w:rFonts w:hint="eastAsia"/>
                <w:b/>
                <w:bCs/>
                <w:color w:val="000000"/>
                <w:sz w:val="21"/>
              </w:rPr>
              <w:t>最大存在总量</w:t>
            </w:r>
            <w:r>
              <w:rPr>
                <w:b/>
                <w:bCs/>
                <w:color w:val="000000"/>
                <w:sz w:val="21"/>
              </w:rPr>
              <w:t>t</w:t>
            </w:r>
          </w:p>
        </w:tc>
        <w:tc>
          <w:tcPr>
            <w:tcW w:w="1798" w:type="dxa"/>
            <w:tcBorders>
              <w:tl2br w:val="nil"/>
              <w:tr2bl w:val="nil"/>
            </w:tcBorders>
            <w:vAlign w:val="center"/>
          </w:tcPr>
          <w:p w14:paraId="60AB33D2">
            <w:pPr>
              <w:adjustRightInd w:val="0"/>
              <w:snapToGrid w:val="0"/>
              <w:spacing w:line="240" w:lineRule="auto"/>
              <w:jc w:val="center"/>
              <w:rPr>
                <w:b/>
                <w:bCs/>
                <w:color w:val="000000"/>
                <w:sz w:val="21"/>
              </w:rPr>
            </w:pPr>
            <w:r>
              <w:rPr>
                <w:rFonts w:hint="eastAsia"/>
                <w:b/>
                <w:bCs/>
                <w:color w:val="000000"/>
                <w:sz w:val="21"/>
              </w:rPr>
              <w:t>贮存地点</w:t>
            </w:r>
          </w:p>
        </w:tc>
      </w:tr>
      <w:tr w14:paraId="045AC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625" w:type="dxa"/>
            <w:tcBorders>
              <w:tl2br w:val="nil"/>
              <w:tr2bl w:val="nil"/>
            </w:tcBorders>
            <w:vAlign w:val="center"/>
          </w:tcPr>
          <w:p w14:paraId="74F7E925">
            <w:pPr>
              <w:adjustRightInd w:val="0"/>
              <w:snapToGrid w:val="0"/>
              <w:spacing w:line="240" w:lineRule="auto"/>
              <w:jc w:val="center"/>
              <w:rPr>
                <w:color w:val="000000"/>
                <w:sz w:val="21"/>
              </w:rPr>
            </w:pPr>
            <w:r>
              <w:rPr>
                <w:color w:val="000000"/>
                <w:sz w:val="21"/>
              </w:rPr>
              <w:t>1</w:t>
            </w:r>
          </w:p>
        </w:tc>
        <w:tc>
          <w:tcPr>
            <w:tcW w:w="1597" w:type="dxa"/>
            <w:tcBorders>
              <w:tl2br w:val="nil"/>
              <w:tr2bl w:val="nil"/>
            </w:tcBorders>
            <w:vAlign w:val="center"/>
          </w:tcPr>
          <w:p w14:paraId="5FACB32A">
            <w:pPr>
              <w:pStyle w:val="14"/>
              <w:bidi w:val="0"/>
              <w:jc w:val="center"/>
              <w:rPr>
                <w:color w:val="000000"/>
                <w:sz w:val="21"/>
              </w:rPr>
            </w:pPr>
            <w:r>
              <w:rPr>
                <w:rFonts w:hint="eastAsia"/>
                <w:lang w:val="en-US" w:eastAsia="zh-CN"/>
              </w:rPr>
              <w:t>液氨</w:t>
            </w:r>
          </w:p>
        </w:tc>
        <w:tc>
          <w:tcPr>
            <w:tcW w:w="1000" w:type="dxa"/>
            <w:tcBorders>
              <w:tl2br w:val="nil"/>
              <w:tr2bl w:val="nil"/>
            </w:tcBorders>
            <w:vAlign w:val="center"/>
          </w:tcPr>
          <w:p w14:paraId="6CB23E70">
            <w:pPr>
              <w:pStyle w:val="14"/>
              <w:bidi w:val="0"/>
              <w:jc w:val="center"/>
              <w:rPr>
                <w:rFonts w:hint="default" w:eastAsia="宋体"/>
                <w:color w:val="000000"/>
                <w:sz w:val="21"/>
                <w:lang w:val="en-US" w:eastAsia="zh-CN"/>
              </w:rPr>
            </w:pPr>
            <w:r>
              <w:rPr>
                <w:rFonts w:hint="eastAsia"/>
                <w:color w:val="000000"/>
                <w:sz w:val="21"/>
                <w:lang w:val="en-US" w:eastAsia="zh-CN"/>
              </w:rPr>
              <w:t>23750</w:t>
            </w:r>
          </w:p>
        </w:tc>
        <w:tc>
          <w:tcPr>
            <w:tcW w:w="829" w:type="dxa"/>
            <w:tcBorders>
              <w:tl2br w:val="nil"/>
              <w:tr2bl w:val="nil"/>
            </w:tcBorders>
            <w:vAlign w:val="center"/>
          </w:tcPr>
          <w:p w14:paraId="59D6E44F">
            <w:pPr>
              <w:adjustRightInd w:val="0"/>
              <w:snapToGrid w:val="0"/>
              <w:spacing w:line="240" w:lineRule="auto"/>
              <w:jc w:val="center"/>
              <w:rPr>
                <w:color w:val="000000"/>
                <w:sz w:val="21"/>
              </w:rPr>
            </w:pPr>
            <w:r>
              <w:rPr>
                <w:rFonts w:hint="eastAsia"/>
                <w:color w:val="000000"/>
                <w:sz w:val="21"/>
              </w:rPr>
              <w:t>液态</w:t>
            </w:r>
          </w:p>
        </w:tc>
        <w:tc>
          <w:tcPr>
            <w:tcW w:w="1211" w:type="dxa"/>
            <w:tcBorders>
              <w:tl2br w:val="nil"/>
              <w:tr2bl w:val="nil"/>
            </w:tcBorders>
            <w:vAlign w:val="center"/>
          </w:tcPr>
          <w:p w14:paraId="2E9C98B6">
            <w:pPr>
              <w:adjustRightInd w:val="0"/>
              <w:snapToGrid w:val="0"/>
              <w:spacing w:line="240" w:lineRule="auto"/>
              <w:jc w:val="center"/>
              <w:rPr>
                <w:color w:val="000000"/>
                <w:sz w:val="21"/>
              </w:rPr>
            </w:pPr>
            <w:r>
              <w:rPr>
                <w:rFonts w:hint="eastAsia"/>
                <w:color w:val="000000"/>
                <w:sz w:val="21"/>
              </w:rPr>
              <w:t>储罐</w:t>
            </w:r>
          </w:p>
        </w:tc>
        <w:tc>
          <w:tcPr>
            <w:tcW w:w="1644" w:type="dxa"/>
            <w:tcBorders>
              <w:tl2br w:val="nil"/>
              <w:tr2bl w:val="nil"/>
            </w:tcBorders>
            <w:vAlign w:val="center"/>
          </w:tcPr>
          <w:p w14:paraId="34E4D115">
            <w:pPr>
              <w:pStyle w:val="14"/>
              <w:bidi w:val="0"/>
              <w:jc w:val="center"/>
              <w:rPr>
                <w:rFonts w:ascii="Times New Roman" w:hAnsi="Times New Roman" w:eastAsia="宋体" w:cs="Times New Roman"/>
                <w:color w:val="000000"/>
                <w:kern w:val="2"/>
                <w:sz w:val="21"/>
                <w:szCs w:val="24"/>
                <w:lang w:val="en-US" w:eastAsia="zh-CN" w:bidi="ar-SA"/>
              </w:rPr>
            </w:pPr>
            <w:r>
              <w:rPr>
                <w:rFonts w:hint="eastAsia"/>
                <w:lang w:val="en-US" w:eastAsia="zh-CN"/>
              </w:rPr>
              <w:t>1866.2</w:t>
            </w:r>
          </w:p>
        </w:tc>
        <w:tc>
          <w:tcPr>
            <w:tcW w:w="1798" w:type="dxa"/>
            <w:tcBorders>
              <w:tl2br w:val="nil"/>
              <w:tr2bl w:val="nil"/>
            </w:tcBorders>
            <w:vAlign w:val="center"/>
          </w:tcPr>
          <w:p w14:paraId="4CF12F79">
            <w:pPr>
              <w:adjustRightInd w:val="0"/>
              <w:snapToGrid w:val="0"/>
              <w:spacing w:line="240" w:lineRule="auto"/>
              <w:jc w:val="center"/>
              <w:rPr>
                <w:rFonts w:hint="eastAsia" w:eastAsia="宋体"/>
                <w:color w:val="000000"/>
                <w:sz w:val="21"/>
                <w:lang w:eastAsia="zh-CN"/>
              </w:rPr>
            </w:pPr>
            <w:r>
              <w:rPr>
                <w:rFonts w:hint="eastAsia"/>
                <w:color w:val="000000"/>
                <w:sz w:val="21"/>
                <w:lang w:eastAsia="zh-CN"/>
              </w:rPr>
              <w:t>液氨球罐区</w:t>
            </w:r>
          </w:p>
        </w:tc>
      </w:tr>
      <w:tr w14:paraId="07D028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625" w:type="dxa"/>
            <w:tcBorders>
              <w:tl2br w:val="nil"/>
              <w:tr2bl w:val="nil"/>
            </w:tcBorders>
            <w:vAlign w:val="center"/>
          </w:tcPr>
          <w:p w14:paraId="485F9093">
            <w:pPr>
              <w:adjustRightInd w:val="0"/>
              <w:snapToGrid w:val="0"/>
              <w:spacing w:line="240" w:lineRule="auto"/>
              <w:jc w:val="center"/>
              <w:rPr>
                <w:color w:val="000000"/>
                <w:sz w:val="21"/>
              </w:rPr>
            </w:pPr>
            <w:r>
              <w:rPr>
                <w:color w:val="000000"/>
                <w:sz w:val="21"/>
              </w:rPr>
              <w:t>2</w:t>
            </w:r>
          </w:p>
        </w:tc>
        <w:tc>
          <w:tcPr>
            <w:tcW w:w="1597" w:type="dxa"/>
            <w:tcBorders>
              <w:tl2br w:val="nil"/>
              <w:tr2bl w:val="nil"/>
            </w:tcBorders>
            <w:vAlign w:val="center"/>
          </w:tcPr>
          <w:p w14:paraId="3604F0CC">
            <w:pPr>
              <w:pStyle w:val="14"/>
              <w:bidi w:val="0"/>
              <w:jc w:val="center"/>
              <w:rPr>
                <w:color w:val="000000"/>
                <w:sz w:val="21"/>
              </w:rPr>
            </w:pPr>
            <w:r>
              <w:rPr>
                <w:rFonts w:hint="eastAsia"/>
                <w:lang w:val="en-US" w:eastAsia="zh-CN"/>
              </w:rPr>
              <w:t>氨水（</w:t>
            </w:r>
            <w:r>
              <w:rPr>
                <w:lang w:val="en-US" w:eastAsia="zh-CN"/>
              </w:rPr>
              <w:t>25%</w:t>
            </w:r>
            <w:r>
              <w:rPr>
                <w:rFonts w:hint="eastAsia"/>
                <w:lang w:val="en-US" w:eastAsia="zh-CN"/>
              </w:rPr>
              <w:t>）</w:t>
            </w:r>
          </w:p>
        </w:tc>
        <w:tc>
          <w:tcPr>
            <w:tcW w:w="1000" w:type="dxa"/>
            <w:tcBorders>
              <w:tl2br w:val="nil"/>
              <w:tr2bl w:val="nil"/>
            </w:tcBorders>
            <w:vAlign w:val="center"/>
          </w:tcPr>
          <w:p w14:paraId="0702FFB8">
            <w:pPr>
              <w:pStyle w:val="14"/>
              <w:bidi w:val="0"/>
              <w:jc w:val="center"/>
              <w:rPr>
                <w:rFonts w:hint="default" w:eastAsia="宋体"/>
                <w:color w:val="000000"/>
                <w:sz w:val="21"/>
                <w:lang w:val="en-US" w:eastAsia="zh-CN"/>
              </w:rPr>
            </w:pPr>
            <w:r>
              <w:rPr>
                <w:rFonts w:hint="eastAsia"/>
                <w:color w:val="000000"/>
                <w:sz w:val="21"/>
                <w:lang w:val="en-US" w:eastAsia="zh-CN"/>
              </w:rPr>
              <w:t>150000</w:t>
            </w:r>
          </w:p>
        </w:tc>
        <w:tc>
          <w:tcPr>
            <w:tcW w:w="829" w:type="dxa"/>
            <w:tcBorders>
              <w:tl2br w:val="nil"/>
              <w:tr2bl w:val="nil"/>
            </w:tcBorders>
            <w:vAlign w:val="center"/>
          </w:tcPr>
          <w:p w14:paraId="2FEE76F3">
            <w:pPr>
              <w:adjustRightInd w:val="0"/>
              <w:snapToGrid w:val="0"/>
              <w:spacing w:line="240" w:lineRule="auto"/>
              <w:jc w:val="center"/>
              <w:rPr>
                <w:color w:val="000000"/>
                <w:sz w:val="21"/>
              </w:rPr>
            </w:pPr>
            <w:r>
              <w:rPr>
                <w:rFonts w:hint="eastAsia"/>
                <w:color w:val="000000"/>
                <w:sz w:val="21"/>
              </w:rPr>
              <w:t>液态</w:t>
            </w:r>
          </w:p>
        </w:tc>
        <w:tc>
          <w:tcPr>
            <w:tcW w:w="1211" w:type="dxa"/>
            <w:tcBorders>
              <w:tl2br w:val="nil"/>
              <w:tr2bl w:val="nil"/>
            </w:tcBorders>
            <w:vAlign w:val="center"/>
          </w:tcPr>
          <w:p w14:paraId="5F9CCE2F">
            <w:pPr>
              <w:adjustRightInd w:val="0"/>
              <w:snapToGrid w:val="0"/>
              <w:spacing w:line="240" w:lineRule="auto"/>
              <w:jc w:val="center"/>
              <w:rPr>
                <w:color w:val="000000"/>
                <w:sz w:val="21"/>
              </w:rPr>
            </w:pPr>
            <w:r>
              <w:rPr>
                <w:rFonts w:hint="eastAsia"/>
                <w:color w:val="000000"/>
                <w:sz w:val="21"/>
              </w:rPr>
              <w:t>储罐</w:t>
            </w:r>
          </w:p>
        </w:tc>
        <w:tc>
          <w:tcPr>
            <w:tcW w:w="1644" w:type="dxa"/>
            <w:tcBorders>
              <w:tl2br w:val="nil"/>
              <w:tr2bl w:val="nil"/>
            </w:tcBorders>
            <w:vAlign w:val="center"/>
          </w:tcPr>
          <w:p w14:paraId="0DF304C1">
            <w:pPr>
              <w:pStyle w:val="14"/>
              <w:bidi w:val="0"/>
              <w:jc w:val="center"/>
              <w:rPr>
                <w:rFonts w:ascii="Times New Roman" w:hAnsi="Times New Roman" w:eastAsia="宋体" w:cs="Times New Roman"/>
                <w:color w:val="000000"/>
                <w:kern w:val="2"/>
                <w:sz w:val="21"/>
                <w:szCs w:val="24"/>
                <w:lang w:val="en-US" w:eastAsia="zh-CN" w:bidi="ar-SA"/>
              </w:rPr>
            </w:pPr>
            <w:r>
              <w:rPr>
                <w:rFonts w:hint="eastAsia"/>
                <w:lang w:val="en-US" w:eastAsia="zh-CN"/>
              </w:rPr>
              <w:t>0.875</w:t>
            </w:r>
          </w:p>
        </w:tc>
        <w:tc>
          <w:tcPr>
            <w:tcW w:w="1798" w:type="dxa"/>
            <w:tcBorders>
              <w:tl2br w:val="nil"/>
              <w:tr2bl w:val="nil"/>
            </w:tcBorders>
            <w:vAlign w:val="center"/>
          </w:tcPr>
          <w:p w14:paraId="6C3DF25C">
            <w:pPr>
              <w:adjustRightInd w:val="0"/>
              <w:snapToGrid w:val="0"/>
              <w:spacing w:line="240" w:lineRule="auto"/>
              <w:jc w:val="center"/>
              <w:rPr>
                <w:rFonts w:hint="eastAsia" w:eastAsia="宋体"/>
                <w:color w:val="000000"/>
                <w:sz w:val="21"/>
                <w:lang w:eastAsia="zh-CN"/>
              </w:rPr>
            </w:pPr>
            <w:r>
              <w:rPr>
                <w:rFonts w:hint="eastAsia"/>
                <w:color w:val="000000"/>
                <w:sz w:val="21"/>
                <w:lang w:eastAsia="zh-CN"/>
              </w:rPr>
              <w:t>氨水储罐区</w:t>
            </w:r>
          </w:p>
        </w:tc>
      </w:tr>
      <w:tr w14:paraId="7C573E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625" w:type="dxa"/>
            <w:tcBorders>
              <w:tl2br w:val="nil"/>
              <w:tr2bl w:val="nil"/>
            </w:tcBorders>
            <w:vAlign w:val="center"/>
          </w:tcPr>
          <w:p w14:paraId="47F9FC38">
            <w:pPr>
              <w:adjustRightInd w:val="0"/>
              <w:snapToGrid w:val="0"/>
              <w:spacing w:line="240" w:lineRule="auto"/>
              <w:jc w:val="center"/>
              <w:rPr>
                <w:color w:val="000000"/>
                <w:sz w:val="21"/>
              </w:rPr>
            </w:pPr>
            <w:r>
              <w:rPr>
                <w:color w:val="000000"/>
                <w:sz w:val="21"/>
              </w:rPr>
              <w:t>3</w:t>
            </w:r>
          </w:p>
        </w:tc>
        <w:tc>
          <w:tcPr>
            <w:tcW w:w="1597" w:type="dxa"/>
            <w:tcBorders>
              <w:tl2br w:val="nil"/>
              <w:tr2bl w:val="nil"/>
            </w:tcBorders>
            <w:vAlign w:val="center"/>
          </w:tcPr>
          <w:p w14:paraId="2B174A83">
            <w:pPr>
              <w:pStyle w:val="14"/>
              <w:bidi w:val="0"/>
              <w:jc w:val="center"/>
              <w:rPr>
                <w:color w:val="000000"/>
                <w:sz w:val="21"/>
              </w:rPr>
            </w:pPr>
            <w:r>
              <w:rPr>
                <w:rFonts w:hint="eastAsia"/>
                <w:lang w:val="en-US" w:eastAsia="zh-CN"/>
              </w:rPr>
              <w:t>危废间废机油</w:t>
            </w:r>
          </w:p>
        </w:tc>
        <w:tc>
          <w:tcPr>
            <w:tcW w:w="1000" w:type="dxa"/>
            <w:tcBorders>
              <w:tl2br w:val="nil"/>
              <w:tr2bl w:val="nil"/>
            </w:tcBorders>
            <w:vAlign w:val="center"/>
          </w:tcPr>
          <w:p w14:paraId="661E3BD7">
            <w:pPr>
              <w:pStyle w:val="14"/>
              <w:bidi w:val="0"/>
              <w:jc w:val="center"/>
              <w:rPr>
                <w:rFonts w:hint="default" w:eastAsia="宋体"/>
                <w:color w:val="000000"/>
                <w:sz w:val="21"/>
                <w:lang w:val="en-US" w:eastAsia="zh-CN"/>
              </w:rPr>
            </w:pPr>
            <w:r>
              <w:rPr>
                <w:rFonts w:hint="eastAsia"/>
                <w:color w:val="000000"/>
                <w:sz w:val="21"/>
                <w:lang w:val="en-US" w:eastAsia="zh-CN"/>
              </w:rPr>
              <w:t>0.1</w:t>
            </w:r>
          </w:p>
        </w:tc>
        <w:tc>
          <w:tcPr>
            <w:tcW w:w="829" w:type="dxa"/>
            <w:tcBorders>
              <w:tl2br w:val="nil"/>
              <w:tr2bl w:val="nil"/>
            </w:tcBorders>
            <w:vAlign w:val="center"/>
          </w:tcPr>
          <w:p w14:paraId="30D38DC4">
            <w:pPr>
              <w:adjustRightInd w:val="0"/>
              <w:snapToGrid w:val="0"/>
              <w:spacing w:line="240" w:lineRule="auto"/>
              <w:jc w:val="center"/>
              <w:rPr>
                <w:color w:val="000000"/>
                <w:sz w:val="21"/>
              </w:rPr>
            </w:pPr>
            <w:r>
              <w:rPr>
                <w:rFonts w:hint="eastAsia"/>
                <w:color w:val="000000"/>
                <w:sz w:val="21"/>
              </w:rPr>
              <w:t>液态</w:t>
            </w:r>
          </w:p>
        </w:tc>
        <w:tc>
          <w:tcPr>
            <w:tcW w:w="1211" w:type="dxa"/>
            <w:tcBorders>
              <w:tl2br w:val="nil"/>
              <w:tr2bl w:val="nil"/>
            </w:tcBorders>
            <w:vAlign w:val="center"/>
          </w:tcPr>
          <w:p w14:paraId="45E5E93B">
            <w:pPr>
              <w:adjustRightInd w:val="0"/>
              <w:snapToGrid w:val="0"/>
              <w:spacing w:line="240" w:lineRule="auto"/>
              <w:jc w:val="center"/>
              <w:rPr>
                <w:color w:val="000000"/>
                <w:sz w:val="21"/>
              </w:rPr>
            </w:pPr>
            <w:r>
              <w:rPr>
                <w:rFonts w:hint="eastAsia"/>
                <w:color w:val="000000"/>
                <w:sz w:val="21"/>
              </w:rPr>
              <w:t>储罐</w:t>
            </w:r>
          </w:p>
        </w:tc>
        <w:tc>
          <w:tcPr>
            <w:tcW w:w="1644" w:type="dxa"/>
            <w:tcBorders>
              <w:tl2br w:val="nil"/>
              <w:tr2bl w:val="nil"/>
            </w:tcBorders>
            <w:vAlign w:val="center"/>
          </w:tcPr>
          <w:p w14:paraId="172B3B00">
            <w:pPr>
              <w:pStyle w:val="14"/>
              <w:bidi w:val="0"/>
              <w:jc w:val="center"/>
              <w:rPr>
                <w:rFonts w:ascii="Times New Roman" w:hAnsi="Times New Roman" w:eastAsia="宋体" w:cs="Times New Roman"/>
                <w:color w:val="000000"/>
                <w:kern w:val="2"/>
                <w:sz w:val="21"/>
                <w:szCs w:val="24"/>
                <w:lang w:val="en-US" w:eastAsia="zh-CN" w:bidi="ar-SA"/>
              </w:rPr>
            </w:pPr>
            <w:r>
              <w:rPr>
                <w:rFonts w:hint="eastAsia"/>
                <w:lang w:val="en-US" w:eastAsia="zh-CN"/>
              </w:rPr>
              <w:t>0.1</w:t>
            </w:r>
          </w:p>
        </w:tc>
        <w:tc>
          <w:tcPr>
            <w:tcW w:w="1798" w:type="dxa"/>
            <w:tcBorders>
              <w:tl2br w:val="nil"/>
              <w:tr2bl w:val="nil"/>
            </w:tcBorders>
            <w:vAlign w:val="center"/>
          </w:tcPr>
          <w:p w14:paraId="004ED79E">
            <w:pPr>
              <w:adjustRightInd w:val="0"/>
              <w:snapToGrid w:val="0"/>
              <w:spacing w:line="240" w:lineRule="auto"/>
              <w:jc w:val="center"/>
              <w:rPr>
                <w:rFonts w:hint="eastAsia" w:eastAsia="宋体"/>
                <w:color w:val="000000"/>
                <w:sz w:val="21"/>
                <w:lang w:eastAsia="zh-CN"/>
              </w:rPr>
            </w:pPr>
            <w:r>
              <w:rPr>
                <w:rFonts w:hint="eastAsia"/>
                <w:color w:val="000000"/>
                <w:sz w:val="21"/>
                <w:lang w:eastAsia="zh-CN"/>
              </w:rPr>
              <w:t>危废暂存间</w:t>
            </w:r>
          </w:p>
        </w:tc>
      </w:tr>
      <w:tr w14:paraId="2EEBDA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625" w:type="dxa"/>
            <w:tcBorders>
              <w:tl2br w:val="nil"/>
              <w:tr2bl w:val="nil"/>
            </w:tcBorders>
            <w:vAlign w:val="center"/>
          </w:tcPr>
          <w:p w14:paraId="07F70111">
            <w:pPr>
              <w:adjustRightInd w:val="0"/>
              <w:snapToGrid w:val="0"/>
              <w:spacing w:line="240" w:lineRule="auto"/>
              <w:jc w:val="center"/>
              <w:rPr>
                <w:color w:val="000000"/>
                <w:sz w:val="21"/>
              </w:rPr>
            </w:pPr>
            <w:r>
              <w:rPr>
                <w:color w:val="000000"/>
                <w:sz w:val="21"/>
              </w:rPr>
              <w:t>4</w:t>
            </w:r>
          </w:p>
        </w:tc>
        <w:tc>
          <w:tcPr>
            <w:tcW w:w="1597" w:type="dxa"/>
            <w:tcBorders>
              <w:tl2br w:val="nil"/>
              <w:tr2bl w:val="nil"/>
            </w:tcBorders>
            <w:vAlign w:val="center"/>
          </w:tcPr>
          <w:p w14:paraId="2C0BD958">
            <w:pPr>
              <w:adjustRightInd w:val="0"/>
              <w:snapToGrid w:val="0"/>
              <w:spacing w:line="240" w:lineRule="auto"/>
              <w:jc w:val="center"/>
              <w:rPr>
                <w:color w:val="000000"/>
                <w:sz w:val="21"/>
              </w:rPr>
            </w:pPr>
            <w:r>
              <w:rPr>
                <w:rFonts w:hint="eastAsia"/>
                <w:color w:val="000000"/>
                <w:sz w:val="21"/>
              </w:rPr>
              <w:t>柴油</w:t>
            </w:r>
          </w:p>
        </w:tc>
        <w:tc>
          <w:tcPr>
            <w:tcW w:w="1000" w:type="dxa"/>
            <w:tcBorders>
              <w:tl2br w:val="nil"/>
              <w:tr2bl w:val="nil"/>
            </w:tcBorders>
            <w:vAlign w:val="center"/>
          </w:tcPr>
          <w:p w14:paraId="24C87EFD">
            <w:pPr>
              <w:pStyle w:val="14"/>
              <w:bidi w:val="0"/>
              <w:jc w:val="center"/>
              <w:rPr>
                <w:rFonts w:hint="default"/>
                <w:color w:val="000000"/>
                <w:sz w:val="21"/>
                <w:lang w:val="en-US"/>
              </w:rPr>
            </w:pPr>
            <w:r>
              <w:rPr>
                <w:rFonts w:hint="eastAsia"/>
                <w:lang w:val="en-US" w:eastAsia="zh-CN"/>
              </w:rPr>
              <w:t>4.224</w:t>
            </w:r>
          </w:p>
        </w:tc>
        <w:tc>
          <w:tcPr>
            <w:tcW w:w="829" w:type="dxa"/>
            <w:tcBorders>
              <w:tl2br w:val="nil"/>
              <w:tr2bl w:val="nil"/>
            </w:tcBorders>
            <w:vAlign w:val="center"/>
          </w:tcPr>
          <w:p w14:paraId="26B06471">
            <w:pPr>
              <w:adjustRightInd w:val="0"/>
              <w:snapToGrid w:val="0"/>
              <w:spacing w:line="240" w:lineRule="auto"/>
              <w:jc w:val="center"/>
              <w:rPr>
                <w:color w:val="000000"/>
                <w:sz w:val="21"/>
              </w:rPr>
            </w:pPr>
            <w:r>
              <w:rPr>
                <w:rFonts w:hint="eastAsia"/>
                <w:color w:val="000000"/>
                <w:sz w:val="21"/>
              </w:rPr>
              <w:t>液态</w:t>
            </w:r>
          </w:p>
        </w:tc>
        <w:tc>
          <w:tcPr>
            <w:tcW w:w="1211" w:type="dxa"/>
            <w:tcBorders>
              <w:tl2br w:val="nil"/>
              <w:tr2bl w:val="nil"/>
            </w:tcBorders>
            <w:vAlign w:val="center"/>
          </w:tcPr>
          <w:p w14:paraId="56E409B9">
            <w:pPr>
              <w:adjustRightInd w:val="0"/>
              <w:snapToGrid w:val="0"/>
              <w:spacing w:line="240" w:lineRule="auto"/>
              <w:jc w:val="center"/>
              <w:rPr>
                <w:color w:val="000000"/>
                <w:sz w:val="21"/>
              </w:rPr>
            </w:pPr>
            <w:r>
              <w:rPr>
                <w:rFonts w:hint="eastAsia"/>
                <w:color w:val="000000"/>
                <w:sz w:val="21"/>
              </w:rPr>
              <w:t>储罐</w:t>
            </w:r>
          </w:p>
        </w:tc>
        <w:tc>
          <w:tcPr>
            <w:tcW w:w="1644" w:type="dxa"/>
            <w:tcBorders>
              <w:tl2br w:val="nil"/>
              <w:tr2bl w:val="nil"/>
            </w:tcBorders>
            <w:vAlign w:val="center"/>
          </w:tcPr>
          <w:p w14:paraId="02E0A302">
            <w:pPr>
              <w:pStyle w:val="14"/>
              <w:bidi w:val="0"/>
              <w:jc w:val="center"/>
              <w:rPr>
                <w:rFonts w:ascii="Times New Roman" w:hAnsi="Times New Roman" w:eastAsia="宋体" w:cs="Times New Roman"/>
                <w:color w:val="000000"/>
                <w:kern w:val="2"/>
                <w:sz w:val="21"/>
                <w:szCs w:val="24"/>
                <w:lang w:val="en-US" w:eastAsia="zh-CN" w:bidi="ar-SA"/>
              </w:rPr>
            </w:pPr>
            <w:r>
              <w:rPr>
                <w:rFonts w:hint="eastAsia"/>
                <w:lang w:val="en-US" w:eastAsia="zh-CN"/>
              </w:rPr>
              <w:t>0.84</w:t>
            </w:r>
          </w:p>
        </w:tc>
        <w:tc>
          <w:tcPr>
            <w:tcW w:w="1798" w:type="dxa"/>
            <w:tcBorders>
              <w:tl2br w:val="nil"/>
              <w:tr2bl w:val="nil"/>
            </w:tcBorders>
            <w:vAlign w:val="center"/>
          </w:tcPr>
          <w:p w14:paraId="65B486C8">
            <w:pPr>
              <w:adjustRightInd w:val="0"/>
              <w:snapToGrid w:val="0"/>
              <w:spacing w:line="240" w:lineRule="auto"/>
              <w:jc w:val="center"/>
              <w:rPr>
                <w:rFonts w:hint="eastAsia" w:eastAsia="宋体"/>
                <w:color w:val="000000"/>
                <w:sz w:val="21"/>
                <w:lang w:eastAsia="zh-CN"/>
              </w:rPr>
            </w:pPr>
            <w:r>
              <w:rPr>
                <w:rFonts w:hint="eastAsia"/>
                <w:color w:val="000000"/>
                <w:sz w:val="21"/>
              </w:rPr>
              <w:t>发电机房</w:t>
            </w:r>
            <w:r>
              <w:rPr>
                <w:rFonts w:hint="eastAsia"/>
                <w:color w:val="000000"/>
                <w:sz w:val="21"/>
                <w:lang w:eastAsia="zh-CN"/>
              </w:rPr>
              <w:t>（储油间）</w:t>
            </w:r>
          </w:p>
        </w:tc>
      </w:tr>
    </w:tbl>
    <w:p w14:paraId="6BED38B5">
      <w:pPr>
        <w:autoSpaceDE w:val="0"/>
        <w:autoSpaceDN w:val="0"/>
        <w:adjustRightInd w:val="0"/>
        <w:snapToGrid w:val="0"/>
        <w:spacing w:line="240" w:lineRule="auto"/>
        <w:jc w:val="center"/>
        <w:textAlignment w:val="baseline"/>
        <w:rPr>
          <w:b/>
          <w:kern w:val="24"/>
          <w:szCs w:val="20"/>
        </w:rPr>
      </w:pPr>
    </w:p>
    <w:p w14:paraId="4DE8E3C0">
      <w:pPr>
        <w:adjustRightInd w:val="0"/>
        <w:snapToGrid w:val="0"/>
        <w:spacing w:line="360" w:lineRule="auto"/>
        <w:ind w:firstLine="480" w:firstLineChars="200"/>
        <w:jc w:val="left"/>
        <w:rPr>
          <w:rFonts w:ascii="Times New Roman" w:hAnsi="Times New Roman" w:eastAsia="宋体" w:cs="Times New Roman"/>
          <w:b/>
          <w:kern w:val="24"/>
          <w:sz w:val="24"/>
          <w:szCs w:val="20"/>
          <w:lang w:val="en-US" w:eastAsia="zh-CN" w:bidi="ar-SA"/>
        </w:rPr>
      </w:pPr>
      <w:r>
        <w:rPr>
          <w:rFonts w:hint="eastAsia" w:ascii="Times New Roman" w:hAnsi="Times New Roman" w:eastAsia="宋体" w:cs="Times New Roman"/>
          <w:bCs/>
          <w:sz w:val="24"/>
          <w:szCs w:val="24"/>
          <w:lang w:val="en-US" w:eastAsia="zh-CN"/>
        </w:rPr>
        <w:t>液氨的MSDS理化性质和毒性</w:t>
      </w:r>
      <w:r>
        <w:rPr>
          <w:rFonts w:hint="eastAsia" w:cs="Times New Roman"/>
          <w:bCs/>
          <w:sz w:val="24"/>
          <w:szCs w:val="24"/>
          <w:lang w:val="en-US" w:eastAsia="zh-CN"/>
        </w:rPr>
        <w:t>见下表</w:t>
      </w:r>
      <w:r>
        <w:rPr>
          <w:rFonts w:hint="eastAsia" w:ascii="Times New Roman" w:hAnsi="Times New Roman" w:eastAsia="宋体" w:cs="Times New Roman"/>
          <w:bCs/>
          <w:sz w:val="24"/>
          <w:szCs w:val="24"/>
          <w:lang w:val="en-US" w:eastAsia="zh-CN"/>
        </w:rPr>
        <w:t>，氨水的MSDS理化性质和毒性见下表。</w:t>
      </w:r>
    </w:p>
    <w:p w14:paraId="10D35568">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r>
        <w:rPr>
          <w:rFonts w:ascii="Times New Roman" w:hAnsi="Times New Roman" w:eastAsia="宋体" w:cs="Times New Roman"/>
          <w:b/>
          <w:kern w:val="24"/>
          <w:sz w:val="24"/>
          <w:szCs w:val="20"/>
          <w:lang w:val="en-US" w:eastAsia="zh-CN" w:bidi="ar-SA"/>
        </w:rPr>
        <w:t>表</w:t>
      </w:r>
      <w:r>
        <w:rPr>
          <w:rFonts w:hint="eastAsia" w:cs="Times New Roman"/>
          <w:b/>
          <w:kern w:val="24"/>
          <w:sz w:val="24"/>
          <w:szCs w:val="20"/>
          <w:lang w:val="en-US" w:eastAsia="zh-CN" w:bidi="ar-SA"/>
        </w:rPr>
        <w:t>4-2</w:t>
      </w:r>
      <w:r>
        <w:rPr>
          <w:rFonts w:ascii="Times New Roman" w:hAnsi="Times New Roman" w:eastAsia="宋体" w:cs="Times New Roman"/>
          <w:b/>
          <w:kern w:val="24"/>
          <w:sz w:val="24"/>
          <w:szCs w:val="20"/>
          <w:lang w:val="en-US" w:eastAsia="zh-CN" w:bidi="ar-SA"/>
        </w:rPr>
        <w:t xml:space="preserve"> 液氨理化性质和毒性一览表</w:t>
      </w:r>
    </w:p>
    <w:tbl>
      <w:tblPr>
        <w:tblStyle w:val="11"/>
        <w:tblW w:w="92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690"/>
        <w:gridCol w:w="1397"/>
        <w:gridCol w:w="1202"/>
        <w:gridCol w:w="906"/>
        <w:gridCol w:w="997"/>
        <w:gridCol w:w="892"/>
        <w:gridCol w:w="132"/>
        <w:gridCol w:w="2183"/>
        <w:gridCol w:w="819"/>
      </w:tblGrid>
      <w:tr w14:paraId="388601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1" w:hRule="atLeast"/>
          <w:jc w:val="center"/>
        </w:trPr>
        <w:tc>
          <w:tcPr>
            <w:tcW w:w="690" w:type="dxa"/>
            <w:vMerge w:val="restart"/>
            <w:tcBorders>
              <w:tl2br w:val="nil"/>
              <w:tr2bl w:val="nil"/>
            </w:tcBorders>
            <w:vAlign w:val="center"/>
          </w:tcPr>
          <w:p w14:paraId="441B7C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标识</w:t>
            </w:r>
          </w:p>
        </w:tc>
        <w:tc>
          <w:tcPr>
            <w:tcW w:w="5394" w:type="dxa"/>
            <w:gridSpan w:val="5"/>
            <w:tcBorders>
              <w:tl2br w:val="nil"/>
              <w:tr2bl w:val="nil"/>
            </w:tcBorders>
            <w:vAlign w:val="center"/>
          </w:tcPr>
          <w:p w14:paraId="29905E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中文名：液氨</w:t>
            </w:r>
          </w:p>
        </w:tc>
        <w:tc>
          <w:tcPr>
            <w:tcW w:w="3134" w:type="dxa"/>
            <w:gridSpan w:val="3"/>
            <w:tcBorders>
              <w:tl2br w:val="nil"/>
              <w:tr2bl w:val="nil"/>
            </w:tcBorders>
            <w:vAlign w:val="center"/>
          </w:tcPr>
          <w:p w14:paraId="3D10A5C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危险货物编号：</w:t>
            </w:r>
            <w:r>
              <w:rPr>
                <w:rFonts w:ascii="Times New Roman" w:hAnsi="Times New Roman" w:eastAsia="宋体" w:cs="Times New Roman"/>
                <w:kern w:val="2"/>
                <w:sz w:val="21"/>
                <w:szCs w:val="24"/>
                <w:lang w:val="en-US" w:eastAsia="zh-CN" w:bidi="ar-SA"/>
              </w:rPr>
              <w:t>23003</w:t>
            </w:r>
          </w:p>
        </w:tc>
      </w:tr>
      <w:tr w14:paraId="515466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2EEFAE4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5394" w:type="dxa"/>
            <w:gridSpan w:val="5"/>
            <w:tcBorders>
              <w:tl2br w:val="nil"/>
              <w:tr2bl w:val="nil"/>
            </w:tcBorders>
            <w:vAlign w:val="center"/>
          </w:tcPr>
          <w:p w14:paraId="5212145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英文名：</w:t>
            </w:r>
            <w:r>
              <w:rPr>
                <w:rFonts w:ascii="Times New Roman" w:hAnsi="Times New Roman" w:eastAsia="宋体" w:cs="Times New Roman"/>
                <w:kern w:val="2"/>
                <w:sz w:val="21"/>
                <w:szCs w:val="24"/>
                <w:lang w:val="en-US" w:eastAsia="zh-CN" w:bidi="ar-SA"/>
              </w:rPr>
              <w:t>ammonia</w:t>
            </w:r>
          </w:p>
        </w:tc>
        <w:tc>
          <w:tcPr>
            <w:tcW w:w="3134" w:type="dxa"/>
            <w:gridSpan w:val="3"/>
            <w:tcBorders>
              <w:tl2br w:val="nil"/>
              <w:tr2bl w:val="nil"/>
            </w:tcBorders>
            <w:vAlign w:val="center"/>
          </w:tcPr>
          <w:p w14:paraId="2D69D58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UN</w:t>
            </w:r>
            <w:r>
              <w:rPr>
                <w:rFonts w:hint="eastAsia" w:ascii="Times New Roman" w:hAnsi="Times New Roman" w:eastAsia="宋体" w:cs="Times New Roman"/>
                <w:kern w:val="2"/>
                <w:sz w:val="21"/>
                <w:szCs w:val="24"/>
                <w:lang w:val="en-US" w:eastAsia="zh-CN" w:bidi="ar-SA"/>
              </w:rPr>
              <w:t>编号：</w:t>
            </w:r>
            <w:r>
              <w:rPr>
                <w:rFonts w:ascii="Times New Roman" w:hAnsi="Times New Roman" w:eastAsia="宋体" w:cs="Times New Roman"/>
                <w:kern w:val="2"/>
                <w:sz w:val="21"/>
                <w:szCs w:val="24"/>
                <w:lang w:val="en-US" w:eastAsia="zh-CN" w:bidi="ar-SA"/>
              </w:rPr>
              <w:t>1005</w:t>
            </w:r>
          </w:p>
        </w:tc>
      </w:tr>
      <w:tr w14:paraId="53197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69BDA52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2599" w:type="dxa"/>
            <w:gridSpan w:val="2"/>
            <w:tcBorders>
              <w:tl2br w:val="nil"/>
              <w:tr2bl w:val="nil"/>
            </w:tcBorders>
            <w:vAlign w:val="center"/>
          </w:tcPr>
          <w:p w14:paraId="72C52AC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分子式：</w:t>
            </w:r>
            <w:r>
              <w:rPr>
                <w:rFonts w:ascii="Times New Roman" w:hAnsi="Times New Roman" w:eastAsia="宋体" w:cs="Times New Roman"/>
                <w:kern w:val="2"/>
                <w:sz w:val="21"/>
                <w:szCs w:val="24"/>
                <w:lang w:val="en-US" w:eastAsia="zh-CN" w:bidi="ar-SA"/>
              </w:rPr>
              <w:t>NH</w:t>
            </w:r>
            <w:r>
              <w:rPr>
                <w:rFonts w:ascii="Times New Roman" w:hAnsi="Times New Roman" w:eastAsia="宋体" w:cs="Times New Roman"/>
                <w:kern w:val="2"/>
                <w:sz w:val="21"/>
                <w:szCs w:val="24"/>
                <w:vertAlign w:val="subscript"/>
                <w:lang w:val="en-US" w:eastAsia="zh-CN" w:bidi="ar-SA"/>
              </w:rPr>
              <w:t>3</w:t>
            </w:r>
          </w:p>
        </w:tc>
        <w:tc>
          <w:tcPr>
            <w:tcW w:w="2795" w:type="dxa"/>
            <w:gridSpan w:val="3"/>
            <w:tcBorders>
              <w:tl2br w:val="nil"/>
              <w:tr2bl w:val="nil"/>
            </w:tcBorders>
            <w:vAlign w:val="center"/>
          </w:tcPr>
          <w:p w14:paraId="1057CDA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分子量：</w:t>
            </w:r>
            <w:r>
              <w:rPr>
                <w:rFonts w:ascii="Times New Roman" w:hAnsi="Times New Roman" w:eastAsia="宋体" w:cs="Times New Roman"/>
                <w:kern w:val="2"/>
                <w:sz w:val="21"/>
                <w:szCs w:val="24"/>
                <w:lang w:val="en-US" w:eastAsia="zh-CN" w:bidi="ar-SA"/>
              </w:rPr>
              <w:t>17.03</w:t>
            </w:r>
          </w:p>
        </w:tc>
        <w:tc>
          <w:tcPr>
            <w:tcW w:w="3134" w:type="dxa"/>
            <w:gridSpan w:val="3"/>
            <w:tcBorders>
              <w:tl2br w:val="nil"/>
              <w:tr2bl w:val="nil"/>
            </w:tcBorders>
            <w:vAlign w:val="center"/>
          </w:tcPr>
          <w:p w14:paraId="6094FB6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CAS</w:t>
            </w:r>
            <w:r>
              <w:rPr>
                <w:rFonts w:hint="eastAsia" w:ascii="Times New Roman" w:hAnsi="Times New Roman" w:eastAsia="宋体" w:cs="Times New Roman"/>
                <w:kern w:val="2"/>
                <w:sz w:val="21"/>
                <w:szCs w:val="24"/>
                <w:lang w:val="en-US" w:eastAsia="zh-CN" w:bidi="ar-SA"/>
              </w:rPr>
              <w:t>号：</w:t>
            </w:r>
            <w:r>
              <w:rPr>
                <w:rFonts w:ascii="Times New Roman" w:hAnsi="Times New Roman" w:eastAsia="宋体" w:cs="Times New Roman"/>
                <w:kern w:val="2"/>
                <w:sz w:val="21"/>
                <w:szCs w:val="24"/>
                <w:lang w:val="en-US" w:eastAsia="zh-CN" w:bidi="ar-SA"/>
              </w:rPr>
              <w:t>7664-41-7</w:t>
            </w:r>
          </w:p>
        </w:tc>
      </w:tr>
      <w:tr w14:paraId="5EEAD3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restart"/>
            <w:tcBorders>
              <w:tl2br w:val="nil"/>
              <w:tr2bl w:val="nil"/>
            </w:tcBorders>
            <w:vAlign w:val="center"/>
          </w:tcPr>
          <w:p w14:paraId="25E44E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理化性质</w:t>
            </w:r>
          </w:p>
        </w:tc>
        <w:tc>
          <w:tcPr>
            <w:tcW w:w="2599" w:type="dxa"/>
            <w:gridSpan w:val="2"/>
            <w:tcBorders>
              <w:tl2br w:val="nil"/>
              <w:tr2bl w:val="nil"/>
            </w:tcBorders>
            <w:vAlign w:val="center"/>
          </w:tcPr>
          <w:p w14:paraId="765C8C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外观与性状</w:t>
            </w:r>
          </w:p>
        </w:tc>
        <w:tc>
          <w:tcPr>
            <w:tcW w:w="5929" w:type="dxa"/>
            <w:gridSpan w:val="6"/>
            <w:tcBorders>
              <w:tl2br w:val="nil"/>
              <w:tr2bl w:val="nil"/>
            </w:tcBorders>
            <w:vAlign w:val="center"/>
          </w:tcPr>
          <w:p w14:paraId="064964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无色、有刺激性恶臭的气体。</w:t>
            </w:r>
          </w:p>
        </w:tc>
      </w:tr>
      <w:tr w14:paraId="1E4C97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41BEE7C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56443E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熔点（℃）</w:t>
            </w:r>
          </w:p>
        </w:tc>
        <w:tc>
          <w:tcPr>
            <w:tcW w:w="1202" w:type="dxa"/>
            <w:tcBorders>
              <w:tl2br w:val="nil"/>
              <w:tr2bl w:val="nil"/>
            </w:tcBorders>
            <w:vAlign w:val="center"/>
          </w:tcPr>
          <w:p w14:paraId="7000271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-77.7</w:t>
            </w:r>
          </w:p>
        </w:tc>
        <w:tc>
          <w:tcPr>
            <w:tcW w:w="1903" w:type="dxa"/>
            <w:gridSpan w:val="2"/>
            <w:tcBorders>
              <w:tl2br w:val="nil"/>
              <w:tr2bl w:val="nil"/>
            </w:tcBorders>
            <w:vAlign w:val="center"/>
          </w:tcPr>
          <w:p w14:paraId="1D8E9B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相对密度（水</w:t>
            </w:r>
            <w:r>
              <w:rPr>
                <w:rFonts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w:t>
            </w:r>
          </w:p>
        </w:tc>
        <w:tc>
          <w:tcPr>
            <w:tcW w:w="892" w:type="dxa"/>
            <w:tcBorders>
              <w:tl2br w:val="nil"/>
              <w:tr2bl w:val="nil"/>
            </w:tcBorders>
            <w:vAlign w:val="center"/>
          </w:tcPr>
          <w:p w14:paraId="7B6CA689">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0.6</w:t>
            </w:r>
            <w:r>
              <w:rPr>
                <w:rFonts w:hint="eastAsia" w:ascii="Times New Roman" w:hAnsi="Times New Roman" w:eastAsia="宋体" w:cs="Times New Roman"/>
                <w:kern w:val="2"/>
                <w:sz w:val="21"/>
                <w:szCs w:val="24"/>
                <w:lang w:val="en-US" w:eastAsia="zh-CN" w:bidi="ar-SA"/>
              </w:rPr>
              <w:t>02</w:t>
            </w:r>
          </w:p>
        </w:tc>
        <w:tc>
          <w:tcPr>
            <w:tcW w:w="2315" w:type="dxa"/>
            <w:gridSpan w:val="2"/>
            <w:tcBorders>
              <w:tl2br w:val="nil"/>
              <w:tr2bl w:val="nil"/>
            </w:tcBorders>
            <w:vAlign w:val="center"/>
          </w:tcPr>
          <w:p w14:paraId="5D49A6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相对密度（空气</w:t>
            </w:r>
            <w:r>
              <w:rPr>
                <w:rFonts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w:t>
            </w:r>
          </w:p>
        </w:tc>
        <w:tc>
          <w:tcPr>
            <w:tcW w:w="819" w:type="dxa"/>
            <w:tcBorders>
              <w:tl2br w:val="nil"/>
              <w:tr2bl w:val="nil"/>
            </w:tcBorders>
            <w:vAlign w:val="center"/>
          </w:tcPr>
          <w:p w14:paraId="349F467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0.59</w:t>
            </w:r>
          </w:p>
        </w:tc>
      </w:tr>
      <w:tr w14:paraId="5AC83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3E2DFEA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6796EF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沸点（℃）</w:t>
            </w:r>
          </w:p>
        </w:tc>
        <w:tc>
          <w:tcPr>
            <w:tcW w:w="1202" w:type="dxa"/>
            <w:tcBorders>
              <w:tl2br w:val="nil"/>
              <w:tr2bl w:val="nil"/>
            </w:tcBorders>
            <w:vAlign w:val="center"/>
          </w:tcPr>
          <w:p w14:paraId="3FF6C4E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-33.5℃</w:t>
            </w:r>
          </w:p>
        </w:tc>
        <w:tc>
          <w:tcPr>
            <w:tcW w:w="2795" w:type="dxa"/>
            <w:gridSpan w:val="3"/>
            <w:tcBorders>
              <w:tl2br w:val="nil"/>
              <w:tr2bl w:val="nil"/>
            </w:tcBorders>
            <w:vAlign w:val="center"/>
          </w:tcPr>
          <w:p w14:paraId="239C32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饱和蒸气压（</w:t>
            </w:r>
            <w:r>
              <w:rPr>
                <w:rFonts w:ascii="Times New Roman" w:hAnsi="Times New Roman" w:eastAsia="宋体" w:cs="Times New Roman"/>
                <w:kern w:val="2"/>
                <w:sz w:val="21"/>
                <w:szCs w:val="24"/>
                <w:lang w:val="en-US" w:eastAsia="zh-CN" w:bidi="ar-SA"/>
              </w:rPr>
              <w:t>KPa</w:t>
            </w:r>
            <w:r>
              <w:rPr>
                <w:rFonts w:hint="eastAsia" w:ascii="Times New Roman" w:hAnsi="Times New Roman" w:eastAsia="宋体" w:cs="Times New Roman"/>
                <w:kern w:val="2"/>
                <w:sz w:val="21"/>
                <w:szCs w:val="24"/>
                <w:lang w:val="en-US" w:eastAsia="zh-CN" w:bidi="ar-SA"/>
              </w:rPr>
              <w:t>）</w:t>
            </w:r>
          </w:p>
        </w:tc>
        <w:tc>
          <w:tcPr>
            <w:tcW w:w="3134" w:type="dxa"/>
            <w:gridSpan w:val="3"/>
            <w:tcBorders>
              <w:tl2br w:val="nil"/>
              <w:tr2bl w:val="nil"/>
            </w:tcBorders>
            <w:vAlign w:val="center"/>
          </w:tcPr>
          <w:p w14:paraId="5B1F3E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506.62</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4.7</w:t>
            </w:r>
            <w:r>
              <w:rPr>
                <w:rFonts w:hint="eastAsia" w:ascii="Times New Roman" w:hAnsi="Times New Roman" w:eastAsia="宋体" w:cs="Times New Roman"/>
                <w:kern w:val="2"/>
                <w:sz w:val="21"/>
                <w:szCs w:val="24"/>
                <w:lang w:val="en-US" w:eastAsia="zh-CN" w:bidi="ar-SA"/>
              </w:rPr>
              <w:t>℃）</w:t>
            </w:r>
          </w:p>
        </w:tc>
      </w:tr>
      <w:tr w14:paraId="16952B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7FECEF3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2599" w:type="dxa"/>
            <w:gridSpan w:val="2"/>
            <w:tcBorders>
              <w:tl2br w:val="nil"/>
              <w:tr2bl w:val="nil"/>
            </w:tcBorders>
            <w:vAlign w:val="center"/>
          </w:tcPr>
          <w:p w14:paraId="585BFA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溶解性</w:t>
            </w:r>
          </w:p>
        </w:tc>
        <w:tc>
          <w:tcPr>
            <w:tcW w:w="5929" w:type="dxa"/>
            <w:gridSpan w:val="6"/>
            <w:tcBorders>
              <w:tl2br w:val="nil"/>
              <w:tr2bl w:val="nil"/>
            </w:tcBorders>
            <w:vAlign w:val="center"/>
          </w:tcPr>
          <w:p w14:paraId="4CBCBF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易溶于乙醇、乙醚。</w:t>
            </w:r>
          </w:p>
        </w:tc>
      </w:tr>
      <w:tr w14:paraId="4D6397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restart"/>
            <w:tcBorders>
              <w:tl2br w:val="nil"/>
              <w:tr2bl w:val="nil"/>
            </w:tcBorders>
            <w:vAlign w:val="center"/>
          </w:tcPr>
          <w:p w14:paraId="310564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毒性及健康危害</w:t>
            </w:r>
          </w:p>
        </w:tc>
        <w:tc>
          <w:tcPr>
            <w:tcW w:w="1397" w:type="dxa"/>
            <w:tcBorders>
              <w:tl2br w:val="nil"/>
              <w:tr2bl w:val="nil"/>
            </w:tcBorders>
            <w:vAlign w:val="center"/>
          </w:tcPr>
          <w:p w14:paraId="61F6AC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侵入途径</w:t>
            </w:r>
          </w:p>
        </w:tc>
        <w:tc>
          <w:tcPr>
            <w:tcW w:w="7131" w:type="dxa"/>
            <w:gridSpan w:val="7"/>
            <w:tcBorders>
              <w:tl2br w:val="nil"/>
              <w:tr2bl w:val="nil"/>
            </w:tcBorders>
            <w:vAlign w:val="center"/>
          </w:tcPr>
          <w:p w14:paraId="296B7C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吸入、食入、经皮吸收。</w:t>
            </w:r>
          </w:p>
        </w:tc>
      </w:tr>
      <w:tr w14:paraId="675C1A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16" w:hRule="atLeast"/>
          <w:jc w:val="center"/>
        </w:trPr>
        <w:tc>
          <w:tcPr>
            <w:tcW w:w="690" w:type="dxa"/>
            <w:vMerge w:val="continue"/>
            <w:tcBorders>
              <w:tl2br w:val="nil"/>
              <w:tr2bl w:val="nil"/>
            </w:tcBorders>
            <w:vAlign w:val="center"/>
          </w:tcPr>
          <w:p w14:paraId="71BE069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7537B0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w:t>
            </w:r>
          </w:p>
        </w:tc>
        <w:tc>
          <w:tcPr>
            <w:tcW w:w="7131" w:type="dxa"/>
            <w:gridSpan w:val="7"/>
            <w:tcBorders>
              <w:tl2br w:val="nil"/>
              <w:tr2bl w:val="nil"/>
            </w:tcBorders>
            <w:vAlign w:val="center"/>
          </w:tcPr>
          <w:p w14:paraId="29C7320C">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LD50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350mg/kg(</w:t>
            </w:r>
            <w:r>
              <w:rPr>
                <w:rFonts w:hint="eastAsia" w:ascii="Times New Roman" w:hAnsi="Times New Roman" w:eastAsia="宋体" w:cs="Times New Roman"/>
                <w:kern w:val="2"/>
                <w:sz w:val="21"/>
                <w:szCs w:val="24"/>
                <w:lang w:val="en-US" w:eastAsia="zh-CN" w:bidi="ar-SA"/>
              </w:rPr>
              <w:t>大鼠经口</w:t>
            </w:r>
            <w:r>
              <w:rPr>
                <w:rFonts w:ascii="Times New Roman" w:hAnsi="Times New Roman" w:eastAsia="宋体" w:cs="Times New Roman"/>
                <w:kern w:val="2"/>
                <w:sz w:val="21"/>
                <w:szCs w:val="24"/>
                <w:lang w:val="en-US" w:eastAsia="zh-CN" w:bidi="ar-SA"/>
              </w:rPr>
              <w:t>)</w:t>
            </w:r>
          </w:p>
          <w:p w14:paraId="6F9ECEC7">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LC50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1390mg/m</w:t>
            </w:r>
            <w:r>
              <w:rPr>
                <w:rFonts w:ascii="Times New Roman" w:hAnsi="Times New Roman" w:eastAsia="宋体" w:cs="Times New Roman"/>
                <w:kern w:val="2"/>
                <w:sz w:val="21"/>
                <w:szCs w:val="24"/>
                <w:vertAlign w:val="superscript"/>
                <w:lang w:val="en-US" w:eastAsia="zh-CN" w:bidi="ar-SA"/>
              </w:rPr>
              <w:t>3</w:t>
            </w:r>
            <w:r>
              <w:rPr>
                <w:rFonts w:ascii="Times New Roman" w:hAnsi="Times New Roman" w:eastAsia="宋体" w:cs="Times New Roman"/>
                <w:kern w:val="2"/>
                <w:sz w:val="21"/>
                <w:szCs w:val="24"/>
                <w:lang w:val="en-US" w:eastAsia="zh-CN" w:bidi="ar-SA"/>
              </w:rPr>
              <w:t>4</w:t>
            </w:r>
            <w:r>
              <w:rPr>
                <w:rFonts w:hint="eastAsia" w:ascii="Times New Roman" w:hAnsi="Times New Roman" w:eastAsia="宋体" w:cs="Times New Roman"/>
                <w:kern w:val="2"/>
                <w:sz w:val="21"/>
                <w:szCs w:val="24"/>
                <w:lang w:val="en-US" w:eastAsia="zh-CN" w:bidi="ar-SA"/>
              </w:rPr>
              <w:t>小时</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大鼠吸入</w:t>
            </w:r>
            <w:r>
              <w:rPr>
                <w:rFonts w:ascii="Times New Roman" w:hAnsi="Times New Roman" w:eastAsia="宋体" w:cs="Times New Roman"/>
                <w:kern w:val="2"/>
                <w:sz w:val="21"/>
                <w:szCs w:val="24"/>
                <w:lang w:val="en-US" w:eastAsia="zh-CN" w:bidi="ar-SA"/>
              </w:rPr>
              <w:t>)</w:t>
            </w:r>
          </w:p>
          <w:p w14:paraId="7A1094AA">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PAC-1</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770mg/m</w:t>
            </w:r>
            <w:r>
              <w:rPr>
                <w:rFonts w:ascii="Times New Roman" w:hAnsi="Times New Roman" w:eastAsia="宋体" w:cs="Times New Roman"/>
                <w:kern w:val="2"/>
                <w:sz w:val="21"/>
                <w:szCs w:val="24"/>
                <w:vertAlign w:val="superscript"/>
                <w:lang w:val="en-US" w:eastAsia="zh-CN" w:bidi="ar-SA"/>
              </w:rPr>
              <w:t>3</w:t>
            </w:r>
          </w:p>
          <w:p w14:paraId="0E3A64CB">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PAC-2</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110mg/m</w:t>
            </w:r>
            <w:r>
              <w:rPr>
                <w:rFonts w:ascii="Times New Roman" w:hAnsi="Times New Roman" w:eastAsia="宋体" w:cs="Times New Roman"/>
                <w:kern w:val="2"/>
                <w:sz w:val="21"/>
                <w:szCs w:val="24"/>
                <w:vertAlign w:val="superscript"/>
                <w:lang w:val="en-US" w:eastAsia="zh-CN" w:bidi="ar-SA"/>
              </w:rPr>
              <w:t>3</w:t>
            </w:r>
          </w:p>
          <w:p w14:paraId="6A8B7174">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立即威胁生命和健康浓度（</w:t>
            </w:r>
            <w:r>
              <w:rPr>
                <w:rFonts w:ascii="Times New Roman" w:hAnsi="Times New Roman" w:eastAsia="宋体" w:cs="Times New Roman"/>
                <w:kern w:val="2"/>
                <w:sz w:val="21"/>
                <w:szCs w:val="24"/>
                <w:lang w:val="en-US" w:eastAsia="zh-CN" w:bidi="ar-SA"/>
              </w:rPr>
              <w:t>IDLH</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360mg/m</w:t>
            </w:r>
            <w:r>
              <w:rPr>
                <w:rFonts w:ascii="Times New Roman" w:hAnsi="Times New Roman" w:eastAsia="宋体" w:cs="Times New Roman"/>
                <w:kern w:val="2"/>
                <w:sz w:val="21"/>
                <w:szCs w:val="24"/>
                <w:vertAlign w:val="superscript"/>
                <w:lang w:val="en-US" w:eastAsia="zh-CN" w:bidi="ar-SA"/>
              </w:rPr>
              <w:t>3</w:t>
            </w:r>
          </w:p>
          <w:p w14:paraId="047E022A">
            <w:pPr>
              <w:widowControl w:val="0"/>
              <w:bidi w:val="0"/>
              <w:adjustRightInd w:val="0"/>
              <w:snapToGrid w:val="0"/>
              <w:spacing w:line="240" w:lineRule="auto"/>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最高短时允许接触浓度（</w:t>
            </w:r>
            <w:r>
              <w:rPr>
                <w:rFonts w:ascii="Times New Roman" w:hAnsi="Times New Roman" w:eastAsia="宋体" w:cs="Times New Roman"/>
                <w:kern w:val="2"/>
                <w:sz w:val="21"/>
                <w:szCs w:val="24"/>
                <w:lang w:val="en-US" w:eastAsia="zh-CN" w:bidi="ar-SA"/>
              </w:rPr>
              <w:t>MAC</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30mg/m</w:t>
            </w:r>
            <w:r>
              <w:rPr>
                <w:rFonts w:ascii="Times New Roman" w:hAnsi="Times New Roman" w:eastAsia="宋体" w:cs="Times New Roman"/>
                <w:kern w:val="2"/>
                <w:sz w:val="21"/>
                <w:szCs w:val="24"/>
                <w:vertAlign w:val="superscript"/>
                <w:lang w:val="en-US" w:eastAsia="zh-CN" w:bidi="ar-SA"/>
              </w:rPr>
              <w:t>3</w:t>
            </w:r>
          </w:p>
        </w:tc>
      </w:tr>
      <w:tr w14:paraId="02D6C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84" w:hRule="atLeast"/>
          <w:jc w:val="center"/>
        </w:trPr>
        <w:tc>
          <w:tcPr>
            <w:tcW w:w="690" w:type="dxa"/>
            <w:vMerge w:val="continue"/>
            <w:tcBorders>
              <w:tl2br w:val="nil"/>
              <w:tr2bl w:val="nil"/>
            </w:tcBorders>
            <w:vAlign w:val="center"/>
          </w:tcPr>
          <w:p w14:paraId="2CC585C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0AB42F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健康危害</w:t>
            </w:r>
          </w:p>
        </w:tc>
        <w:tc>
          <w:tcPr>
            <w:tcW w:w="7131" w:type="dxa"/>
            <w:gridSpan w:val="7"/>
            <w:tcBorders>
              <w:tl2br w:val="nil"/>
              <w:tr2bl w:val="nil"/>
            </w:tcBorders>
            <w:vAlign w:val="center"/>
          </w:tcPr>
          <w:p w14:paraId="089297F6">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低浓度氨对粘膜有刺激作用，高浓度可造成组织溶解坏死。</w:t>
            </w:r>
          </w:p>
          <w:p w14:paraId="5A10FA7A">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急性中毒：轻度者出现流泪、咽痛、声音嘶哑、咳嗽等；眼结膜、鼻粘膜、咽部充血、水肿；胸部</w:t>
            </w:r>
            <w:r>
              <w:rPr>
                <w:rFonts w:ascii="Times New Roman" w:hAnsi="Times New Roman" w:eastAsia="宋体" w:cs="Times New Roman"/>
                <w:kern w:val="2"/>
                <w:sz w:val="21"/>
                <w:szCs w:val="24"/>
                <w:lang w:val="en-US" w:eastAsia="zh-CN" w:bidi="ar-SA"/>
              </w:rPr>
              <w:t>X</w:t>
            </w:r>
            <w:r>
              <w:rPr>
                <w:rFonts w:hint="eastAsia" w:ascii="Times New Roman" w:hAnsi="Times New Roman" w:eastAsia="宋体" w:cs="Times New Roman"/>
                <w:kern w:val="2"/>
                <w:sz w:val="21"/>
                <w:szCs w:val="24"/>
                <w:lang w:val="en-US" w:eastAsia="zh-CN" w:bidi="ar-SA"/>
              </w:rPr>
              <w:t>线征象符合支气管炎或支气管周围炎。中度中毒上述症状加剧，出现呼吸困难；胸部</w:t>
            </w:r>
            <w:r>
              <w:rPr>
                <w:rFonts w:ascii="Times New Roman" w:hAnsi="Times New Roman" w:eastAsia="宋体" w:cs="Times New Roman"/>
                <w:kern w:val="2"/>
                <w:sz w:val="21"/>
                <w:szCs w:val="24"/>
                <w:lang w:val="en-US" w:eastAsia="zh-CN" w:bidi="ar-SA"/>
              </w:rPr>
              <w:t>X</w:t>
            </w:r>
            <w:r>
              <w:rPr>
                <w:rFonts w:hint="eastAsia" w:ascii="Times New Roman" w:hAnsi="Times New Roman" w:eastAsia="宋体" w:cs="Times New Roman"/>
                <w:kern w:val="2"/>
                <w:sz w:val="21"/>
                <w:szCs w:val="24"/>
                <w:lang w:val="en-US" w:eastAsia="zh-CN" w:bidi="ar-SA"/>
              </w:rPr>
              <w:t>线征象符合肺炎或间质性肺炎。严重者可发生中毒性肺水肿，或有呼吸窘迫综合征，患者剧烈咳嗽、大量泡沫痰、呼吸窘迫、昏迷、休克等。可发生喉头水肿或支气管粘膜坏死脱落窒息。高浓度氨可引起反射性呼吸停止。液氨或高浓度氨可致眼灼伤；液氨可致皮肤灼伤。</w:t>
            </w:r>
          </w:p>
        </w:tc>
      </w:tr>
      <w:tr w14:paraId="06C910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16" w:hRule="atLeast"/>
          <w:jc w:val="center"/>
        </w:trPr>
        <w:tc>
          <w:tcPr>
            <w:tcW w:w="690" w:type="dxa"/>
            <w:vMerge w:val="continue"/>
            <w:tcBorders>
              <w:tl2br w:val="nil"/>
              <w:tr2bl w:val="nil"/>
            </w:tcBorders>
            <w:vAlign w:val="center"/>
          </w:tcPr>
          <w:p w14:paraId="1DB6847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21C3DD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急救方法</w:t>
            </w:r>
          </w:p>
        </w:tc>
        <w:tc>
          <w:tcPr>
            <w:tcW w:w="7131" w:type="dxa"/>
            <w:gridSpan w:val="7"/>
            <w:tcBorders>
              <w:tl2br w:val="nil"/>
              <w:tr2bl w:val="nil"/>
            </w:tcBorders>
            <w:vAlign w:val="center"/>
          </w:tcPr>
          <w:p w14:paraId="3EA2B654">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皮肤接触：立即脱去污染的衣着，应用</w:t>
            </w:r>
            <w:r>
              <w:rPr>
                <w:rFonts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en-US" w:eastAsia="zh-CN" w:bidi="ar-SA"/>
              </w:rPr>
              <w:t>硼酸液或大量清水彻底冲洗，就医。</w:t>
            </w:r>
          </w:p>
          <w:p w14:paraId="4E49ACD2">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眼睛接触：立即提起眼睑，用大量流动清水或生理盐水彻底冲洗至少</w:t>
            </w:r>
            <w:r>
              <w:rPr>
                <w:rFonts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分钟，就医。</w:t>
            </w:r>
          </w:p>
          <w:p w14:paraId="0F5F4E78">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吸入：迅速脱离现场至空气新鲜处。保持呼吸道通畅。如呼吸困难，给输氧。如呼吸停止，立即进行人工呼吸，就医。</w:t>
            </w:r>
          </w:p>
        </w:tc>
      </w:tr>
      <w:tr w14:paraId="00FF7C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restart"/>
            <w:tcBorders>
              <w:tl2br w:val="nil"/>
              <w:tr2bl w:val="nil"/>
            </w:tcBorders>
            <w:vAlign w:val="center"/>
          </w:tcPr>
          <w:p w14:paraId="2C473E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燃烧爆炸危险性</w:t>
            </w:r>
          </w:p>
        </w:tc>
        <w:tc>
          <w:tcPr>
            <w:tcW w:w="1397" w:type="dxa"/>
            <w:tcBorders>
              <w:tl2br w:val="nil"/>
              <w:tr2bl w:val="nil"/>
            </w:tcBorders>
            <w:vAlign w:val="center"/>
          </w:tcPr>
          <w:p w14:paraId="52512A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燃烧性</w:t>
            </w:r>
          </w:p>
        </w:tc>
        <w:tc>
          <w:tcPr>
            <w:tcW w:w="2108" w:type="dxa"/>
            <w:gridSpan w:val="2"/>
            <w:tcBorders>
              <w:tl2br w:val="nil"/>
              <w:tr2bl w:val="nil"/>
            </w:tcBorders>
            <w:vAlign w:val="center"/>
          </w:tcPr>
          <w:p w14:paraId="132A3D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易燃</w:t>
            </w:r>
          </w:p>
        </w:tc>
        <w:tc>
          <w:tcPr>
            <w:tcW w:w="2021" w:type="dxa"/>
            <w:gridSpan w:val="3"/>
            <w:tcBorders>
              <w:tl2br w:val="nil"/>
              <w:tr2bl w:val="nil"/>
            </w:tcBorders>
            <w:vAlign w:val="center"/>
          </w:tcPr>
          <w:p w14:paraId="1FB92C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燃烧分解物</w:t>
            </w:r>
          </w:p>
        </w:tc>
        <w:tc>
          <w:tcPr>
            <w:tcW w:w="3002" w:type="dxa"/>
            <w:gridSpan w:val="2"/>
            <w:tcBorders>
              <w:tl2br w:val="nil"/>
              <w:tr2bl w:val="nil"/>
            </w:tcBorders>
            <w:vAlign w:val="center"/>
          </w:tcPr>
          <w:p w14:paraId="07684FD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r>
      <w:tr w14:paraId="15FA9B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3" w:hRule="atLeast"/>
          <w:jc w:val="center"/>
        </w:trPr>
        <w:tc>
          <w:tcPr>
            <w:tcW w:w="690" w:type="dxa"/>
            <w:vMerge w:val="continue"/>
            <w:tcBorders>
              <w:tl2br w:val="nil"/>
              <w:tr2bl w:val="nil"/>
            </w:tcBorders>
            <w:vAlign w:val="center"/>
          </w:tcPr>
          <w:p w14:paraId="7704622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60199A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闪点（℃）</w:t>
            </w:r>
          </w:p>
        </w:tc>
        <w:tc>
          <w:tcPr>
            <w:tcW w:w="2108" w:type="dxa"/>
            <w:gridSpan w:val="2"/>
            <w:tcBorders>
              <w:tl2br w:val="nil"/>
              <w:tr2bl w:val="nil"/>
            </w:tcBorders>
            <w:vAlign w:val="center"/>
          </w:tcPr>
          <w:p w14:paraId="4FB8352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021" w:type="dxa"/>
            <w:gridSpan w:val="3"/>
            <w:tcBorders>
              <w:tl2br w:val="nil"/>
              <w:tr2bl w:val="nil"/>
            </w:tcBorders>
            <w:vAlign w:val="center"/>
          </w:tcPr>
          <w:p w14:paraId="473A6D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爆炸上限（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02" w:type="dxa"/>
            <w:gridSpan w:val="2"/>
            <w:tcBorders>
              <w:tl2br w:val="nil"/>
              <w:tr2bl w:val="nil"/>
            </w:tcBorders>
            <w:vAlign w:val="center"/>
          </w:tcPr>
          <w:p w14:paraId="05FED32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27.4</w:t>
            </w:r>
          </w:p>
        </w:tc>
      </w:tr>
      <w:tr w14:paraId="210ED8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58" w:hRule="atLeast"/>
          <w:jc w:val="center"/>
        </w:trPr>
        <w:tc>
          <w:tcPr>
            <w:tcW w:w="690" w:type="dxa"/>
            <w:vMerge w:val="continue"/>
            <w:tcBorders>
              <w:tl2br w:val="nil"/>
              <w:tr2bl w:val="nil"/>
            </w:tcBorders>
            <w:vAlign w:val="center"/>
          </w:tcPr>
          <w:p w14:paraId="07EE360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08DBDF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引燃温度（℃）</w:t>
            </w:r>
          </w:p>
        </w:tc>
        <w:tc>
          <w:tcPr>
            <w:tcW w:w="2108" w:type="dxa"/>
            <w:gridSpan w:val="2"/>
            <w:tcBorders>
              <w:tl2br w:val="nil"/>
              <w:tr2bl w:val="nil"/>
            </w:tcBorders>
            <w:vAlign w:val="center"/>
          </w:tcPr>
          <w:p w14:paraId="1695968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651</w:t>
            </w:r>
          </w:p>
        </w:tc>
        <w:tc>
          <w:tcPr>
            <w:tcW w:w="2021" w:type="dxa"/>
            <w:gridSpan w:val="3"/>
            <w:tcBorders>
              <w:tl2br w:val="nil"/>
              <w:tr2bl w:val="nil"/>
            </w:tcBorders>
            <w:vAlign w:val="center"/>
          </w:tcPr>
          <w:p w14:paraId="35DCB3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爆炸下限（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02" w:type="dxa"/>
            <w:gridSpan w:val="2"/>
            <w:tcBorders>
              <w:tl2br w:val="nil"/>
              <w:tr2bl w:val="nil"/>
            </w:tcBorders>
            <w:vAlign w:val="center"/>
          </w:tcPr>
          <w:p w14:paraId="7D6DDFD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15.7</w:t>
            </w:r>
          </w:p>
        </w:tc>
      </w:tr>
      <w:tr w14:paraId="109A93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13" w:hRule="atLeast"/>
          <w:jc w:val="center"/>
        </w:trPr>
        <w:tc>
          <w:tcPr>
            <w:tcW w:w="690" w:type="dxa"/>
            <w:vMerge w:val="continue"/>
            <w:tcBorders>
              <w:tl2br w:val="nil"/>
              <w:tr2bl w:val="nil"/>
            </w:tcBorders>
            <w:vAlign w:val="center"/>
          </w:tcPr>
          <w:p w14:paraId="6BC51AD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656EB9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危险特性</w:t>
            </w:r>
          </w:p>
        </w:tc>
        <w:tc>
          <w:tcPr>
            <w:tcW w:w="7131" w:type="dxa"/>
            <w:gridSpan w:val="7"/>
            <w:tcBorders>
              <w:tl2br w:val="nil"/>
              <w:tr2bl w:val="nil"/>
            </w:tcBorders>
            <w:vAlign w:val="center"/>
          </w:tcPr>
          <w:p w14:paraId="6044EBF7">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与空气混合能形成爆炸性混合物。遇明火、高热能引起燃烧爆炸。与氟、氯等接触会发生剧烈的化学反应。若遇高热，容器内压增大，有开裂和爆炸的危险。</w:t>
            </w:r>
          </w:p>
        </w:tc>
      </w:tr>
      <w:tr w14:paraId="61559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81" w:hRule="atLeast"/>
          <w:jc w:val="center"/>
        </w:trPr>
        <w:tc>
          <w:tcPr>
            <w:tcW w:w="690" w:type="dxa"/>
            <w:vMerge w:val="continue"/>
            <w:tcBorders>
              <w:tl2br w:val="nil"/>
              <w:tr2bl w:val="nil"/>
            </w:tcBorders>
            <w:vAlign w:val="center"/>
          </w:tcPr>
          <w:p w14:paraId="1119A4D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5C7B4B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储运条件与泄漏处理</w:t>
            </w:r>
          </w:p>
        </w:tc>
        <w:tc>
          <w:tcPr>
            <w:tcW w:w="7131" w:type="dxa"/>
            <w:gridSpan w:val="7"/>
            <w:tcBorders>
              <w:tl2br w:val="nil"/>
              <w:tr2bl w:val="nil"/>
            </w:tcBorders>
            <w:vAlign w:val="center"/>
          </w:tcPr>
          <w:p w14:paraId="104E0C67">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储运条件：储存在阴凉、通风良好的专用库房内或大型气柜，远离容易起火的地方。与氧化剂、酸类、卤素接触隔离储运。泄漏处理：切断火源，勿使其燃烧，同时关闭阀门等，制止</w:t>
            </w:r>
            <w:r>
              <w:rPr>
                <w:rFonts w:hint="eastAsia" w:ascii="Times New Roman" w:hAnsi="Times New Roman" w:eastAsia="宋体" w:cs="Times New Roman"/>
                <w:kern w:val="2"/>
                <w:sz w:val="21"/>
                <w:szCs w:val="24"/>
                <w:lang w:val="en-US" w:eastAsia="zh-CN" w:bidi="ar-SA"/>
              </w:rPr>
              <w:drawing>
                <wp:inline distT="0" distB="0" distL="0" distR="0">
                  <wp:extent cx="127000" cy="120650"/>
                  <wp:effectExtent l="0" t="0" r="6350" b="12700"/>
                  <wp:docPr id="2" name="Image 366"/>
                  <wp:cNvGraphicFramePr/>
                  <a:graphic xmlns:a="http://schemas.openxmlformats.org/drawingml/2006/main">
                    <a:graphicData uri="http://schemas.openxmlformats.org/drawingml/2006/picture">
                      <pic:pic xmlns:pic="http://schemas.openxmlformats.org/drawingml/2006/picture">
                        <pic:nvPicPr>
                          <pic:cNvPr id="2" name="Image 366"/>
                          <pic:cNvPicPr/>
                        </pic:nvPicPr>
                        <pic:blipFill>
                          <a:blip r:embed="rId15" cstate="print"/>
                          <a:stretch>
                            <a:fillRect/>
                          </a:stretch>
                        </pic:blipFill>
                        <pic:spPr>
                          <a:xfrm>
                            <a:off x="0" y="0"/>
                            <a:ext cx="127000" cy="120650"/>
                          </a:xfrm>
                          <a:prstGeom prst="rect">
                            <a:avLst/>
                          </a:prstGeom>
                        </pic:spPr>
                      </pic:pic>
                    </a:graphicData>
                  </a:graphic>
                </wp:inline>
              </w:drawing>
            </w:r>
            <w:r>
              <w:rPr>
                <w:rFonts w:hint="eastAsia" w:ascii="Times New Roman" w:hAnsi="Times New Roman" w:eastAsia="宋体" w:cs="Times New Roman"/>
                <w:kern w:val="2"/>
                <w:sz w:val="21"/>
                <w:szCs w:val="24"/>
                <w:lang w:val="en-US" w:eastAsia="zh-CN" w:bidi="ar-SA"/>
              </w:rPr>
              <w:t>漏；并用雾状水保护阀门人员；操作时必须穿戴防毒面具与手套。对残余废气或钢瓶泄漏出气要用排风机排至空旷地方。</w:t>
            </w:r>
          </w:p>
        </w:tc>
      </w:tr>
      <w:tr w14:paraId="72F9D1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8" w:hRule="atLeast"/>
          <w:jc w:val="center"/>
        </w:trPr>
        <w:tc>
          <w:tcPr>
            <w:tcW w:w="690" w:type="dxa"/>
            <w:vMerge w:val="continue"/>
            <w:tcBorders>
              <w:tl2br w:val="nil"/>
              <w:tr2bl w:val="nil"/>
            </w:tcBorders>
            <w:vAlign w:val="center"/>
          </w:tcPr>
          <w:p w14:paraId="4D9C3E9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397" w:type="dxa"/>
            <w:tcBorders>
              <w:tl2br w:val="nil"/>
              <w:tr2bl w:val="nil"/>
            </w:tcBorders>
            <w:vAlign w:val="center"/>
          </w:tcPr>
          <w:p w14:paraId="4DD62F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灭火方法</w:t>
            </w:r>
          </w:p>
        </w:tc>
        <w:tc>
          <w:tcPr>
            <w:tcW w:w="7131" w:type="dxa"/>
            <w:gridSpan w:val="7"/>
            <w:tcBorders>
              <w:tl2br w:val="nil"/>
              <w:tr2bl w:val="nil"/>
            </w:tcBorders>
            <w:vAlign w:val="center"/>
          </w:tcPr>
          <w:p w14:paraId="6362821D">
            <w:pPr>
              <w:widowControl w:val="0"/>
              <w:bidi w:val="0"/>
              <w:adjustRightInd w:val="0"/>
              <w:snapToGrid w:val="0"/>
              <w:spacing w:line="240" w:lineRule="auto"/>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消防人员必须穿全身防火防毒服，在上风向灭火。切断气源。若不能切断气源，则不允许熄灭泄漏处的火焰。喷水冷却容器，可能的话将容器从火场移至空旷处。灭火剂：雾状水、抗溶性泡沫、二氧化碳、砂土。</w:t>
            </w:r>
          </w:p>
        </w:tc>
      </w:tr>
    </w:tbl>
    <w:p w14:paraId="43F0777B">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p>
    <w:p w14:paraId="5E074A3D">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r>
        <w:rPr>
          <w:rFonts w:ascii="Times New Roman" w:hAnsi="Times New Roman" w:eastAsia="宋体" w:cs="Times New Roman"/>
          <w:b/>
          <w:kern w:val="24"/>
          <w:sz w:val="24"/>
          <w:szCs w:val="20"/>
          <w:lang w:val="en-US" w:eastAsia="zh-CN" w:bidi="ar-SA"/>
        </w:rPr>
        <w:t>表4-</w:t>
      </w:r>
      <w:r>
        <w:rPr>
          <w:rFonts w:hint="eastAsia" w:cs="Times New Roman"/>
          <w:b/>
          <w:kern w:val="24"/>
          <w:sz w:val="24"/>
          <w:szCs w:val="20"/>
          <w:lang w:val="en-US" w:eastAsia="zh-CN" w:bidi="ar-SA"/>
        </w:rPr>
        <w:t>3</w:t>
      </w:r>
      <w:r>
        <w:rPr>
          <w:rFonts w:ascii="Times New Roman" w:hAnsi="Times New Roman" w:eastAsia="宋体" w:cs="Times New Roman"/>
          <w:b/>
          <w:kern w:val="24"/>
          <w:sz w:val="24"/>
          <w:szCs w:val="20"/>
          <w:lang w:val="en-US" w:eastAsia="zh-CN" w:bidi="ar-SA"/>
        </w:rPr>
        <w:t xml:space="preserve"> 低浓度氨水理化性质和毒性一览表</w:t>
      </w:r>
    </w:p>
    <w:tbl>
      <w:tblPr>
        <w:tblStyle w:val="11"/>
        <w:tblW w:w="922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559"/>
        <w:gridCol w:w="1477"/>
        <w:gridCol w:w="1208"/>
        <w:gridCol w:w="231"/>
        <w:gridCol w:w="315"/>
        <w:gridCol w:w="1151"/>
        <w:gridCol w:w="351"/>
        <w:gridCol w:w="680"/>
        <w:gridCol w:w="166"/>
        <w:gridCol w:w="1350"/>
        <w:gridCol w:w="658"/>
        <w:gridCol w:w="1075"/>
      </w:tblGrid>
      <w:tr w14:paraId="140881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6D83F7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标识</w:t>
            </w:r>
          </w:p>
        </w:tc>
        <w:tc>
          <w:tcPr>
            <w:tcW w:w="5413" w:type="dxa"/>
            <w:gridSpan w:val="7"/>
            <w:tcBorders>
              <w:tl2br w:val="nil"/>
              <w:tr2bl w:val="nil"/>
            </w:tcBorders>
            <w:vAlign w:val="center"/>
          </w:tcPr>
          <w:p w14:paraId="4F6CB9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中文名：氨溶液</w:t>
            </w:r>
            <w:r>
              <w:rPr>
                <w:rFonts w:ascii="Times New Roman" w:hAnsi="Times New Roman" w:eastAsia="宋体" w:cs="Times New Roman"/>
                <w:kern w:val="2"/>
                <w:sz w:val="21"/>
                <w:szCs w:val="24"/>
                <w:lang w:val="en-US" w:eastAsia="zh-CN" w:bidi="ar-SA"/>
              </w:rPr>
              <w:t>[20%</w:t>
            </w:r>
            <w:r>
              <w:rPr>
                <w:rFonts w:hint="eastAsia" w:ascii="Times New Roman" w:hAnsi="Times New Roman" w:eastAsia="宋体" w:cs="Times New Roman"/>
                <w:kern w:val="2"/>
                <w:sz w:val="21"/>
                <w:szCs w:val="24"/>
                <w:lang w:val="en-US" w:eastAsia="zh-CN" w:bidi="ar-SA"/>
              </w:rPr>
              <w:t>＜含氨</w:t>
            </w:r>
            <w:r>
              <w:rPr>
                <w:rFonts w:ascii="Times New Roman" w:hAnsi="Times New Roman" w:eastAsia="宋体" w:cs="Times New Roman"/>
                <w:kern w:val="2"/>
                <w:sz w:val="21"/>
                <w:szCs w:val="24"/>
                <w:lang w:val="en-US" w:eastAsia="zh-CN" w:bidi="ar-SA"/>
              </w:rPr>
              <w:t>≤25%]</w:t>
            </w:r>
            <w:r>
              <w:rPr>
                <w:rFonts w:hint="eastAsia" w:ascii="Times New Roman" w:hAnsi="Times New Roman" w:eastAsia="宋体" w:cs="Times New Roman"/>
                <w:kern w:val="2"/>
                <w:sz w:val="21"/>
                <w:szCs w:val="24"/>
                <w:lang w:val="en-US" w:eastAsia="zh-CN" w:bidi="ar-SA"/>
              </w:rPr>
              <w:t>；氢氧化铵；氨水</w:t>
            </w:r>
          </w:p>
        </w:tc>
        <w:tc>
          <w:tcPr>
            <w:tcW w:w="3249" w:type="dxa"/>
            <w:gridSpan w:val="4"/>
            <w:tcBorders>
              <w:tl2br w:val="nil"/>
              <w:tr2bl w:val="nil"/>
            </w:tcBorders>
            <w:vAlign w:val="center"/>
          </w:tcPr>
          <w:p w14:paraId="4C89A1C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危险货物编号：</w:t>
            </w:r>
            <w:r>
              <w:rPr>
                <w:rFonts w:ascii="Times New Roman" w:hAnsi="Times New Roman" w:eastAsia="宋体" w:cs="Times New Roman"/>
                <w:kern w:val="2"/>
                <w:sz w:val="21"/>
                <w:szCs w:val="24"/>
                <w:lang w:val="en-US" w:eastAsia="zh-CN" w:bidi="ar-SA"/>
              </w:rPr>
              <w:t>82503</w:t>
            </w:r>
          </w:p>
        </w:tc>
      </w:tr>
      <w:tr w14:paraId="52A416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B70522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5413" w:type="dxa"/>
            <w:gridSpan w:val="7"/>
            <w:tcBorders>
              <w:tl2br w:val="nil"/>
              <w:tr2bl w:val="nil"/>
            </w:tcBorders>
            <w:vAlign w:val="center"/>
          </w:tcPr>
          <w:p w14:paraId="32ECD53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英文名：</w:t>
            </w:r>
            <w:r>
              <w:rPr>
                <w:rFonts w:ascii="Times New Roman" w:hAnsi="Times New Roman" w:eastAsia="宋体" w:cs="Times New Roman"/>
                <w:kern w:val="2"/>
                <w:sz w:val="21"/>
                <w:szCs w:val="24"/>
                <w:lang w:val="en-US" w:eastAsia="zh-CN" w:bidi="ar-SA"/>
              </w:rPr>
              <w:t>Ammoniumhydroxide</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Ammoniawater</w:t>
            </w:r>
          </w:p>
        </w:tc>
        <w:tc>
          <w:tcPr>
            <w:tcW w:w="3249" w:type="dxa"/>
            <w:gridSpan w:val="4"/>
            <w:tcBorders>
              <w:tl2br w:val="nil"/>
              <w:tr2bl w:val="nil"/>
            </w:tcBorders>
            <w:vAlign w:val="center"/>
          </w:tcPr>
          <w:p w14:paraId="5599D2D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UN</w:t>
            </w:r>
            <w:r>
              <w:rPr>
                <w:rFonts w:hint="eastAsia" w:ascii="Times New Roman" w:hAnsi="Times New Roman" w:eastAsia="宋体" w:cs="Times New Roman"/>
                <w:kern w:val="2"/>
                <w:sz w:val="21"/>
                <w:szCs w:val="24"/>
                <w:lang w:val="en-US" w:eastAsia="zh-CN" w:bidi="ar-SA"/>
              </w:rPr>
              <w:t>编号：</w:t>
            </w:r>
            <w:r>
              <w:rPr>
                <w:rFonts w:ascii="Times New Roman" w:hAnsi="Times New Roman" w:eastAsia="宋体" w:cs="Times New Roman"/>
                <w:kern w:val="2"/>
                <w:sz w:val="21"/>
                <w:szCs w:val="24"/>
                <w:lang w:val="en-US" w:eastAsia="zh-CN" w:bidi="ar-SA"/>
              </w:rPr>
              <w:t>2672</w:t>
            </w:r>
          </w:p>
        </w:tc>
      </w:tr>
      <w:tr w14:paraId="71BA6A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128712A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2916" w:type="dxa"/>
            <w:gridSpan w:val="3"/>
            <w:tcBorders>
              <w:tl2br w:val="nil"/>
              <w:tr2bl w:val="nil"/>
            </w:tcBorders>
            <w:vAlign w:val="center"/>
          </w:tcPr>
          <w:p w14:paraId="0EE8432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分子式：</w:t>
            </w:r>
            <w:r>
              <w:rPr>
                <w:rFonts w:ascii="Times New Roman" w:hAnsi="Times New Roman" w:eastAsia="宋体" w:cs="Times New Roman"/>
                <w:kern w:val="2"/>
                <w:sz w:val="21"/>
                <w:szCs w:val="24"/>
                <w:lang w:val="en-US" w:eastAsia="zh-CN" w:bidi="ar-SA"/>
              </w:rPr>
              <w:t>NH</w:t>
            </w:r>
            <w:r>
              <w:rPr>
                <w:rFonts w:ascii="Times New Roman" w:hAnsi="Times New Roman" w:eastAsia="宋体" w:cs="Times New Roman"/>
                <w:kern w:val="2"/>
                <w:sz w:val="21"/>
                <w:szCs w:val="24"/>
                <w:vertAlign w:val="subscript"/>
                <w:lang w:val="en-US" w:eastAsia="zh-CN" w:bidi="ar-SA"/>
              </w:rPr>
              <w:t>4</w:t>
            </w:r>
            <w:r>
              <w:rPr>
                <w:rFonts w:ascii="Times New Roman" w:hAnsi="Times New Roman" w:eastAsia="宋体" w:cs="Times New Roman"/>
                <w:kern w:val="2"/>
                <w:sz w:val="21"/>
                <w:szCs w:val="24"/>
                <w:lang w:val="en-US" w:eastAsia="zh-CN" w:bidi="ar-SA"/>
              </w:rPr>
              <w:t>OH</w:t>
            </w:r>
          </w:p>
        </w:tc>
        <w:tc>
          <w:tcPr>
            <w:tcW w:w="2497" w:type="dxa"/>
            <w:gridSpan w:val="4"/>
            <w:tcBorders>
              <w:tl2br w:val="nil"/>
              <w:tr2bl w:val="nil"/>
            </w:tcBorders>
            <w:vAlign w:val="center"/>
          </w:tcPr>
          <w:p w14:paraId="75EA4EB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分子量：</w:t>
            </w:r>
            <w:r>
              <w:rPr>
                <w:rFonts w:ascii="Times New Roman" w:hAnsi="Times New Roman" w:eastAsia="宋体" w:cs="Times New Roman"/>
                <w:kern w:val="2"/>
                <w:sz w:val="21"/>
                <w:szCs w:val="24"/>
                <w:lang w:val="en-US" w:eastAsia="zh-CN" w:bidi="ar-SA"/>
              </w:rPr>
              <w:t>35.05</w:t>
            </w:r>
          </w:p>
        </w:tc>
        <w:tc>
          <w:tcPr>
            <w:tcW w:w="3249" w:type="dxa"/>
            <w:gridSpan w:val="4"/>
            <w:tcBorders>
              <w:tl2br w:val="nil"/>
              <w:tr2bl w:val="nil"/>
            </w:tcBorders>
            <w:vAlign w:val="center"/>
          </w:tcPr>
          <w:p w14:paraId="44F2A07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CAS</w:t>
            </w:r>
            <w:r>
              <w:rPr>
                <w:rFonts w:hint="eastAsia" w:ascii="Times New Roman" w:hAnsi="Times New Roman" w:eastAsia="宋体" w:cs="Times New Roman"/>
                <w:kern w:val="2"/>
                <w:sz w:val="21"/>
                <w:szCs w:val="24"/>
                <w:lang w:val="en-US" w:eastAsia="zh-CN" w:bidi="ar-SA"/>
              </w:rPr>
              <w:t>号：</w:t>
            </w:r>
            <w:r>
              <w:rPr>
                <w:rFonts w:ascii="Times New Roman" w:hAnsi="Times New Roman" w:eastAsia="宋体" w:cs="Times New Roman"/>
                <w:kern w:val="2"/>
                <w:sz w:val="21"/>
                <w:szCs w:val="24"/>
                <w:lang w:val="en-US" w:eastAsia="zh-CN" w:bidi="ar-SA"/>
              </w:rPr>
              <w:t>1336-21-6</w:t>
            </w:r>
          </w:p>
        </w:tc>
      </w:tr>
      <w:tr w14:paraId="4EA13B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018F4E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理化性质</w:t>
            </w:r>
          </w:p>
        </w:tc>
        <w:tc>
          <w:tcPr>
            <w:tcW w:w="1477" w:type="dxa"/>
            <w:tcBorders>
              <w:tl2br w:val="nil"/>
              <w:tr2bl w:val="nil"/>
            </w:tcBorders>
            <w:vAlign w:val="center"/>
          </w:tcPr>
          <w:p w14:paraId="3F0928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外观与性状</w:t>
            </w:r>
          </w:p>
        </w:tc>
        <w:tc>
          <w:tcPr>
            <w:tcW w:w="7185" w:type="dxa"/>
            <w:gridSpan w:val="10"/>
            <w:tcBorders>
              <w:tl2br w:val="nil"/>
              <w:tr2bl w:val="nil"/>
            </w:tcBorders>
            <w:vAlign w:val="center"/>
          </w:tcPr>
          <w:p w14:paraId="50099C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无色透明液体，有强烈的刺激性臭味。</w:t>
            </w:r>
          </w:p>
        </w:tc>
      </w:tr>
      <w:tr w14:paraId="4DD73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0AD598D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5C7ADB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熔点（℃）</w:t>
            </w:r>
          </w:p>
        </w:tc>
        <w:tc>
          <w:tcPr>
            <w:tcW w:w="1208" w:type="dxa"/>
            <w:tcBorders>
              <w:tl2br w:val="nil"/>
              <w:tr2bl w:val="nil"/>
            </w:tcBorders>
            <w:vAlign w:val="center"/>
          </w:tcPr>
          <w:p w14:paraId="0BD773C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048" w:type="dxa"/>
            <w:gridSpan w:val="4"/>
            <w:tcBorders>
              <w:tl2br w:val="nil"/>
              <w:tr2bl w:val="nil"/>
            </w:tcBorders>
            <w:vAlign w:val="center"/>
          </w:tcPr>
          <w:p w14:paraId="31F4412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水</w:t>
            </w:r>
            <w:r>
              <w:rPr>
                <w:rFonts w:ascii="Times New Roman" w:hAnsi="Times New Roman" w:eastAsia="宋体" w:cs="Times New Roman"/>
                <w:kern w:val="2"/>
                <w:sz w:val="21"/>
                <w:szCs w:val="24"/>
                <w:lang w:val="en-US" w:eastAsia="zh-CN" w:bidi="ar-SA"/>
              </w:rPr>
              <w:t>=1)</w:t>
            </w:r>
          </w:p>
        </w:tc>
        <w:tc>
          <w:tcPr>
            <w:tcW w:w="680" w:type="dxa"/>
            <w:tcBorders>
              <w:tl2br w:val="nil"/>
              <w:tr2bl w:val="nil"/>
            </w:tcBorders>
            <w:vAlign w:val="center"/>
          </w:tcPr>
          <w:p w14:paraId="48C8735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0.91</w:t>
            </w:r>
          </w:p>
        </w:tc>
        <w:tc>
          <w:tcPr>
            <w:tcW w:w="2174" w:type="dxa"/>
            <w:gridSpan w:val="3"/>
            <w:tcBorders>
              <w:tl2br w:val="nil"/>
              <w:tr2bl w:val="nil"/>
            </w:tcBorders>
            <w:vAlign w:val="center"/>
          </w:tcPr>
          <w:p w14:paraId="66DA821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相对密度</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空气</w:t>
            </w:r>
            <w:r>
              <w:rPr>
                <w:rFonts w:ascii="Times New Roman" w:hAnsi="Times New Roman" w:eastAsia="宋体" w:cs="Times New Roman"/>
                <w:kern w:val="2"/>
                <w:sz w:val="21"/>
                <w:szCs w:val="24"/>
                <w:lang w:val="en-US" w:eastAsia="zh-CN" w:bidi="ar-SA"/>
              </w:rPr>
              <w:t>=1)</w:t>
            </w:r>
          </w:p>
        </w:tc>
        <w:tc>
          <w:tcPr>
            <w:tcW w:w="1075" w:type="dxa"/>
            <w:tcBorders>
              <w:tl2br w:val="nil"/>
              <w:tr2bl w:val="nil"/>
            </w:tcBorders>
            <w:vAlign w:val="center"/>
          </w:tcPr>
          <w:p w14:paraId="2770445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r>
      <w:tr w14:paraId="4C23F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40AF6D0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00D80B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沸点（℃）</w:t>
            </w:r>
          </w:p>
        </w:tc>
        <w:tc>
          <w:tcPr>
            <w:tcW w:w="1208" w:type="dxa"/>
            <w:tcBorders>
              <w:tl2br w:val="nil"/>
              <w:tr2bl w:val="nil"/>
            </w:tcBorders>
            <w:vAlign w:val="center"/>
          </w:tcPr>
          <w:p w14:paraId="4AFD7C2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728" w:type="dxa"/>
            <w:gridSpan w:val="5"/>
            <w:tcBorders>
              <w:tl2br w:val="nil"/>
              <w:tr2bl w:val="nil"/>
            </w:tcBorders>
            <w:vAlign w:val="center"/>
          </w:tcPr>
          <w:p w14:paraId="2AEBD9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饱和蒸气压（</w:t>
            </w:r>
            <w:r>
              <w:rPr>
                <w:rFonts w:ascii="Times New Roman" w:hAnsi="Times New Roman" w:eastAsia="宋体" w:cs="Times New Roman"/>
                <w:kern w:val="2"/>
                <w:sz w:val="21"/>
                <w:szCs w:val="24"/>
                <w:lang w:val="en-US" w:eastAsia="zh-CN" w:bidi="ar-SA"/>
              </w:rPr>
              <w:t>KPa</w:t>
            </w:r>
            <w:r>
              <w:rPr>
                <w:rFonts w:hint="eastAsia" w:ascii="Times New Roman" w:hAnsi="Times New Roman" w:eastAsia="宋体" w:cs="Times New Roman"/>
                <w:kern w:val="2"/>
                <w:sz w:val="21"/>
                <w:szCs w:val="24"/>
                <w:lang w:val="en-US" w:eastAsia="zh-CN" w:bidi="ar-SA"/>
              </w:rPr>
              <w:t>）</w:t>
            </w:r>
          </w:p>
        </w:tc>
        <w:tc>
          <w:tcPr>
            <w:tcW w:w="3249" w:type="dxa"/>
            <w:gridSpan w:val="4"/>
            <w:tcBorders>
              <w:tl2br w:val="nil"/>
              <w:tr2bl w:val="nil"/>
            </w:tcBorders>
            <w:vAlign w:val="center"/>
          </w:tcPr>
          <w:p w14:paraId="5115B82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1.59/20℃</w:t>
            </w:r>
          </w:p>
        </w:tc>
      </w:tr>
      <w:tr w14:paraId="780699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10234F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4E90A1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溶解性</w:t>
            </w:r>
          </w:p>
        </w:tc>
        <w:tc>
          <w:tcPr>
            <w:tcW w:w="7185" w:type="dxa"/>
            <w:gridSpan w:val="10"/>
            <w:tcBorders>
              <w:tl2br w:val="nil"/>
              <w:tr2bl w:val="nil"/>
            </w:tcBorders>
            <w:vAlign w:val="center"/>
          </w:tcPr>
          <w:p w14:paraId="1A5370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溶于水、醇。</w:t>
            </w:r>
          </w:p>
        </w:tc>
      </w:tr>
      <w:tr w14:paraId="7E3B7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5B7E47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毒性及健康危害</w:t>
            </w:r>
          </w:p>
        </w:tc>
        <w:tc>
          <w:tcPr>
            <w:tcW w:w="1477" w:type="dxa"/>
            <w:tcBorders>
              <w:tl2br w:val="nil"/>
              <w:tr2bl w:val="nil"/>
            </w:tcBorders>
            <w:vAlign w:val="center"/>
          </w:tcPr>
          <w:p w14:paraId="119C39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侵入途径</w:t>
            </w:r>
          </w:p>
        </w:tc>
        <w:tc>
          <w:tcPr>
            <w:tcW w:w="7185" w:type="dxa"/>
            <w:gridSpan w:val="10"/>
            <w:tcBorders>
              <w:tl2br w:val="nil"/>
              <w:tr2bl w:val="nil"/>
            </w:tcBorders>
            <w:vAlign w:val="center"/>
          </w:tcPr>
          <w:p w14:paraId="4C1125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吸入、食入、经皮吸收。</w:t>
            </w:r>
          </w:p>
        </w:tc>
      </w:tr>
      <w:tr w14:paraId="6DD20D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591874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524382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毒性</w:t>
            </w:r>
          </w:p>
        </w:tc>
        <w:tc>
          <w:tcPr>
            <w:tcW w:w="7185" w:type="dxa"/>
            <w:gridSpan w:val="10"/>
            <w:tcBorders>
              <w:tl2br w:val="nil"/>
              <w:tr2bl w:val="nil"/>
            </w:tcBorders>
            <w:vAlign w:val="center"/>
          </w:tcPr>
          <w:p w14:paraId="39A7736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LD50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350mg/kg(</w:t>
            </w:r>
            <w:r>
              <w:rPr>
                <w:rFonts w:hint="eastAsia" w:ascii="Times New Roman" w:hAnsi="Times New Roman" w:eastAsia="宋体" w:cs="Times New Roman"/>
                <w:kern w:val="2"/>
                <w:sz w:val="21"/>
                <w:szCs w:val="24"/>
                <w:lang w:val="en-US" w:eastAsia="zh-CN" w:bidi="ar-SA"/>
              </w:rPr>
              <w:t>大鼠经口</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LC50</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w:t>
            </w:r>
          </w:p>
        </w:tc>
      </w:tr>
      <w:tr w14:paraId="197EF5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44DDE95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202617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健康危害</w:t>
            </w:r>
          </w:p>
        </w:tc>
        <w:tc>
          <w:tcPr>
            <w:tcW w:w="7185" w:type="dxa"/>
            <w:gridSpan w:val="10"/>
            <w:tcBorders>
              <w:tl2br w:val="nil"/>
              <w:tr2bl w:val="nil"/>
            </w:tcBorders>
            <w:vAlign w:val="center"/>
          </w:tcPr>
          <w:p w14:paraId="04B100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吸入后对鼻、喉和肺有刺激性引起咳嗽、气短和哮喘等；可因喉头水肿而窒息死亡；可发生肺水肿，引起死亡。氨水溅入眼内，可造成严重损害，甚至导致失明；皮肤接触可致灼伤。慢性影响：反复低浓度接触，可引起支气管炎。皮肤反复接触，可致皮炎，表现为皮肤干燥、痒、发红。</w:t>
            </w:r>
          </w:p>
        </w:tc>
      </w:tr>
      <w:tr w14:paraId="0E11B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57E02EC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52ABEB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急救方法</w:t>
            </w:r>
          </w:p>
        </w:tc>
        <w:tc>
          <w:tcPr>
            <w:tcW w:w="7185" w:type="dxa"/>
            <w:gridSpan w:val="10"/>
            <w:tcBorders>
              <w:tl2br w:val="nil"/>
              <w:tr2bl w:val="nil"/>
            </w:tcBorders>
            <w:vAlign w:val="center"/>
          </w:tcPr>
          <w:p w14:paraId="1B0695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皮肤接触：立即用水冲洗至少</w:t>
            </w:r>
            <w:r>
              <w:rPr>
                <w:rFonts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分钟。若有灼伤，就医治疗。眼睛接触：立即提起眼睑，用流动清水或生理盐水冲洗至少</w:t>
            </w:r>
            <w:r>
              <w:rPr>
                <w:rFonts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分钟。或用</w:t>
            </w:r>
            <w:r>
              <w:rPr>
                <w:rFonts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硼酸溶液冲洗。立即就医。吸入：迅速脱离现场至空气新鲜处。保持呼吸道通畅。呼吸困难时给输氧。呼吸停止时，立即进行人工呼吸。就医。食入：误服者立即漱口，口服稀释的醋或柠檬汁，就医。</w:t>
            </w:r>
          </w:p>
        </w:tc>
      </w:tr>
      <w:tr w14:paraId="3AA46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restart"/>
            <w:tcBorders>
              <w:tl2br w:val="nil"/>
              <w:tr2bl w:val="nil"/>
            </w:tcBorders>
            <w:vAlign w:val="center"/>
          </w:tcPr>
          <w:p w14:paraId="678E8B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燃烧爆炸危险性</w:t>
            </w:r>
          </w:p>
        </w:tc>
        <w:tc>
          <w:tcPr>
            <w:tcW w:w="1477" w:type="dxa"/>
            <w:tcBorders>
              <w:tl2br w:val="nil"/>
              <w:tr2bl w:val="nil"/>
            </w:tcBorders>
            <w:vAlign w:val="center"/>
          </w:tcPr>
          <w:p w14:paraId="059ABC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燃烧性</w:t>
            </w:r>
          </w:p>
        </w:tc>
        <w:tc>
          <w:tcPr>
            <w:tcW w:w="1754" w:type="dxa"/>
            <w:gridSpan w:val="3"/>
            <w:tcBorders>
              <w:tl2br w:val="nil"/>
              <w:tr2bl w:val="nil"/>
            </w:tcBorders>
            <w:vAlign w:val="center"/>
          </w:tcPr>
          <w:p w14:paraId="4D5A60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可燃</w:t>
            </w:r>
          </w:p>
        </w:tc>
        <w:tc>
          <w:tcPr>
            <w:tcW w:w="2348" w:type="dxa"/>
            <w:gridSpan w:val="4"/>
            <w:tcBorders>
              <w:tl2br w:val="nil"/>
              <w:tr2bl w:val="nil"/>
            </w:tcBorders>
            <w:vAlign w:val="center"/>
          </w:tcPr>
          <w:p w14:paraId="4972B5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燃烧分解物</w:t>
            </w:r>
          </w:p>
        </w:tc>
        <w:tc>
          <w:tcPr>
            <w:tcW w:w="3083" w:type="dxa"/>
            <w:gridSpan w:val="3"/>
            <w:tcBorders>
              <w:tl2br w:val="nil"/>
              <w:tr2bl w:val="nil"/>
            </w:tcBorders>
            <w:vAlign w:val="center"/>
          </w:tcPr>
          <w:p w14:paraId="6A7E0F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氨。</w:t>
            </w:r>
          </w:p>
        </w:tc>
      </w:tr>
      <w:tr w14:paraId="214EC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1BBFD95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78838CF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闪点</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w:t>
            </w:r>
            <w:r>
              <w:rPr>
                <w:rFonts w:ascii="Times New Roman" w:hAnsi="Times New Roman" w:eastAsia="宋体" w:cs="Times New Roman"/>
                <w:kern w:val="2"/>
                <w:sz w:val="21"/>
                <w:szCs w:val="24"/>
                <w:lang w:val="en-US" w:eastAsia="zh-CN" w:bidi="ar-SA"/>
              </w:rPr>
              <w:t>)</w:t>
            </w:r>
          </w:p>
        </w:tc>
        <w:tc>
          <w:tcPr>
            <w:tcW w:w="1754" w:type="dxa"/>
            <w:gridSpan w:val="3"/>
            <w:tcBorders>
              <w:tl2br w:val="nil"/>
              <w:tr2bl w:val="nil"/>
            </w:tcBorders>
            <w:vAlign w:val="center"/>
          </w:tcPr>
          <w:p w14:paraId="73A0BC9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348" w:type="dxa"/>
            <w:gridSpan w:val="4"/>
            <w:tcBorders>
              <w:tl2br w:val="nil"/>
              <w:tr2bl w:val="nil"/>
            </w:tcBorders>
            <w:vAlign w:val="center"/>
          </w:tcPr>
          <w:p w14:paraId="00EF37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爆炸上限（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83" w:type="dxa"/>
            <w:gridSpan w:val="3"/>
            <w:tcBorders>
              <w:tl2br w:val="nil"/>
              <w:tr2bl w:val="nil"/>
            </w:tcBorders>
            <w:vAlign w:val="center"/>
          </w:tcPr>
          <w:p w14:paraId="56AD4F2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25.0</w:t>
            </w:r>
          </w:p>
        </w:tc>
      </w:tr>
      <w:tr w14:paraId="45C54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34F5C06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75B8CF9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引燃温度</w:t>
            </w:r>
            <w:r>
              <w:rPr>
                <w:rFonts w:ascii="Times New Roman" w:hAnsi="Times New Roman" w:eastAsia="宋体" w:cs="Times New Roman"/>
                <w:kern w:val="2"/>
                <w:sz w:val="21"/>
                <w:szCs w:val="24"/>
                <w:lang w:val="en-US" w:eastAsia="zh-CN" w:bidi="ar-SA"/>
              </w:rPr>
              <w:t>(℃)</w:t>
            </w:r>
          </w:p>
        </w:tc>
        <w:tc>
          <w:tcPr>
            <w:tcW w:w="1754" w:type="dxa"/>
            <w:gridSpan w:val="3"/>
            <w:tcBorders>
              <w:tl2br w:val="nil"/>
              <w:tr2bl w:val="nil"/>
            </w:tcBorders>
            <w:vAlign w:val="center"/>
          </w:tcPr>
          <w:p w14:paraId="3AAE408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w:t>
            </w:r>
          </w:p>
        </w:tc>
        <w:tc>
          <w:tcPr>
            <w:tcW w:w="2348" w:type="dxa"/>
            <w:gridSpan w:val="4"/>
            <w:tcBorders>
              <w:tl2br w:val="nil"/>
              <w:tr2bl w:val="nil"/>
            </w:tcBorders>
            <w:vAlign w:val="center"/>
          </w:tcPr>
          <w:p w14:paraId="5822F7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爆炸下限（</w:t>
            </w:r>
            <w:r>
              <w:rPr>
                <w:rFonts w:ascii="Times New Roman" w:hAnsi="Times New Roman" w:eastAsia="宋体" w:cs="Times New Roman"/>
                <w:kern w:val="2"/>
                <w:sz w:val="21"/>
                <w:szCs w:val="24"/>
                <w:lang w:val="en-US" w:eastAsia="zh-CN" w:bidi="ar-SA"/>
              </w:rPr>
              <w:t>v%</w:t>
            </w:r>
            <w:r>
              <w:rPr>
                <w:rFonts w:hint="eastAsia" w:ascii="Times New Roman" w:hAnsi="Times New Roman" w:eastAsia="宋体" w:cs="Times New Roman"/>
                <w:kern w:val="2"/>
                <w:sz w:val="21"/>
                <w:szCs w:val="24"/>
                <w:lang w:val="en-US" w:eastAsia="zh-CN" w:bidi="ar-SA"/>
              </w:rPr>
              <w:t>）</w:t>
            </w:r>
          </w:p>
        </w:tc>
        <w:tc>
          <w:tcPr>
            <w:tcW w:w="3083" w:type="dxa"/>
            <w:gridSpan w:val="3"/>
            <w:tcBorders>
              <w:tl2br w:val="nil"/>
              <w:tr2bl w:val="nil"/>
            </w:tcBorders>
            <w:vAlign w:val="center"/>
          </w:tcPr>
          <w:p w14:paraId="651AEDC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16.0</w:t>
            </w:r>
          </w:p>
        </w:tc>
      </w:tr>
      <w:tr w14:paraId="6ABB75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5E20BE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7EB816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危险特性</w:t>
            </w:r>
          </w:p>
        </w:tc>
        <w:tc>
          <w:tcPr>
            <w:tcW w:w="7185" w:type="dxa"/>
            <w:gridSpan w:val="10"/>
            <w:tcBorders>
              <w:tl2br w:val="nil"/>
              <w:tr2bl w:val="nil"/>
            </w:tcBorders>
            <w:vAlign w:val="center"/>
          </w:tcPr>
          <w:p w14:paraId="4597D2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易分解放出氨气，温度越高，分解速度越快，可形成爆炸性气体。若遇高热，容器内压增大，有开裂和爆炸的危险。</w:t>
            </w:r>
          </w:p>
        </w:tc>
      </w:tr>
      <w:tr w14:paraId="47116A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C1F471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48E257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建规火险分级</w:t>
            </w:r>
          </w:p>
        </w:tc>
        <w:tc>
          <w:tcPr>
            <w:tcW w:w="1754" w:type="dxa"/>
            <w:gridSpan w:val="3"/>
            <w:tcBorders>
              <w:tl2br w:val="nil"/>
              <w:tr2bl w:val="nil"/>
            </w:tcBorders>
            <w:vAlign w:val="center"/>
          </w:tcPr>
          <w:p w14:paraId="467236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戊</w:t>
            </w:r>
          </w:p>
        </w:tc>
        <w:tc>
          <w:tcPr>
            <w:tcW w:w="1151" w:type="dxa"/>
            <w:tcBorders>
              <w:tl2br w:val="nil"/>
              <w:tr2bl w:val="nil"/>
            </w:tcBorders>
            <w:vAlign w:val="center"/>
          </w:tcPr>
          <w:p w14:paraId="58F19B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稳定性</w:t>
            </w:r>
          </w:p>
        </w:tc>
        <w:tc>
          <w:tcPr>
            <w:tcW w:w="1197" w:type="dxa"/>
            <w:gridSpan w:val="3"/>
            <w:tcBorders>
              <w:tl2br w:val="nil"/>
              <w:tr2bl w:val="nil"/>
            </w:tcBorders>
            <w:vAlign w:val="center"/>
          </w:tcPr>
          <w:p w14:paraId="7F2440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稳定</w:t>
            </w:r>
          </w:p>
        </w:tc>
        <w:tc>
          <w:tcPr>
            <w:tcW w:w="1350" w:type="dxa"/>
            <w:tcBorders>
              <w:tl2br w:val="nil"/>
              <w:tr2bl w:val="nil"/>
            </w:tcBorders>
            <w:vAlign w:val="center"/>
          </w:tcPr>
          <w:p w14:paraId="43C72D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聚合危害</w:t>
            </w:r>
          </w:p>
        </w:tc>
        <w:tc>
          <w:tcPr>
            <w:tcW w:w="1733" w:type="dxa"/>
            <w:gridSpan w:val="2"/>
            <w:tcBorders>
              <w:tl2br w:val="nil"/>
              <w:tr2bl w:val="nil"/>
            </w:tcBorders>
            <w:vAlign w:val="center"/>
          </w:tcPr>
          <w:p w14:paraId="5A832B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不聚合</w:t>
            </w:r>
          </w:p>
        </w:tc>
      </w:tr>
      <w:tr w14:paraId="4AAEAD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6D6152D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523C75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禁忌物</w:t>
            </w:r>
          </w:p>
        </w:tc>
        <w:tc>
          <w:tcPr>
            <w:tcW w:w="7185" w:type="dxa"/>
            <w:gridSpan w:val="10"/>
            <w:tcBorders>
              <w:tl2br w:val="nil"/>
              <w:tr2bl w:val="nil"/>
            </w:tcBorders>
            <w:vAlign w:val="center"/>
          </w:tcPr>
          <w:p w14:paraId="7C3E8B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酸类、铝、铜。</w:t>
            </w:r>
          </w:p>
        </w:tc>
      </w:tr>
      <w:tr w14:paraId="29D833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3533B42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144C27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储运条件与泄漏处理</w:t>
            </w:r>
          </w:p>
        </w:tc>
        <w:tc>
          <w:tcPr>
            <w:tcW w:w="7185" w:type="dxa"/>
            <w:gridSpan w:val="10"/>
            <w:tcBorders>
              <w:tl2br w:val="nil"/>
              <w:tr2bl w:val="nil"/>
            </w:tcBorders>
            <w:vAlign w:val="center"/>
          </w:tcPr>
          <w:p w14:paraId="1500A1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储运条件：储存于阴凉、干燥通风良好的仓间内。远离火种、热源。防止阳光直射。应与酸类、金属类粉末分开存放。搬运时应轻装轻卸，防止包装和容器损坏。运输按规定路线行驶，勿在居民区和人口稠密区停留。泄漏处理：疏散泄漏污染区人员至安全区，禁止无关人员进入污染区，建议应急处理人员戴自给式呼吸器，穿化学防护服。不要直接接触泄漏物，在确保安全情况下堵漏。用大量水冲洗，经稀释的洗水放入废水系统。用沙土、蛭石或其它惰性材料吸收，然后以少量加入大量水中，调节至中性，再放入废水系统。如大量泄漏，利用围堤收容，然后收集、转移、回收或无害处理后废弃。</w:t>
            </w:r>
          </w:p>
        </w:tc>
      </w:tr>
      <w:tr w14:paraId="11D0D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59" w:type="dxa"/>
            <w:vMerge w:val="continue"/>
            <w:tcBorders>
              <w:tl2br w:val="nil"/>
              <w:tr2bl w:val="nil"/>
            </w:tcBorders>
            <w:vAlign w:val="center"/>
          </w:tcPr>
          <w:p w14:paraId="72DE656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p>
        </w:tc>
        <w:tc>
          <w:tcPr>
            <w:tcW w:w="1477" w:type="dxa"/>
            <w:tcBorders>
              <w:tl2br w:val="nil"/>
              <w:tr2bl w:val="nil"/>
            </w:tcBorders>
            <w:vAlign w:val="center"/>
          </w:tcPr>
          <w:p w14:paraId="78F958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灭火方法</w:t>
            </w:r>
          </w:p>
        </w:tc>
        <w:tc>
          <w:tcPr>
            <w:tcW w:w="7185" w:type="dxa"/>
            <w:gridSpan w:val="10"/>
            <w:tcBorders>
              <w:tl2br w:val="nil"/>
              <w:tr2bl w:val="nil"/>
            </w:tcBorders>
            <w:vAlign w:val="center"/>
          </w:tcPr>
          <w:p w14:paraId="2984B3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用雾状水、二氧化碳、砂土灭火。</w:t>
            </w:r>
          </w:p>
        </w:tc>
      </w:tr>
    </w:tbl>
    <w:p w14:paraId="3EF29D1E">
      <w:pPr>
        <w:bidi w:val="0"/>
        <w:adjustRightInd w:val="0"/>
        <w:snapToGrid w:val="0"/>
        <w:ind w:firstLine="480" w:firstLineChars="200"/>
        <w:rPr>
          <w:lang w:val="en-US" w:eastAsia="zh-CN"/>
        </w:rPr>
      </w:pPr>
      <w:r>
        <w:rPr>
          <w:lang w:val="en-US" w:eastAsia="zh-CN"/>
        </w:rPr>
        <w:t>由上述两表可知，液氨、氨水不属于剧毒物质和一般毒物（属低毒类）；液氨、氨水属火灾、爆炸危险物质。</w:t>
      </w:r>
    </w:p>
    <w:p w14:paraId="5766090C">
      <w:pPr>
        <w:widowControl w:val="0"/>
        <w:autoSpaceDE w:val="0"/>
        <w:autoSpaceDN w:val="0"/>
        <w:bidi w:val="0"/>
        <w:adjustRightInd w:val="0"/>
        <w:snapToGrid w:val="0"/>
        <w:spacing w:line="240" w:lineRule="auto"/>
        <w:jc w:val="center"/>
        <w:textAlignment w:val="baseline"/>
        <w:rPr>
          <w:rFonts w:ascii="Times New Roman" w:hAnsi="Times New Roman" w:eastAsia="宋体" w:cs="Times New Roman"/>
          <w:b/>
          <w:kern w:val="24"/>
          <w:sz w:val="24"/>
          <w:szCs w:val="20"/>
          <w:lang w:val="en-US" w:eastAsia="zh-CN" w:bidi="ar-SA"/>
        </w:rPr>
      </w:pPr>
      <w:r>
        <w:rPr>
          <w:rFonts w:ascii="Times New Roman" w:hAnsi="Times New Roman" w:eastAsia="宋体" w:cs="Times New Roman"/>
          <w:b/>
          <w:kern w:val="24"/>
          <w:sz w:val="24"/>
          <w:szCs w:val="20"/>
          <w:lang w:val="en-US" w:eastAsia="zh-CN" w:bidi="ar-SA"/>
        </w:rPr>
        <w:t>表4-</w:t>
      </w:r>
      <w:r>
        <w:rPr>
          <w:rFonts w:hint="eastAsia" w:cs="Times New Roman"/>
          <w:b/>
          <w:kern w:val="24"/>
          <w:sz w:val="24"/>
          <w:szCs w:val="20"/>
          <w:lang w:val="en-US" w:eastAsia="zh-CN" w:bidi="ar-SA"/>
        </w:rPr>
        <w:t>4</w:t>
      </w:r>
      <w:r>
        <w:rPr>
          <w:rFonts w:ascii="Times New Roman" w:hAnsi="Times New Roman" w:eastAsia="宋体" w:cs="Times New Roman"/>
          <w:b/>
          <w:kern w:val="24"/>
          <w:sz w:val="24"/>
          <w:szCs w:val="20"/>
          <w:lang w:val="en-US" w:eastAsia="zh-CN" w:bidi="ar-SA"/>
        </w:rPr>
        <w:t xml:space="preserve"> 项目物质危险性识别一览表</w:t>
      </w:r>
    </w:p>
    <w:tbl>
      <w:tblPr>
        <w:tblStyle w:val="11"/>
        <w:tblW w:w="860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909"/>
        <w:gridCol w:w="1092"/>
        <w:gridCol w:w="684"/>
        <w:gridCol w:w="3237"/>
        <w:gridCol w:w="869"/>
        <w:gridCol w:w="1816"/>
      </w:tblGrid>
      <w:tr w14:paraId="28F20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9" w:type="dxa"/>
            <w:tcBorders>
              <w:tl2br w:val="nil"/>
              <w:tr2bl w:val="nil"/>
            </w:tcBorders>
            <w:vAlign w:val="center"/>
          </w:tcPr>
          <w:p w14:paraId="6DD76E90">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名称</w:t>
            </w:r>
          </w:p>
        </w:tc>
        <w:tc>
          <w:tcPr>
            <w:tcW w:w="1092" w:type="dxa"/>
            <w:tcBorders>
              <w:tl2br w:val="nil"/>
              <w:tr2bl w:val="nil"/>
            </w:tcBorders>
            <w:vAlign w:val="center"/>
          </w:tcPr>
          <w:p w14:paraId="7EBA1245">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ascii="Times New Roman" w:hAnsi="Times New Roman" w:eastAsia="宋体" w:cs="Times New Roman"/>
                <w:b/>
                <w:bCs/>
                <w:kern w:val="2"/>
                <w:sz w:val="21"/>
                <w:szCs w:val="24"/>
                <w:lang w:val="en-US" w:eastAsia="zh-CN" w:bidi="ar-SA"/>
              </w:rPr>
              <w:t>CAS</w:t>
            </w:r>
          </w:p>
        </w:tc>
        <w:tc>
          <w:tcPr>
            <w:tcW w:w="684" w:type="dxa"/>
            <w:tcBorders>
              <w:tl2br w:val="nil"/>
              <w:tr2bl w:val="nil"/>
            </w:tcBorders>
            <w:vAlign w:val="center"/>
          </w:tcPr>
          <w:p w14:paraId="16103080">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形态</w:t>
            </w:r>
          </w:p>
        </w:tc>
        <w:tc>
          <w:tcPr>
            <w:tcW w:w="3237" w:type="dxa"/>
            <w:tcBorders>
              <w:tl2br w:val="nil"/>
              <w:tr2bl w:val="nil"/>
            </w:tcBorders>
            <w:vAlign w:val="center"/>
          </w:tcPr>
          <w:p w14:paraId="707688DD">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危险性类别</w:t>
            </w:r>
          </w:p>
        </w:tc>
        <w:tc>
          <w:tcPr>
            <w:tcW w:w="869" w:type="dxa"/>
            <w:tcBorders>
              <w:tl2br w:val="nil"/>
              <w:tr2bl w:val="nil"/>
            </w:tcBorders>
            <w:vAlign w:val="center"/>
          </w:tcPr>
          <w:p w14:paraId="61E34AF1">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危险性</w:t>
            </w:r>
          </w:p>
        </w:tc>
        <w:tc>
          <w:tcPr>
            <w:tcW w:w="1816" w:type="dxa"/>
            <w:tcBorders>
              <w:tl2br w:val="nil"/>
              <w:tr2bl w:val="nil"/>
            </w:tcBorders>
            <w:vAlign w:val="center"/>
          </w:tcPr>
          <w:p w14:paraId="4566F8DD">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危险物质的分布</w:t>
            </w:r>
          </w:p>
        </w:tc>
      </w:tr>
      <w:tr w14:paraId="03ED01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9" w:type="dxa"/>
            <w:tcBorders>
              <w:tl2br w:val="nil"/>
              <w:tr2bl w:val="nil"/>
            </w:tcBorders>
            <w:vAlign w:val="center"/>
          </w:tcPr>
          <w:p w14:paraId="2DEB49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液氨</w:t>
            </w:r>
          </w:p>
        </w:tc>
        <w:tc>
          <w:tcPr>
            <w:tcW w:w="1092" w:type="dxa"/>
            <w:tcBorders>
              <w:tl2br w:val="nil"/>
              <w:tr2bl w:val="nil"/>
            </w:tcBorders>
            <w:vAlign w:val="center"/>
          </w:tcPr>
          <w:p w14:paraId="006A800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7664-41-7</w:t>
            </w:r>
          </w:p>
        </w:tc>
        <w:tc>
          <w:tcPr>
            <w:tcW w:w="684" w:type="dxa"/>
            <w:tcBorders>
              <w:tl2br w:val="nil"/>
              <w:tr2bl w:val="nil"/>
            </w:tcBorders>
            <w:vAlign w:val="center"/>
          </w:tcPr>
          <w:p w14:paraId="37115F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液态</w:t>
            </w:r>
          </w:p>
        </w:tc>
        <w:tc>
          <w:tcPr>
            <w:tcW w:w="3237" w:type="dxa"/>
            <w:tcBorders>
              <w:tl2br w:val="nil"/>
              <w:tr2bl w:val="nil"/>
            </w:tcBorders>
            <w:vAlign w:val="center"/>
          </w:tcPr>
          <w:p w14:paraId="6D697E1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易燃气体，类别</w:t>
            </w:r>
            <w:r>
              <w:rPr>
                <w:rFonts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en-US" w:eastAsia="zh-CN" w:bidi="ar-SA"/>
              </w:rPr>
              <w:t>；急性毒性吸入，类别</w:t>
            </w:r>
            <w:r>
              <w:rPr>
                <w:rFonts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；危害水生环境</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急性毒性，类别</w:t>
            </w:r>
            <w:r>
              <w:rPr>
                <w:rFonts w:ascii="Times New Roman" w:hAnsi="Times New Roman" w:eastAsia="宋体" w:cs="Times New Roman"/>
                <w:kern w:val="2"/>
                <w:sz w:val="21"/>
                <w:szCs w:val="24"/>
                <w:lang w:val="en-US" w:eastAsia="zh-CN" w:bidi="ar-SA"/>
              </w:rPr>
              <w:t>1</w:t>
            </w:r>
          </w:p>
        </w:tc>
        <w:tc>
          <w:tcPr>
            <w:tcW w:w="869" w:type="dxa"/>
            <w:tcBorders>
              <w:tl2br w:val="nil"/>
              <w:tr2bl w:val="nil"/>
            </w:tcBorders>
            <w:vAlign w:val="center"/>
          </w:tcPr>
          <w:p w14:paraId="7AC81E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有毒有害、易燃</w:t>
            </w:r>
          </w:p>
        </w:tc>
        <w:tc>
          <w:tcPr>
            <w:tcW w:w="1816" w:type="dxa"/>
            <w:tcBorders>
              <w:tl2br w:val="nil"/>
              <w:tr2bl w:val="nil"/>
            </w:tcBorders>
            <w:vAlign w:val="center"/>
          </w:tcPr>
          <w:p w14:paraId="1C32EF2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液氨充装区、氨水生产区、储运单元：液氨储罐4个1000</w:t>
            </w:r>
            <w:r>
              <w:rPr>
                <w:rFonts w:ascii="Times New Roman" w:hAnsi="Times New Roman" w:eastAsia="宋体" w:cs="Times New Roman"/>
                <w:kern w:val="2"/>
                <w:sz w:val="21"/>
                <w:szCs w:val="24"/>
                <w:lang w:val="en-US" w:eastAsia="zh-CN" w:bidi="ar-SA"/>
              </w:rPr>
              <w:t>m</w:t>
            </w:r>
            <w:r>
              <w:rPr>
                <w:rFonts w:ascii="Times New Roman" w:hAnsi="Times New Roman" w:eastAsia="宋体" w:cs="Times New Roman"/>
                <w:kern w:val="2"/>
                <w:sz w:val="21"/>
                <w:szCs w:val="24"/>
                <w:vertAlign w:val="superscript"/>
                <w:lang w:val="en-US" w:eastAsia="zh-CN" w:bidi="ar-SA"/>
              </w:rPr>
              <w:t>3</w:t>
            </w:r>
          </w:p>
        </w:tc>
      </w:tr>
      <w:tr w14:paraId="794F51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9" w:type="dxa"/>
            <w:tcBorders>
              <w:tl2br w:val="nil"/>
              <w:tr2bl w:val="nil"/>
            </w:tcBorders>
            <w:vAlign w:val="center"/>
          </w:tcPr>
          <w:p w14:paraId="3E442D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氨水(浓度</w:t>
            </w:r>
            <w:r>
              <w:rPr>
                <w:rFonts w:ascii="Times New Roman" w:hAnsi="Times New Roman" w:eastAsia="宋体" w:cs="Times New Roman"/>
                <w:kern w:val="2"/>
                <w:sz w:val="21"/>
                <w:szCs w:val="24"/>
                <w:lang w:val="en-US" w:eastAsia="zh-CN" w:bidi="ar-SA"/>
              </w:rPr>
              <w:t>25%</w:t>
            </w:r>
            <w:r>
              <w:rPr>
                <w:rFonts w:hint="eastAsia" w:ascii="Times New Roman" w:hAnsi="Times New Roman" w:eastAsia="宋体" w:cs="Times New Roman"/>
                <w:kern w:val="2"/>
                <w:sz w:val="21"/>
                <w:szCs w:val="24"/>
                <w:lang w:val="en-US" w:eastAsia="zh-CN" w:bidi="ar-SA"/>
              </w:rPr>
              <w:t>)</w:t>
            </w:r>
          </w:p>
        </w:tc>
        <w:tc>
          <w:tcPr>
            <w:tcW w:w="1092" w:type="dxa"/>
            <w:tcBorders>
              <w:tl2br w:val="nil"/>
              <w:tr2bl w:val="nil"/>
            </w:tcBorders>
            <w:vAlign w:val="center"/>
          </w:tcPr>
          <w:p w14:paraId="0E208F5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1336-21-6</w:t>
            </w:r>
          </w:p>
        </w:tc>
        <w:tc>
          <w:tcPr>
            <w:tcW w:w="684" w:type="dxa"/>
            <w:tcBorders>
              <w:tl2br w:val="nil"/>
              <w:tr2bl w:val="nil"/>
            </w:tcBorders>
            <w:vAlign w:val="center"/>
          </w:tcPr>
          <w:p w14:paraId="2D6906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液态</w:t>
            </w:r>
          </w:p>
        </w:tc>
        <w:tc>
          <w:tcPr>
            <w:tcW w:w="3237" w:type="dxa"/>
            <w:tcBorders>
              <w:tl2br w:val="nil"/>
              <w:tr2bl w:val="nil"/>
            </w:tcBorders>
            <w:vAlign w:val="center"/>
          </w:tcPr>
          <w:p w14:paraId="08ED5B5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皮肤腐蚀</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刺激，类别</w:t>
            </w:r>
            <w:r>
              <w:rPr>
                <w:rFonts w:ascii="Times New Roman" w:hAnsi="Times New Roman" w:eastAsia="宋体" w:cs="Times New Roman"/>
                <w:kern w:val="2"/>
                <w:sz w:val="21"/>
                <w:szCs w:val="24"/>
                <w:lang w:val="en-US" w:eastAsia="zh-CN" w:bidi="ar-SA"/>
              </w:rPr>
              <w:t>1B</w:t>
            </w:r>
            <w:r>
              <w:rPr>
                <w:rFonts w:hint="eastAsia" w:ascii="Times New Roman" w:hAnsi="Times New Roman" w:eastAsia="宋体" w:cs="Times New Roman"/>
                <w:kern w:val="2"/>
                <w:sz w:val="21"/>
                <w:szCs w:val="24"/>
                <w:lang w:val="en-US" w:eastAsia="zh-CN" w:bidi="ar-SA"/>
              </w:rPr>
              <w:t>；眼损伤</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眼刺激，类别</w:t>
            </w:r>
            <w:r>
              <w:rPr>
                <w:rFonts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；特定目标器官毒性</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单次接触：呼吸道刺激，类别</w:t>
            </w:r>
            <w:r>
              <w:rPr>
                <w:rFonts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；危害水生环境</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急性毒性，类别</w:t>
            </w:r>
            <w:r>
              <w:rPr>
                <w:rFonts w:ascii="Times New Roman" w:hAnsi="Times New Roman" w:eastAsia="宋体" w:cs="Times New Roman"/>
                <w:kern w:val="2"/>
                <w:sz w:val="21"/>
                <w:szCs w:val="24"/>
                <w:lang w:val="en-US" w:eastAsia="zh-CN" w:bidi="ar-SA"/>
              </w:rPr>
              <w:t>1</w:t>
            </w:r>
          </w:p>
        </w:tc>
        <w:tc>
          <w:tcPr>
            <w:tcW w:w="869" w:type="dxa"/>
            <w:tcBorders>
              <w:tl2br w:val="nil"/>
              <w:tr2bl w:val="nil"/>
            </w:tcBorders>
            <w:vAlign w:val="center"/>
          </w:tcPr>
          <w:p w14:paraId="55B19A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有毒有害</w:t>
            </w:r>
          </w:p>
        </w:tc>
        <w:tc>
          <w:tcPr>
            <w:tcW w:w="1816" w:type="dxa"/>
            <w:tcBorders>
              <w:tl2br w:val="nil"/>
              <w:tr2bl w:val="nil"/>
            </w:tcBorders>
            <w:vAlign w:val="center"/>
          </w:tcPr>
          <w:p w14:paraId="2C2A6B6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生产单元：氨水中间罐</w:t>
            </w:r>
            <w:r>
              <w:rPr>
                <w:rFonts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个10</w:t>
            </w:r>
            <w:r>
              <w:rPr>
                <w:rFonts w:ascii="Times New Roman" w:hAnsi="Times New Roman" w:eastAsia="宋体" w:cs="Times New Roman"/>
                <w:kern w:val="2"/>
                <w:sz w:val="21"/>
                <w:szCs w:val="24"/>
                <w:lang w:val="en-US" w:eastAsia="zh-CN" w:bidi="ar-SA"/>
              </w:rPr>
              <w:t>0m</w:t>
            </w:r>
            <w:r>
              <w:rPr>
                <w:rFonts w:ascii="Times New Roman" w:hAnsi="Times New Roman" w:eastAsia="宋体" w:cs="Times New Roman"/>
                <w:kern w:val="2"/>
                <w:sz w:val="21"/>
                <w:szCs w:val="24"/>
                <w:vertAlign w:val="superscript"/>
                <w:lang w:val="en-US" w:eastAsia="zh-CN" w:bidi="ar-SA"/>
              </w:rPr>
              <w:t>3</w:t>
            </w:r>
            <w:r>
              <w:rPr>
                <w:rFonts w:hint="eastAsia" w:ascii="Times New Roman" w:hAnsi="Times New Roman" w:eastAsia="宋体" w:cs="Times New Roman"/>
                <w:kern w:val="2"/>
                <w:sz w:val="21"/>
                <w:szCs w:val="24"/>
                <w:lang w:val="en-US" w:eastAsia="zh-CN" w:bidi="ar-SA"/>
              </w:rPr>
              <w:t>；储运单元：氨水储罐8个50</w:t>
            </w:r>
            <w:r>
              <w:rPr>
                <w:rFonts w:ascii="Times New Roman" w:hAnsi="Times New Roman" w:eastAsia="宋体" w:cs="Times New Roman"/>
                <w:kern w:val="2"/>
                <w:sz w:val="21"/>
                <w:szCs w:val="24"/>
                <w:lang w:val="en-US" w:eastAsia="zh-CN" w:bidi="ar-SA"/>
              </w:rPr>
              <w:t>0m</w:t>
            </w:r>
            <w:r>
              <w:rPr>
                <w:rFonts w:ascii="Times New Roman" w:hAnsi="Times New Roman" w:eastAsia="宋体" w:cs="Times New Roman"/>
                <w:kern w:val="2"/>
                <w:sz w:val="21"/>
                <w:szCs w:val="24"/>
                <w:vertAlign w:val="superscript"/>
                <w:lang w:val="en-US" w:eastAsia="zh-CN" w:bidi="ar-SA"/>
              </w:rPr>
              <w:t>3</w:t>
            </w:r>
          </w:p>
        </w:tc>
      </w:tr>
    </w:tbl>
    <w:p w14:paraId="525D79BB">
      <w:pPr>
        <w:autoSpaceDE w:val="0"/>
        <w:autoSpaceDN w:val="0"/>
        <w:adjustRightInd w:val="0"/>
        <w:snapToGrid w:val="0"/>
        <w:spacing w:line="240" w:lineRule="auto"/>
        <w:jc w:val="both"/>
        <w:textAlignment w:val="baseline"/>
        <w:rPr>
          <w:b/>
          <w:kern w:val="24"/>
          <w:szCs w:val="20"/>
        </w:rPr>
      </w:pPr>
    </w:p>
    <w:p w14:paraId="0EC87B71">
      <w:pPr>
        <w:pStyle w:val="3"/>
        <w:bidi w:val="0"/>
      </w:pPr>
      <w:r>
        <w:rPr>
          <w:rFonts w:hint="eastAsia"/>
          <w:lang w:eastAsia="zh-CN"/>
        </w:rPr>
        <w:t>4</w:t>
      </w:r>
      <w:r>
        <w:rPr>
          <w:rFonts w:hint="eastAsia"/>
        </w:rPr>
        <w:t>.2生产系统危险性识别</w:t>
      </w:r>
    </w:p>
    <w:p w14:paraId="00420D76">
      <w:pPr>
        <w:adjustRightInd w:val="0"/>
        <w:snapToGrid w:val="0"/>
        <w:ind w:firstLine="480" w:firstLineChars="200"/>
        <w:rPr>
          <w:rFonts w:hint="eastAsia"/>
        </w:rPr>
      </w:pPr>
      <w:r>
        <w:rPr>
          <w:rFonts w:hint="eastAsia"/>
        </w:rPr>
        <w:t>项目生产系统可根据其功能划分为生产单元、储运单元两个单元，每个单元设备及危险性见下表。</w:t>
      </w:r>
    </w:p>
    <w:p w14:paraId="7F9A8CB7">
      <w:pPr>
        <w:pStyle w:val="15"/>
        <w:bidi w:val="0"/>
        <w:rPr>
          <w:rFonts w:hint="eastAsia"/>
        </w:rPr>
      </w:pPr>
      <w:r>
        <w:rPr>
          <w:rFonts w:hint="eastAsia"/>
        </w:rPr>
        <w:t>表4-</w:t>
      </w:r>
      <w:r>
        <w:rPr>
          <w:rFonts w:hint="eastAsia"/>
          <w:lang w:val="en-US" w:eastAsia="zh-CN"/>
        </w:rPr>
        <w:t>5</w:t>
      </w:r>
      <w:r>
        <w:rPr>
          <w:rFonts w:hint="eastAsia"/>
        </w:rPr>
        <w:t xml:space="preserve"> 项目生产系统危险性识别一览表</w:t>
      </w:r>
    </w:p>
    <w:tbl>
      <w:tblPr>
        <w:tblStyle w:val="11"/>
        <w:tblW w:w="885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638"/>
        <w:gridCol w:w="538"/>
        <w:gridCol w:w="1185"/>
        <w:gridCol w:w="2161"/>
        <w:gridCol w:w="540"/>
        <w:gridCol w:w="540"/>
        <w:gridCol w:w="538"/>
        <w:gridCol w:w="808"/>
        <w:gridCol w:w="931"/>
        <w:gridCol w:w="971"/>
      </w:tblGrid>
      <w:tr w14:paraId="20FCE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638" w:type="dxa"/>
            <w:vMerge w:val="restart"/>
            <w:tcBorders>
              <w:tl2br w:val="nil"/>
              <w:tr2bl w:val="nil"/>
            </w:tcBorders>
            <w:vAlign w:val="center"/>
          </w:tcPr>
          <w:p w14:paraId="28AA9A6B">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单元</w:t>
            </w:r>
          </w:p>
        </w:tc>
        <w:tc>
          <w:tcPr>
            <w:tcW w:w="7241" w:type="dxa"/>
            <w:gridSpan w:val="8"/>
            <w:tcBorders>
              <w:tl2br w:val="nil"/>
              <w:tr2bl w:val="nil"/>
            </w:tcBorders>
            <w:vAlign w:val="center"/>
          </w:tcPr>
          <w:p w14:paraId="0CF79A84">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设备参数</w:t>
            </w:r>
          </w:p>
        </w:tc>
        <w:tc>
          <w:tcPr>
            <w:tcW w:w="971" w:type="dxa"/>
            <w:vMerge w:val="restart"/>
            <w:tcBorders>
              <w:tl2br w:val="nil"/>
              <w:tr2bl w:val="nil"/>
            </w:tcBorders>
            <w:vAlign w:val="center"/>
          </w:tcPr>
          <w:p w14:paraId="6E6955EE">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危险性分类</w:t>
            </w:r>
          </w:p>
        </w:tc>
      </w:tr>
      <w:tr w14:paraId="533840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continue"/>
            <w:tcBorders>
              <w:tl2br w:val="nil"/>
              <w:tr2bl w:val="nil"/>
            </w:tcBorders>
            <w:vAlign w:val="center"/>
          </w:tcPr>
          <w:p w14:paraId="3CF9831A">
            <w:pPr>
              <w:widowControl w:val="0"/>
              <w:bidi w:val="0"/>
              <w:adjustRightInd w:val="0"/>
              <w:snapToGrid w:val="0"/>
              <w:spacing w:line="240" w:lineRule="auto"/>
              <w:jc w:val="center"/>
              <w:rPr>
                <w:rFonts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c>
          <w:tcPr>
            <w:tcW w:w="1723" w:type="dxa"/>
            <w:gridSpan w:val="2"/>
            <w:tcBorders>
              <w:tl2br w:val="nil"/>
              <w:tr2bl w:val="nil"/>
            </w:tcBorders>
            <w:vAlign w:val="center"/>
          </w:tcPr>
          <w:p w14:paraId="0E424CD8">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装置名称</w:t>
            </w:r>
          </w:p>
        </w:tc>
        <w:tc>
          <w:tcPr>
            <w:tcW w:w="2161" w:type="dxa"/>
            <w:tcBorders>
              <w:tl2br w:val="nil"/>
              <w:tr2bl w:val="nil"/>
            </w:tcBorders>
            <w:vAlign w:val="center"/>
          </w:tcPr>
          <w:p w14:paraId="2B69B111">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规格型号</w:t>
            </w:r>
          </w:p>
        </w:tc>
        <w:tc>
          <w:tcPr>
            <w:tcW w:w="540" w:type="dxa"/>
            <w:tcBorders>
              <w:tl2br w:val="nil"/>
              <w:tr2bl w:val="nil"/>
            </w:tcBorders>
            <w:vAlign w:val="center"/>
          </w:tcPr>
          <w:p w14:paraId="32FB5199">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数量</w:t>
            </w:r>
          </w:p>
        </w:tc>
        <w:tc>
          <w:tcPr>
            <w:tcW w:w="540" w:type="dxa"/>
            <w:tcBorders>
              <w:tl2br w:val="nil"/>
              <w:tr2bl w:val="nil"/>
            </w:tcBorders>
            <w:vAlign w:val="center"/>
          </w:tcPr>
          <w:p w14:paraId="65582C74">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介质</w:t>
            </w:r>
          </w:p>
        </w:tc>
        <w:tc>
          <w:tcPr>
            <w:tcW w:w="538" w:type="dxa"/>
            <w:tcBorders>
              <w:tl2br w:val="nil"/>
              <w:tr2bl w:val="nil"/>
            </w:tcBorders>
            <w:vAlign w:val="center"/>
          </w:tcPr>
          <w:p w14:paraId="36FC0C4D">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相态</w:t>
            </w:r>
          </w:p>
        </w:tc>
        <w:tc>
          <w:tcPr>
            <w:tcW w:w="808" w:type="dxa"/>
            <w:tcBorders>
              <w:tl2br w:val="nil"/>
              <w:tr2bl w:val="nil"/>
            </w:tcBorders>
            <w:vAlign w:val="center"/>
          </w:tcPr>
          <w:p w14:paraId="6866313C">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操作温度℃</w:t>
            </w:r>
          </w:p>
        </w:tc>
        <w:tc>
          <w:tcPr>
            <w:tcW w:w="931" w:type="dxa"/>
            <w:tcBorders>
              <w:tl2br w:val="nil"/>
              <w:tr2bl w:val="nil"/>
            </w:tcBorders>
            <w:vAlign w:val="center"/>
          </w:tcPr>
          <w:p w14:paraId="68EE7AA5">
            <w:pPr>
              <w:widowControl w:val="0"/>
              <w:bidi w:val="0"/>
              <w:adjustRightInd w:val="0"/>
              <w:snapToGrid w:val="0"/>
              <w:spacing w:line="240" w:lineRule="auto"/>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压力</w:t>
            </w:r>
          </w:p>
        </w:tc>
        <w:tc>
          <w:tcPr>
            <w:tcW w:w="971" w:type="dxa"/>
            <w:vMerge w:val="continue"/>
            <w:tcBorders>
              <w:tl2br w:val="nil"/>
              <w:tr2bl w:val="nil"/>
            </w:tcBorders>
            <w:vAlign w:val="center"/>
          </w:tcPr>
          <w:p w14:paraId="003D0B0E">
            <w:pPr>
              <w:widowControl w:val="0"/>
              <w:bidi w:val="0"/>
              <w:adjustRightInd w:val="0"/>
              <w:snapToGrid w:val="0"/>
              <w:spacing w:line="240" w:lineRule="auto"/>
              <w:jc w:val="center"/>
              <w:rPr>
                <w:rFonts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p>
        </w:tc>
      </w:tr>
      <w:tr w14:paraId="18A598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restart"/>
            <w:tcBorders>
              <w:tl2br w:val="nil"/>
              <w:tr2bl w:val="nil"/>
            </w:tcBorders>
            <w:vAlign w:val="center"/>
          </w:tcPr>
          <w:p w14:paraId="1C4B866A">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生产单元</w:t>
            </w:r>
          </w:p>
        </w:tc>
        <w:tc>
          <w:tcPr>
            <w:tcW w:w="538" w:type="dxa"/>
            <w:vMerge w:val="restart"/>
            <w:tcBorders>
              <w:tl2br w:val="nil"/>
              <w:tr2bl w:val="nil"/>
            </w:tcBorders>
            <w:shd w:val="clear" w:color="auto" w:fill="auto"/>
            <w:vAlign w:val="center"/>
          </w:tcPr>
          <w:p w14:paraId="6904C90E">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氨水生产区</w:t>
            </w:r>
          </w:p>
        </w:tc>
        <w:tc>
          <w:tcPr>
            <w:tcW w:w="1185" w:type="dxa"/>
            <w:tcBorders>
              <w:tl2br w:val="nil"/>
              <w:tr2bl w:val="nil"/>
            </w:tcBorders>
            <w:shd w:val="clear" w:color="auto" w:fill="auto"/>
            <w:vAlign w:val="center"/>
          </w:tcPr>
          <w:p w14:paraId="59CB8D42">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吸氨器</w:t>
            </w:r>
          </w:p>
        </w:tc>
        <w:tc>
          <w:tcPr>
            <w:tcW w:w="2161" w:type="dxa"/>
            <w:tcBorders>
              <w:tl2br w:val="nil"/>
              <w:tr2bl w:val="nil"/>
            </w:tcBorders>
            <w:shd w:val="clear" w:color="auto" w:fill="auto"/>
            <w:vAlign w:val="center"/>
          </w:tcPr>
          <w:p w14:paraId="484082C6">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8t/h</w:t>
            </w:r>
          </w:p>
        </w:tc>
        <w:tc>
          <w:tcPr>
            <w:tcW w:w="540" w:type="dxa"/>
            <w:tcBorders>
              <w:tl2br w:val="nil"/>
              <w:tr2bl w:val="nil"/>
            </w:tcBorders>
            <w:shd w:val="clear" w:color="auto" w:fill="auto"/>
            <w:vAlign w:val="center"/>
          </w:tcPr>
          <w:p w14:paraId="7987CEF0">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个</w:t>
            </w:r>
          </w:p>
        </w:tc>
        <w:tc>
          <w:tcPr>
            <w:tcW w:w="540" w:type="dxa"/>
            <w:tcBorders>
              <w:tl2br w:val="nil"/>
              <w:tr2bl w:val="nil"/>
            </w:tcBorders>
            <w:shd w:val="clear" w:color="auto" w:fill="auto"/>
            <w:vAlign w:val="center"/>
          </w:tcPr>
          <w:p w14:paraId="684E31F4">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氨水</w:t>
            </w:r>
          </w:p>
        </w:tc>
        <w:tc>
          <w:tcPr>
            <w:tcW w:w="538" w:type="dxa"/>
            <w:tcBorders>
              <w:tl2br w:val="nil"/>
              <w:tr2bl w:val="nil"/>
            </w:tcBorders>
            <w:shd w:val="clear" w:color="auto" w:fill="auto"/>
            <w:vAlign w:val="center"/>
          </w:tcPr>
          <w:p w14:paraId="46EF369A">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液态</w:t>
            </w:r>
          </w:p>
        </w:tc>
        <w:tc>
          <w:tcPr>
            <w:tcW w:w="808" w:type="dxa"/>
            <w:tcBorders>
              <w:tl2br w:val="nil"/>
              <w:tr2bl w:val="nil"/>
            </w:tcBorders>
            <w:shd w:val="clear" w:color="auto" w:fill="auto"/>
            <w:vAlign w:val="center"/>
          </w:tcPr>
          <w:p w14:paraId="6FBBC074">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31" w:type="dxa"/>
            <w:tcBorders>
              <w:tl2br w:val="nil"/>
              <w:tr2bl w:val="nil"/>
            </w:tcBorders>
            <w:shd w:val="clear" w:color="auto" w:fill="auto"/>
            <w:vAlign w:val="center"/>
          </w:tcPr>
          <w:p w14:paraId="6358A646">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71" w:type="dxa"/>
            <w:tcBorders>
              <w:tl2br w:val="nil"/>
              <w:tr2bl w:val="nil"/>
            </w:tcBorders>
            <w:shd w:val="clear" w:color="auto" w:fill="auto"/>
            <w:vAlign w:val="center"/>
          </w:tcPr>
          <w:p w14:paraId="7CF94A59">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有毒有害</w:t>
            </w:r>
          </w:p>
        </w:tc>
      </w:tr>
      <w:tr w14:paraId="614CED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continue"/>
            <w:tcBorders>
              <w:tl2br w:val="nil"/>
              <w:tr2bl w:val="nil"/>
            </w:tcBorders>
            <w:vAlign w:val="center"/>
          </w:tcPr>
          <w:p w14:paraId="67C75AB4">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38" w:type="dxa"/>
            <w:vMerge w:val="continue"/>
            <w:tcBorders>
              <w:tl2br w:val="nil"/>
              <w:tr2bl w:val="nil"/>
            </w:tcBorders>
            <w:vAlign w:val="center"/>
          </w:tcPr>
          <w:p w14:paraId="7E691EA4">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1185" w:type="dxa"/>
            <w:tcBorders>
              <w:tl2br w:val="nil"/>
              <w:tr2bl w:val="nil"/>
            </w:tcBorders>
            <w:vAlign w:val="center"/>
          </w:tcPr>
          <w:p w14:paraId="38806E18">
            <w:pPr>
              <w:adjustRightInd w:val="0"/>
              <w:snapToGrid w:val="0"/>
              <w:spacing w:line="240" w:lineRule="auto"/>
              <w:jc w:val="center"/>
              <w:rPr>
                <w:rFonts w:hint="eastAsia" w:cs="Times New Roman"/>
                <w:bCs/>
                <w:color w:val="000000" w:themeColor="text1"/>
                <w:sz w:val="21"/>
                <w:szCs w:val="21"/>
                <w:highlight w:val="none"/>
                <w:vertAlign w:val="baseline"/>
                <w:lang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氨水中间罐</w:t>
            </w:r>
          </w:p>
        </w:tc>
        <w:tc>
          <w:tcPr>
            <w:tcW w:w="2161" w:type="dxa"/>
            <w:tcBorders>
              <w:tl2br w:val="nil"/>
              <w:tr2bl w:val="nil"/>
            </w:tcBorders>
            <w:vAlign w:val="center"/>
          </w:tcPr>
          <w:p w14:paraId="62F7FCF7">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100m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540" w:type="dxa"/>
            <w:tcBorders>
              <w:tl2br w:val="nil"/>
              <w:tr2bl w:val="nil"/>
            </w:tcBorders>
            <w:vAlign w:val="center"/>
          </w:tcPr>
          <w:p w14:paraId="26DA27CD">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个</w:t>
            </w:r>
          </w:p>
        </w:tc>
        <w:tc>
          <w:tcPr>
            <w:tcW w:w="540" w:type="dxa"/>
            <w:tcBorders>
              <w:tl2br w:val="nil"/>
              <w:tr2bl w:val="nil"/>
            </w:tcBorders>
            <w:vAlign w:val="center"/>
          </w:tcPr>
          <w:p w14:paraId="5ADB4D5B">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氨水</w:t>
            </w:r>
          </w:p>
        </w:tc>
        <w:tc>
          <w:tcPr>
            <w:tcW w:w="538" w:type="dxa"/>
            <w:tcBorders>
              <w:tl2br w:val="nil"/>
              <w:tr2bl w:val="nil"/>
            </w:tcBorders>
            <w:vAlign w:val="center"/>
          </w:tcPr>
          <w:p w14:paraId="2A23504F">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液态</w:t>
            </w:r>
          </w:p>
        </w:tc>
        <w:tc>
          <w:tcPr>
            <w:tcW w:w="808" w:type="dxa"/>
            <w:tcBorders>
              <w:tl2br w:val="nil"/>
              <w:tr2bl w:val="nil"/>
            </w:tcBorders>
            <w:vAlign w:val="center"/>
          </w:tcPr>
          <w:p w14:paraId="27C37C1A">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31" w:type="dxa"/>
            <w:tcBorders>
              <w:tl2br w:val="nil"/>
              <w:tr2bl w:val="nil"/>
            </w:tcBorders>
            <w:vAlign w:val="center"/>
          </w:tcPr>
          <w:p w14:paraId="6E086EDD">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71" w:type="dxa"/>
            <w:tcBorders>
              <w:tl2br w:val="nil"/>
              <w:tr2bl w:val="nil"/>
            </w:tcBorders>
            <w:vAlign w:val="center"/>
          </w:tcPr>
          <w:p w14:paraId="48964534">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有毒有害</w:t>
            </w:r>
          </w:p>
        </w:tc>
      </w:tr>
      <w:tr w14:paraId="01CC15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continue"/>
            <w:tcBorders>
              <w:tl2br w:val="nil"/>
              <w:tr2bl w:val="nil"/>
            </w:tcBorders>
            <w:vAlign w:val="center"/>
          </w:tcPr>
          <w:p w14:paraId="3BEE58A6">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38" w:type="dxa"/>
            <w:vMerge w:val="continue"/>
            <w:tcBorders>
              <w:tl2br w:val="nil"/>
              <w:tr2bl w:val="nil"/>
            </w:tcBorders>
            <w:vAlign w:val="center"/>
          </w:tcPr>
          <w:p w14:paraId="61AE67B4">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1185" w:type="dxa"/>
            <w:tcBorders>
              <w:tl2br w:val="nil"/>
              <w:tr2bl w:val="nil"/>
            </w:tcBorders>
            <w:vAlign w:val="center"/>
          </w:tcPr>
          <w:p w14:paraId="6D7D3228">
            <w:pPr>
              <w:adjustRightInd w:val="0"/>
              <w:snapToGrid w:val="0"/>
              <w:spacing w:line="240" w:lineRule="auto"/>
              <w:jc w:val="center"/>
              <w:rPr>
                <w:rFonts w:hint="eastAsia"/>
                <w:color w:val="000000" w:themeColor="text1"/>
                <w:lang w:val="en-US"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氨水输送泵</w:t>
            </w:r>
          </w:p>
        </w:tc>
        <w:tc>
          <w:tcPr>
            <w:tcW w:w="2161" w:type="dxa"/>
            <w:tcBorders>
              <w:tl2br w:val="nil"/>
              <w:tr2bl w:val="nil"/>
            </w:tcBorders>
            <w:vAlign w:val="center"/>
          </w:tcPr>
          <w:p w14:paraId="1B68CDFB">
            <w:pPr>
              <w:adjustRightInd w:val="0"/>
              <w:snapToGrid w:val="0"/>
              <w:spacing w:line="240" w:lineRule="auto"/>
              <w:jc w:val="center"/>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流量</w:t>
            </w:r>
            <w:r>
              <w:rPr>
                <w:rFonts w:hint="eastAsia" w:cs="Times New Roman"/>
                <w:bCs/>
                <w:color w:val="000000" w:themeColor="text1"/>
                <w:sz w:val="21"/>
                <w:szCs w:val="21"/>
                <w:vertAlign w:val="baseline"/>
                <w:lang w:val="en-US" w:eastAsia="zh-CN"/>
                <w14:textFill>
                  <w14:solidFill>
                    <w14:schemeClr w14:val="tx1"/>
                  </w14:solidFill>
                </w14:textFill>
              </w:rPr>
              <w:t>50</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/h</w:t>
            </w:r>
          </w:p>
        </w:tc>
        <w:tc>
          <w:tcPr>
            <w:tcW w:w="540" w:type="dxa"/>
            <w:tcBorders>
              <w:tl2br w:val="nil"/>
              <w:tr2bl w:val="nil"/>
            </w:tcBorders>
            <w:vAlign w:val="center"/>
          </w:tcPr>
          <w:p w14:paraId="21F732DE">
            <w:pPr>
              <w:widowControl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2台</w:t>
            </w:r>
          </w:p>
        </w:tc>
        <w:tc>
          <w:tcPr>
            <w:tcW w:w="540" w:type="dxa"/>
            <w:tcBorders>
              <w:tl2br w:val="nil"/>
              <w:tr2bl w:val="nil"/>
            </w:tcBorders>
            <w:vAlign w:val="center"/>
          </w:tcPr>
          <w:p w14:paraId="46AB7B1B">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氨水</w:t>
            </w:r>
          </w:p>
        </w:tc>
        <w:tc>
          <w:tcPr>
            <w:tcW w:w="538" w:type="dxa"/>
            <w:tcBorders>
              <w:tl2br w:val="nil"/>
              <w:tr2bl w:val="nil"/>
            </w:tcBorders>
            <w:vAlign w:val="center"/>
          </w:tcPr>
          <w:p w14:paraId="0789C8EB">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液态</w:t>
            </w:r>
          </w:p>
        </w:tc>
        <w:tc>
          <w:tcPr>
            <w:tcW w:w="808" w:type="dxa"/>
            <w:tcBorders>
              <w:tl2br w:val="nil"/>
              <w:tr2bl w:val="nil"/>
            </w:tcBorders>
            <w:vAlign w:val="center"/>
          </w:tcPr>
          <w:p w14:paraId="2AEAB29B">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31" w:type="dxa"/>
            <w:tcBorders>
              <w:tl2br w:val="nil"/>
              <w:tr2bl w:val="nil"/>
            </w:tcBorders>
            <w:vAlign w:val="center"/>
          </w:tcPr>
          <w:p w14:paraId="3B1743C9">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71" w:type="dxa"/>
            <w:tcBorders>
              <w:tl2br w:val="nil"/>
              <w:tr2bl w:val="nil"/>
            </w:tcBorders>
            <w:vAlign w:val="center"/>
          </w:tcPr>
          <w:p w14:paraId="75F5891E">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有毒有害</w:t>
            </w:r>
          </w:p>
        </w:tc>
      </w:tr>
      <w:tr w14:paraId="2C6AE9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continue"/>
            <w:tcBorders>
              <w:tl2br w:val="nil"/>
              <w:tr2bl w:val="nil"/>
            </w:tcBorders>
            <w:vAlign w:val="center"/>
          </w:tcPr>
          <w:p w14:paraId="342CF289">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538" w:type="dxa"/>
            <w:tcBorders>
              <w:tl2br w:val="nil"/>
              <w:tr2bl w:val="nil"/>
            </w:tcBorders>
            <w:vAlign w:val="center"/>
          </w:tcPr>
          <w:p w14:paraId="5B510561">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液氨充装区</w:t>
            </w:r>
          </w:p>
        </w:tc>
        <w:tc>
          <w:tcPr>
            <w:tcW w:w="1185" w:type="dxa"/>
            <w:tcBorders>
              <w:tl2br w:val="nil"/>
              <w:tr2bl w:val="nil"/>
            </w:tcBorders>
            <w:vAlign w:val="center"/>
          </w:tcPr>
          <w:p w14:paraId="529B5DBA">
            <w:pPr>
              <w:adjustRightInd w:val="0"/>
              <w:snapToGrid w:val="0"/>
              <w:spacing w:line="240" w:lineRule="auto"/>
              <w:jc w:val="center"/>
              <w:rPr>
                <w:rFonts w:hint="eastAsia" w:cs="Times New Roman"/>
                <w:bCs/>
                <w:color w:val="000000" w:themeColor="text1"/>
                <w:sz w:val="21"/>
                <w:szCs w:val="21"/>
                <w:highlight w:val="none"/>
                <w:vertAlign w:val="baseline"/>
                <w:lang w:eastAsia="zh-CN"/>
                <w14:textFill>
                  <w14:solidFill>
                    <w14:schemeClr w14:val="tx1"/>
                  </w14:solidFill>
                </w14:textFill>
              </w:rPr>
            </w:pPr>
            <w:r>
              <w:rPr>
                <w:rFonts w:hint="eastAsia" w:cs="Times New Roman"/>
                <w:bCs/>
                <w:color w:val="000000" w:themeColor="text1"/>
                <w:sz w:val="21"/>
                <w:szCs w:val="21"/>
                <w:highlight w:val="none"/>
                <w:vertAlign w:val="baseline"/>
                <w:lang w:eastAsia="zh-CN"/>
                <w14:textFill>
                  <w14:solidFill>
                    <w14:schemeClr w14:val="tx1"/>
                  </w14:solidFill>
                </w14:textFill>
              </w:rPr>
              <w:t>氨钢瓶充装秤</w:t>
            </w:r>
          </w:p>
        </w:tc>
        <w:tc>
          <w:tcPr>
            <w:tcW w:w="2161" w:type="dxa"/>
            <w:tcBorders>
              <w:tl2br w:val="nil"/>
              <w:tr2bl w:val="nil"/>
            </w:tcBorders>
            <w:vAlign w:val="center"/>
          </w:tcPr>
          <w:p w14:paraId="5F049A42">
            <w:pPr>
              <w:adjustRightInd w:val="0"/>
              <w:snapToGrid w:val="0"/>
              <w:spacing w:line="240" w:lineRule="auto"/>
              <w:jc w:val="cente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最大充装400kg</w:t>
            </w:r>
          </w:p>
        </w:tc>
        <w:tc>
          <w:tcPr>
            <w:tcW w:w="540" w:type="dxa"/>
            <w:tcBorders>
              <w:tl2br w:val="nil"/>
              <w:tr2bl w:val="nil"/>
            </w:tcBorders>
            <w:vAlign w:val="center"/>
          </w:tcPr>
          <w:p w14:paraId="3763D1BE">
            <w:pPr>
              <w:widowControl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6套</w:t>
            </w:r>
          </w:p>
        </w:tc>
        <w:tc>
          <w:tcPr>
            <w:tcW w:w="540" w:type="dxa"/>
            <w:tcBorders>
              <w:tl2br w:val="nil"/>
              <w:tr2bl w:val="nil"/>
            </w:tcBorders>
            <w:vAlign w:val="center"/>
          </w:tcPr>
          <w:p w14:paraId="341D194E">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液氨</w:t>
            </w:r>
          </w:p>
        </w:tc>
        <w:tc>
          <w:tcPr>
            <w:tcW w:w="538" w:type="dxa"/>
            <w:tcBorders>
              <w:tl2br w:val="nil"/>
              <w:tr2bl w:val="nil"/>
            </w:tcBorders>
            <w:vAlign w:val="center"/>
          </w:tcPr>
          <w:p w14:paraId="1C00CB66">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液态</w:t>
            </w:r>
          </w:p>
        </w:tc>
        <w:tc>
          <w:tcPr>
            <w:tcW w:w="808" w:type="dxa"/>
            <w:tcBorders>
              <w:tl2br w:val="nil"/>
              <w:tr2bl w:val="nil"/>
            </w:tcBorders>
            <w:vAlign w:val="center"/>
          </w:tcPr>
          <w:p w14:paraId="015E76B0">
            <w:pPr>
              <w:widowControl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31" w:type="dxa"/>
            <w:tcBorders>
              <w:tl2br w:val="nil"/>
              <w:tr2bl w:val="nil"/>
            </w:tcBorders>
            <w:vAlign w:val="center"/>
          </w:tcPr>
          <w:p w14:paraId="353D656A">
            <w:pPr>
              <w:widowControl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971" w:type="dxa"/>
            <w:tcBorders>
              <w:tl2br w:val="nil"/>
              <w:tr2bl w:val="nil"/>
            </w:tcBorders>
            <w:vAlign w:val="center"/>
          </w:tcPr>
          <w:p w14:paraId="3A2FA3A4">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有毒有害、易燃</w:t>
            </w:r>
          </w:p>
        </w:tc>
      </w:tr>
      <w:tr w14:paraId="7112D2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restart"/>
            <w:tcBorders>
              <w:tl2br w:val="nil"/>
              <w:tr2bl w:val="nil"/>
            </w:tcBorders>
            <w:vAlign w:val="center"/>
          </w:tcPr>
          <w:p w14:paraId="1E043127">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储运单元</w:t>
            </w:r>
          </w:p>
        </w:tc>
        <w:tc>
          <w:tcPr>
            <w:tcW w:w="1723" w:type="dxa"/>
            <w:gridSpan w:val="2"/>
            <w:tcBorders>
              <w:tl2br w:val="nil"/>
              <w:tr2bl w:val="nil"/>
            </w:tcBorders>
            <w:vAlign w:val="center"/>
          </w:tcPr>
          <w:p w14:paraId="5A4115AA">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液氨球罐</w:t>
            </w:r>
          </w:p>
        </w:tc>
        <w:tc>
          <w:tcPr>
            <w:tcW w:w="2161" w:type="dxa"/>
            <w:tcBorders>
              <w:tl2br w:val="nil"/>
              <w:tr2bl w:val="nil"/>
            </w:tcBorders>
            <w:vAlign w:val="center"/>
          </w:tcPr>
          <w:p w14:paraId="1D3E90FD">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t>D=12.5m，V=1000m</w:t>
            </w:r>
            <w: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t>3</w:t>
            </w:r>
          </w:p>
        </w:tc>
        <w:tc>
          <w:tcPr>
            <w:tcW w:w="540" w:type="dxa"/>
            <w:tcBorders>
              <w:tl2br w:val="nil"/>
              <w:tr2bl w:val="nil"/>
            </w:tcBorders>
            <w:vAlign w:val="center"/>
          </w:tcPr>
          <w:p w14:paraId="432F2D79">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4个</w:t>
            </w:r>
          </w:p>
        </w:tc>
        <w:tc>
          <w:tcPr>
            <w:tcW w:w="540" w:type="dxa"/>
            <w:tcBorders>
              <w:tl2br w:val="nil"/>
              <w:tr2bl w:val="nil"/>
            </w:tcBorders>
            <w:vAlign w:val="center"/>
          </w:tcPr>
          <w:p w14:paraId="06C91535">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液氨</w:t>
            </w:r>
          </w:p>
        </w:tc>
        <w:tc>
          <w:tcPr>
            <w:tcW w:w="538" w:type="dxa"/>
            <w:tcBorders>
              <w:tl2br w:val="nil"/>
              <w:tr2bl w:val="nil"/>
            </w:tcBorders>
            <w:vAlign w:val="center"/>
          </w:tcPr>
          <w:p w14:paraId="415097BC">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液态</w:t>
            </w:r>
          </w:p>
        </w:tc>
        <w:tc>
          <w:tcPr>
            <w:tcW w:w="808" w:type="dxa"/>
            <w:tcBorders>
              <w:tl2br w:val="nil"/>
              <w:tr2bl w:val="nil"/>
            </w:tcBorders>
            <w:vAlign w:val="center"/>
          </w:tcPr>
          <w:p w14:paraId="087F8979">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-19~50</w:t>
            </w:r>
          </w:p>
        </w:tc>
        <w:tc>
          <w:tcPr>
            <w:tcW w:w="931" w:type="dxa"/>
            <w:tcBorders>
              <w:tl2br w:val="nil"/>
              <w:tr2bl w:val="nil"/>
            </w:tcBorders>
            <w:vAlign w:val="center"/>
          </w:tcPr>
          <w:p w14:paraId="71F7F0C0">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1.93MPa</w:t>
            </w:r>
          </w:p>
        </w:tc>
        <w:tc>
          <w:tcPr>
            <w:tcW w:w="971" w:type="dxa"/>
            <w:tcBorders>
              <w:tl2br w:val="nil"/>
              <w:tr2bl w:val="nil"/>
            </w:tcBorders>
            <w:vAlign w:val="center"/>
          </w:tcPr>
          <w:p w14:paraId="5BAF7CB0">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有毒有害、易燃</w:t>
            </w:r>
          </w:p>
        </w:tc>
      </w:tr>
      <w:tr w14:paraId="37413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38" w:type="dxa"/>
            <w:vMerge w:val="continue"/>
            <w:tcBorders>
              <w:tl2br w:val="nil"/>
              <w:tr2bl w:val="nil"/>
            </w:tcBorders>
            <w:vAlign w:val="center"/>
          </w:tcPr>
          <w:p w14:paraId="10B65A7A">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c>
          <w:tcPr>
            <w:tcW w:w="1723" w:type="dxa"/>
            <w:gridSpan w:val="2"/>
            <w:tcBorders>
              <w:tl2br w:val="nil"/>
              <w:tr2bl w:val="nil"/>
            </w:tcBorders>
            <w:vAlign w:val="center"/>
          </w:tcPr>
          <w:p w14:paraId="5B286A9E">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氨水罐</w:t>
            </w:r>
          </w:p>
        </w:tc>
        <w:tc>
          <w:tcPr>
            <w:tcW w:w="2161" w:type="dxa"/>
            <w:tcBorders>
              <w:tl2br w:val="nil"/>
              <w:tr2bl w:val="nil"/>
            </w:tcBorders>
            <w:vAlign w:val="center"/>
          </w:tcPr>
          <w:p w14:paraId="64419CD9">
            <w:pPr>
              <w:widowControl w:val="0"/>
              <w:bidi w:val="0"/>
              <w:adjustRightInd w:val="0"/>
              <w:snapToGrid w:val="0"/>
              <w:spacing w:line="240" w:lineRule="auto"/>
              <w:jc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vertAlign w:val="baseline"/>
                <w:lang w:val="en-US" w:eastAsia="zh-CN" w:bidi="ar-SA"/>
                <w14:textFill>
                  <w14:solidFill>
                    <w14:schemeClr w14:val="tx1"/>
                  </w14:solidFill>
                </w14:textFill>
              </w:rPr>
              <w:t>D=8m，H=10m，V=500m</w:t>
            </w:r>
            <w:r>
              <w:rPr>
                <w:rFonts w:hint="eastAsia" w:ascii="Times New Roman" w:hAnsi="Times New Roman" w:eastAsia="宋体" w:cs="Times New Roman"/>
                <w:bCs/>
                <w:color w:val="000000" w:themeColor="text1"/>
                <w:kern w:val="2"/>
                <w:sz w:val="21"/>
                <w:szCs w:val="21"/>
                <w:vertAlign w:val="superscript"/>
                <w:lang w:val="en-US" w:eastAsia="zh-CN" w:bidi="ar-SA"/>
                <w14:textFill>
                  <w14:solidFill>
                    <w14:schemeClr w14:val="tx1"/>
                  </w14:solidFill>
                </w14:textFill>
              </w:rPr>
              <w:t>3</w:t>
            </w:r>
          </w:p>
        </w:tc>
        <w:tc>
          <w:tcPr>
            <w:tcW w:w="540" w:type="dxa"/>
            <w:tcBorders>
              <w:tl2br w:val="nil"/>
              <w:tr2bl w:val="nil"/>
            </w:tcBorders>
            <w:vAlign w:val="center"/>
          </w:tcPr>
          <w:p w14:paraId="48E3DF2A">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8台</w:t>
            </w:r>
          </w:p>
        </w:tc>
        <w:tc>
          <w:tcPr>
            <w:tcW w:w="540" w:type="dxa"/>
            <w:tcBorders>
              <w:tl2br w:val="nil"/>
              <w:tr2bl w:val="nil"/>
            </w:tcBorders>
            <w:vAlign w:val="center"/>
          </w:tcPr>
          <w:p w14:paraId="17162D35">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氨水</w:t>
            </w:r>
          </w:p>
        </w:tc>
        <w:tc>
          <w:tcPr>
            <w:tcW w:w="538" w:type="dxa"/>
            <w:tcBorders>
              <w:tl2br w:val="nil"/>
              <w:tr2bl w:val="nil"/>
            </w:tcBorders>
            <w:vAlign w:val="center"/>
          </w:tcPr>
          <w:p w14:paraId="3E3268DF">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液态</w:t>
            </w:r>
          </w:p>
        </w:tc>
        <w:tc>
          <w:tcPr>
            <w:tcW w:w="808" w:type="dxa"/>
            <w:tcBorders>
              <w:tl2br w:val="nil"/>
              <w:tr2bl w:val="nil"/>
            </w:tcBorders>
            <w:vAlign w:val="center"/>
          </w:tcPr>
          <w:p w14:paraId="7B4D4989">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常温</w:t>
            </w:r>
          </w:p>
        </w:tc>
        <w:tc>
          <w:tcPr>
            <w:tcW w:w="931" w:type="dxa"/>
            <w:tcBorders>
              <w:tl2br w:val="nil"/>
              <w:tr2bl w:val="nil"/>
            </w:tcBorders>
            <w:vAlign w:val="center"/>
          </w:tcPr>
          <w:p w14:paraId="626776A2">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常压</w:t>
            </w:r>
          </w:p>
        </w:tc>
        <w:tc>
          <w:tcPr>
            <w:tcW w:w="971" w:type="dxa"/>
            <w:tcBorders>
              <w:tl2br w:val="nil"/>
              <w:tr2bl w:val="nil"/>
            </w:tcBorders>
            <w:vAlign w:val="center"/>
          </w:tcPr>
          <w:p w14:paraId="348ADA86">
            <w:pPr>
              <w:widowControl w:val="0"/>
              <w:bidi w:val="0"/>
              <w:adjustRightInd w:val="0"/>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有毒有害</w:t>
            </w:r>
          </w:p>
        </w:tc>
      </w:tr>
    </w:tbl>
    <w:p w14:paraId="30648A37">
      <w:pPr>
        <w:pStyle w:val="15"/>
        <w:bidi w:val="0"/>
        <w:rPr>
          <w:rFonts w:hint="eastAsia"/>
        </w:rPr>
      </w:pPr>
    </w:p>
    <w:p w14:paraId="672D90C1">
      <w:pPr>
        <w:pStyle w:val="3"/>
        <w:bidi w:val="0"/>
      </w:pPr>
      <w:r>
        <w:rPr>
          <w:rFonts w:hint="eastAsia"/>
          <w:lang w:eastAsia="zh-CN"/>
        </w:rPr>
        <w:t>4</w:t>
      </w:r>
      <w:r>
        <w:rPr>
          <w:rFonts w:hint="eastAsia"/>
        </w:rPr>
        <w:t>.3环保设施危险性识别</w:t>
      </w:r>
    </w:p>
    <w:p w14:paraId="4BC6AA4E">
      <w:pPr>
        <w:adjustRightInd w:val="0"/>
        <w:snapToGrid w:val="0"/>
        <w:ind w:firstLine="480" w:firstLineChars="200"/>
      </w:pPr>
      <w:r>
        <w:rPr>
          <w:rFonts w:hint="eastAsia"/>
        </w:rPr>
        <w:t>（1）废气处理设施</w:t>
      </w:r>
    </w:p>
    <w:p w14:paraId="20918396">
      <w:pPr>
        <w:adjustRightInd w:val="0"/>
        <w:snapToGrid w:val="0"/>
        <w:ind w:firstLine="480" w:firstLineChars="200"/>
        <w:rPr>
          <w:rFonts w:hint="eastAsia" w:eastAsia="宋体"/>
          <w:lang w:eastAsia="zh-CN"/>
        </w:rPr>
      </w:pPr>
      <w:r>
        <w:rPr>
          <w:rFonts w:hint="eastAsia"/>
        </w:rPr>
        <w:t>废气治理系统风险主要为废气处理系统因故障不能正常运作，导致储罐大小呼吸废气等工艺废气未经处理而直接向外环境排放</w:t>
      </w:r>
      <w:r>
        <w:rPr>
          <w:rFonts w:hint="eastAsia"/>
          <w:lang w:eastAsia="zh-CN"/>
        </w:rPr>
        <w:t>。</w:t>
      </w:r>
    </w:p>
    <w:p w14:paraId="09B84823">
      <w:pPr>
        <w:pStyle w:val="3"/>
        <w:bidi w:val="0"/>
        <w:rPr>
          <w:rFonts w:hint="eastAsia"/>
        </w:rPr>
      </w:pPr>
      <w:r>
        <w:rPr>
          <w:rFonts w:hint="eastAsia"/>
        </w:rPr>
        <w:t>4.</w:t>
      </w:r>
      <w:r>
        <w:rPr>
          <w:rFonts w:hint="eastAsia"/>
          <w:lang w:val="en-US" w:eastAsia="zh-CN"/>
        </w:rPr>
        <w:t>4</w:t>
      </w:r>
      <w:r>
        <w:rPr>
          <w:rFonts w:hint="eastAsia"/>
        </w:rPr>
        <w:t>危险物质向环境转移途径识别</w:t>
      </w:r>
    </w:p>
    <w:p w14:paraId="30D8E099">
      <w:pPr>
        <w:adjustRightInd w:val="0"/>
        <w:snapToGrid w:val="0"/>
        <w:ind w:firstLine="480" w:firstLineChars="200"/>
        <w:rPr>
          <w:rFonts w:hint="eastAsia"/>
        </w:rPr>
      </w:pPr>
      <w:r>
        <w:rPr>
          <w:rFonts w:hint="eastAsia"/>
        </w:rPr>
        <w:t>环境风险类型包括危险物质泄漏，以及火灾、爆炸等引发的伴生/次生污染物排放。根据本项目物质及生产系统危险性识别结果，本项目危险物质主要为液氨、氨水，液氨属于有毒有害易燃物质，氨水为有毒有害物质。</w:t>
      </w:r>
    </w:p>
    <w:p w14:paraId="0E214032">
      <w:pPr>
        <w:pStyle w:val="4"/>
        <w:bidi w:val="0"/>
        <w:rPr>
          <w:rFonts w:hint="eastAsia"/>
        </w:rPr>
      </w:pPr>
      <w:r>
        <w:rPr>
          <w:rFonts w:hint="eastAsia"/>
        </w:rPr>
        <w:t>4.</w:t>
      </w:r>
      <w:r>
        <w:rPr>
          <w:rFonts w:hint="eastAsia"/>
          <w:lang w:val="en-US" w:eastAsia="zh-CN"/>
        </w:rPr>
        <w:t>4</w:t>
      </w:r>
      <w:r>
        <w:rPr>
          <w:rFonts w:hint="eastAsia"/>
        </w:rPr>
        <w:t>.1危险物质泄漏向环境转移途径识别</w:t>
      </w:r>
    </w:p>
    <w:p w14:paraId="43E535BB">
      <w:pPr>
        <w:adjustRightInd w:val="0"/>
        <w:snapToGrid w:val="0"/>
        <w:ind w:firstLine="480" w:firstLineChars="200"/>
        <w:rPr>
          <w:rFonts w:hint="eastAsia"/>
        </w:rPr>
      </w:pPr>
      <w:r>
        <w:rPr>
          <w:rFonts w:hint="eastAsia"/>
        </w:rPr>
        <w:t>（1）项目物料在储运过程中若发生储罐、管线的缺陷或装卸操作过程中的失误造成泄漏，将会对周围地表水、地下水、大气等环境造成严重影响，可能影响的环境敏感目标为附近河流和居住区。</w:t>
      </w:r>
    </w:p>
    <w:p w14:paraId="08246FC7">
      <w:pPr>
        <w:adjustRightInd w:val="0"/>
        <w:snapToGrid w:val="0"/>
        <w:ind w:firstLine="480" w:firstLineChars="200"/>
        <w:rPr>
          <w:rFonts w:hint="eastAsia"/>
        </w:rPr>
      </w:pPr>
      <w:r>
        <w:rPr>
          <w:rFonts w:hint="eastAsia"/>
        </w:rPr>
        <w:t>（2）在生产中使用原辅料输送管道破裂、原辅料泄漏、生产设备故障事故，导致物料泄漏，将会对周围地表水、地下水、大气等环境造成严重影响，可能影响的环境敏感目标为附近河流和居住区。</w:t>
      </w:r>
    </w:p>
    <w:p w14:paraId="6D2ABB86">
      <w:pPr>
        <w:adjustRightInd w:val="0"/>
        <w:snapToGrid w:val="0"/>
        <w:ind w:firstLine="480" w:firstLineChars="200"/>
        <w:rPr>
          <w:rFonts w:hint="eastAsia"/>
        </w:rPr>
      </w:pPr>
      <w:r>
        <w:rPr>
          <w:rFonts w:hint="eastAsia"/>
        </w:rPr>
        <w:t>（3）除存在上述因储运、生产使用各种危险性化学物质而产生的环境风险外，还存在生产贮存场所和固体废弃物堆积、处置场所等因冲洗或雨淋而造成有害物质泄漏至地面水或地下水而造成的环境灾害。</w:t>
      </w:r>
    </w:p>
    <w:p w14:paraId="66B4F387">
      <w:pPr>
        <w:pStyle w:val="4"/>
        <w:bidi w:val="0"/>
        <w:rPr>
          <w:rFonts w:hint="eastAsia"/>
        </w:rPr>
      </w:pPr>
      <w:r>
        <w:rPr>
          <w:rFonts w:hint="eastAsia"/>
        </w:rPr>
        <w:t>4.</w:t>
      </w:r>
      <w:r>
        <w:rPr>
          <w:rFonts w:hint="eastAsia"/>
          <w:lang w:val="en-US" w:eastAsia="zh-CN"/>
        </w:rPr>
        <w:t>4</w:t>
      </w:r>
      <w:r>
        <w:rPr>
          <w:rFonts w:hint="eastAsia"/>
        </w:rPr>
        <w:t>.2危险物质火灾、爆炸等引发的伴生/次生污染物排放向环境转移途径识别</w:t>
      </w:r>
    </w:p>
    <w:p w14:paraId="3B9496B3">
      <w:pPr>
        <w:adjustRightInd w:val="0"/>
        <w:snapToGrid w:val="0"/>
        <w:ind w:firstLine="480" w:firstLineChars="200"/>
        <w:rPr>
          <w:rFonts w:hint="eastAsia"/>
        </w:rPr>
      </w:pPr>
      <w:r>
        <w:rPr>
          <w:rFonts w:hint="eastAsia"/>
        </w:rPr>
        <w:t>根据项目特点，可能发生的风险事故主要是危险化学品储罐、管线、生产装置发生物料泄漏后遇到火源就会发生火灾爆炸事故。火灾爆炸事故伴生/次生污染物主要涉及消防废水。</w:t>
      </w:r>
    </w:p>
    <w:p w14:paraId="003DAF53">
      <w:pPr>
        <w:adjustRightInd w:val="0"/>
        <w:snapToGrid w:val="0"/>
        <w:ind w:firstLine="480" w:firstLineChars="200"/>
      </w:pPr>
      <w:r>
        <w:rPr>
          <w:rFonts w:hint="eastAsia"/>
        </w:rPr>
        <w:t>事故消防废水：考虑到装置区和储罐泄漏导致罐区出现火情，冷却体及灭火产生的消防水会携带部分危险物质，若不能及时得到有效地收集和处置将最终进入水体对相邻水体的环境造成污染。</w:t>
      </w:r>
    </w:p>
    <w:p w14:paraId="72652A71">
      <w:pPr>
        <w:pStyle w:val="3"/>
        <w:bidi w:val="0"/>
      </w:pPr>
      <w:r>
        <w:rPr>
          <w:rFonts w:hint="eastAsia"/>
          <w:lang w:eastAsia="zh-CN"/>
        </w:rPr>
        <w:t>4</w:t>
      </w:r>
      <w:r>
        <w:rPr>
          <w:rFonts w:hint="eastAsia"/>
        </w:rPr>
        <w:t>.5风险识别汇总</w:t>
      </w:r>
    </w:p>
    <w:p w14:paraId="7A0A9AFA">
      <w:pPr>
        <w:adjustRightInd w:val="0"/>
        <w:snapToGrid w:val="0"/>
        <w:ind w:firstLine="480" w:firstLineChars="200"/>
      </w:pPr>
      <w:r>
        <w:rPr>
          <w:rFonts w:hint="eastAsia"/>
        </w:rPr>
        <w:t>本项目的环境风险详见表</w:t>
      </w:r>
      <w:r>
        <w:rPr>
          <w:rFonts w:hint="eastAsia"/>
          <w:lang w:val="en-US" w:eastAsia="zh-CN"/>
        </w:rPr>
        <w:t>4-</w:t>
      </w:r>
      <w:r>
        <w:rPr>
          <w:rFonts w:hint="eastAsia"/>
        </w:rPr>
        <w:t>6。</w:t>
      </w:r>
    </w:p>
    <w:p w14:paraId="3C7C2A0F">
      <w:pPr>
        <w:autoSpaceDE w:val="0"/>
        <w:autoSpaceDN w:val="0"/>
        <w:adjustRightInd w:val="0"/>
        <w:snapToGrid w:val="0"/>
        <w:spacing w:line="240" w:lineRule="auto"/>
        <w:jc w:val="center"/>
        <w:textAlignment w:val="baseline"/>
        <w:rPr>
          <w:b/>
          <w:kern w:val="24"/>
          <w:szCs w:val="20"/>
        </w:rPr>
      </w:pPr>
      <w:r>
        <w:rPr>
          <w:rFonts w:hint="eastAsia"/>
          <w:b/>
          <w:kern w:val="24"/>
          <w:szCs w:val="20"/>
        </w:rPr>
        <w:t>表</w:t>
      </w:r>
      <w:r>
        <w:rPr>
          <w:rFonts w:hint="eastAsia"/>
          <w:b/>
          <w:kern w:val="24"/>
          <w:szCs w:val="20"/>
          <w:lang w:val="en-US" w:eastAsia="zh-CN"/>
        </w:rPr>
        <w:t>4-</w:t>
      </w:r>
      <w:r>
        <w:rPr>
          <w:rFonts w:hint="eastAsia"/>
          <w:b/>
          <w:kern w:val="24"/>
          <w:szCs w:val="20"/>
        </w:rPr>
        <w:t>6 环境风险识别表</w:t>
      </w:r>
    </w:p>
    <w:tbl>
      <w:tblPr>
        <w:tblStyle w:val="11"/>
        <w:tblW w:w="91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3"/>
        <w:gridCol w:w="1335"/>
        <w:gridCol w:w="1836"/>
        <w:gridCol w:w="1039"/>
        <w:gridCol w:w="2342"/>
        <w:gridCol w:w="1062"/>
        <w:gridCol w:w="960"/>
      </w:tblGrid>
      <w:tr w14:paraId="1C98A3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tcMar>
              <w:top w:w="0" w:type="dxa"/>
              <w:left w:w="57" w:type="dxa"/>
              <w:bottom w:w="0" w:type="dxa"/>
              <w:right w:w="57" w:type="dxa"/>
            </w:tcMar>
            <w:vAlign w:val="center"/>
          </w:tcPr>
          <w:p w14:paraId="03E16184">
            <w:pPr>
              <w:adjustRightInd w:val="0"/>
              <w:snapToGrid w:val="0"/>
              <w:spacing w:line="240" w:lineRule="auto"/>
              <w:jc w:val="center"/>
              <w:rPr>
                <w:b/>
                <w:bCs/>
                <w:sz w:val="21"/>
              </w:rPr>
            </w:pPr>
            <w:r>
              <w:rPr>
                <w:rFonts w:hint="eastAsia"/>
                <w:b/>
                <w:bCs/>
                <w:sz w:val="21"/>
              </w:rPr>
              <w:t>序号</w:t>
            </w:r>
          </w:p>
        </w:tc>
        <w:tc>
          <w:tcPr>
            <w:tcW w:w="1335" w:type="dxa"/>
            <w:tcBorders>
              <w:tl2br w:val="nil"/>
              <w:tr2bl w:val="nil"/>
            </w:tcBorders>
            <w:tcMar>
              <w:top w:w="0" w:type="dxa"/>
              <w:left w:w="57" w:type="dxa"/>
              <w:bottom w:w="0" w:type="dxa"/>
              <w:right w:w="57" w:type="dxa"/>
            </w:tcMar>
            <w:vAlign w:val="center"/>
          </w:tcPr>
          <w:p w14:paraId="23D153F5">
            <w:pPr>
              <w:adjustRightInd w:val="0"/>
              <w:snapToGrid w:val="0"/>
              <w:spacing w:line="240" w:lineRule="auto"/>
              <w:jc w:val="center"/>
              <w:rPr>
                <w:b/>
                <w:bCs/>
                <w:sz w:val="21"/>
              </w:rPr>
            </w:pPr>
            <w:r>
              <w:rPr>
                <w:rFonts w:hint="eastAsia"/>
                <w:b/>
                <w:bCs/>
                <w:sz w:val="21"/>
              </w:rPr>
              <w:t>危险单元</w:t>
            </w:r>
          </w:p>
        </w:tc>
        <w:tc>
          <w:tcPr>
            <w:tcW w:w="1836" w:type="dxa"/>
            <w:tcBorders>
              <w:tl2br w:val="nil"/>
              <w:tr2bl w:val="nil"/>
            </w:tcBorders>
            <w:tcMar>
              <w:top w:w="0" w:type="dxa"/>
              <w:left w:w="57" w:type="dxa"/>
              <w:bottom w:w="0" w:type="dxa"/>
              <w:right w:w="57" w:type="dxa"/>
            </w:tcMar>
            <w:vAlign w:val="center"/>
          </w:tcPr>
          <w:p w14:paraId="4BD1A7DF">
            <w:pPr>
              <w:adjustRightInd w:val="0"/>
              <w:snapToGrid w:val="0"/>
              <w:spacing w:line="240" w:lineRule="auto"/>
              <w:jc w:val="center"/>
              <w:rPr>
                <w:b/>
                <w:bCs/>
                <w:sz w:val="21"/>
              </w:rPr>
            </w:pPr>
            <w:r>
              <w:rPr>
                <w:rFonts w:hint="eastAsia"/>
                <w:b/>
                <w:bCs/>
                <w:sz w:val="21"/>
              </w:rPr>
              <w:t>风险源</w:t>
            </w:r>
          </w:p>
        </w:tc>
        <w:tc>
          <w:tcPr>
            <w:tcW w:w="1039" w:type="dxa"/>
            <w:tcBorders>
              <w:tl2br w:val="nil"/>
              <w:tr2bl w:val="nil"/>
            </w:tcBorders>
            <w:tcMar>
              <w:top w:w="0" w:type="dxa"/>
              <w:left w:w="57" w:type="dxa"/>
              <w:bottom w:w="0" w:type="dxa"/>
              <w:right w:w="57" w:type="dxa"/>
            </w:tcMar>
            <w:vAlign w:val="center"/>
          </w:tcPr>
          <w:p w14:paraId="55EAC452">
            <w:pPr>
              <w:adjustRightInd w:val="0"/>
              <w:snapToGrid w:val="0"/>
              <w:spacing w:line="240" w:lineRule="auto"/>
              <w:jc w:val="center"/>
              <w:rPr>
                <w:b/>
                <w:bCs/>
                <w:sz w:val="21"/>
              </w:rPr>
            </w:pPr>
            <w:r>
              <w:rPr>
                <w:rFonts w:hint="eastAsia"/>
                <w:b/>
                <w:bCs/>
                <w:sz w:val="21"/>
              </w:rPr>
              <w:t>主要危险物质</w:t>
            </w:r>
          </w:p>
        </w:tc>
        <w:tc>
          <w:tcPr>
            <w:tcW w:w="2342" w:type="dxa"/>
            <w:tcBorders>
              <w:tl2br w:val="nil"/>
              <w:tr2bl w:val="nil"/>
            </w:tcBorders>
            <w:tcMar>
              <w:top w:w="0" w:type="dxa"/>
              <w:left w:w="57" w:type="dxa"/>
              <w:bottom w:w="0" w:type="dxa"/>
              <w:right w:w="57" w:type="dxa"/>
            </w:tcMar>
            <w:vAlign w:val="center"/>
          </w:tcPr>
          <w:p w14:paraId="68C33A7D">
            <w:pPr>
              <w:adjustRightInd w:val="0"/>
              <w:snapToGrid w:val="0"/>
              <w:spacing w:line="240" w:lineRule="auto"/>
              <w:jc w:val="center"/>
              <w:rPr>
                <w:b/>
                <w:bCs/>
                <w:sz w:val="21"/>
              </w:rPr>
            </w:pPr>
            <w:r>
              <w:rPr>
                <w:rFonts w:hint="eastAsia"/>
                <w:b/>
                <w:bCs/>
                <w:sz w:val="21"/>
              </w:rPr>
              <w:t>环境风险类型</w:t>
            </w:r>
          </w:p>
        </w:tc>
        <w:tc>
          <w:tcPr>
            <w:tcW w:w="1062" w:type="dxa"/>
            <w:tcBorders>
              <w:tl2br w:val="nil"/>
              <w:tr2bl w:val="nil"/>
            </w:tcBorders>
            <w:tcMar>
              <w:top w:w="0" w:type="dxa"/>
              <w:left w:w="57" w:type="dxa"/>
              <w:bottom w:w="0" w:type="dxa"/>
              <w:right w:w="57" w:type="dxa"/>
            </w:tcMar>
            <w:vAlign w:val="center"/>
          </w:tcPr>
          <w:p w14:paraId="21E7EFB7">
            <w:pPr>
              <w:adjustRightInd w:val="0"/>
              <w:snapToGrid w:val="0"/>
              <w:spacing w:line="240" w:lineRule="auto"/>
              <w:jc w:val="center"/>
              <w:rPr>
                <w:b/>
                <w:bCs/>
                <w:sz w:val="21"/>
              </w:rPr>
            </w:pPr>
            <w:r>
              <w:rPr>
                <w:rFonts w:hint="eastAsia"/>
                <w:b/>
                <w:bCs/>
                <w:sz w:val="21"/>
              </w:rPr>
              <w:t>环境影响途径</w:t>
            </w:r>
          </w:p>
        </w:tc>
        <w:tc>
          <w:tcPr>
            <w:tcW w:w="960" w:type="dxa"/>
            <w:tcBorders>
              <w:tl2br w:val="nil"/>
              <w:tr2bl w:val="nil"/>
            </w:tcBorders>
            <w:tcMar>
              <w:top w:w="0" w:type="dxa"/>
              <w:left w:w="57" w:type="dxa"/>
              <w:bottom w:w="0" w:type="dxa"/>
              <w:right w:w="57" w:type="dxa"/>
            </w:tcMar>
            <w:vAlign w:val="center"/>
          </w:tcPr>
          <w:p w14:paraId="289E3BC7">
            <w:pPr>
              <w:adjustRightInd w:val="0"/>
              <w:snapToGrid w:val="0"/>
              <w:spacing w:line="240" w:lineRule="auto"/>
              <w:jc w:val="center"/>
              <w:rPr>
                <w:b/>
                <w:bCs/>
                <w:sz w:val="21"/>
              </w:rPr>
            </w:pPr>
            <w:r>
              <w:rPr>
                <w:rFonts w:hint="eastAsia"/>
                <w:b/>
                <w:bCs/>
                <w:sz w:val="21"/>
              </w:rPr>
              <w:t>可能受影响的环境敏感目标</w:t>
            </w:r>
          </w:p>
        </w:tc>
      </w:tr>
      <w:tr w14:paraId="6FC79A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tcMar>
              <w:top w:w="0" w:type="dxa"/>
              <w:left w:w="57" w:type="dxa"/>
              <w:bottom w:w="0" w:type="dxa"/>
              <w:right w:w="57" w:type="dxa"/>
            </w:tcMar>
            <w:vAlign w:val="center"/>
          </w:tcPr>
          <w:p w14:paraId="70183902">
            <w:pPr>
              <w:adjustRightInd w:val="0"/>
              <w:snapToGrid w:val="0"/>
              <w:spacing w:line="240" w:lineRule="auto"/>
              <w:jc w:val="center"/>
              <w:rPr>
                <w:sz w:val="21"/>
              </w:rPr>
            </w:pPr>
          </w:p>
          <w:p w14:paraId="47ADFCE0">
            <w:pPr>
              <w:adjustRightInd w:val="0"/>
              <w:snapToGrid w:val="0"/>
              <w:spacing w:line="240" w:lineRule="auto"/>
              <w:jc w:val="center"/>
              <w:rPr>
                <w:sz w:val="21"/>
              </w:rPr>
            </w:pPr>
            <w:r>
              <w:rPr>
                <w:sz w:val="21"/>
              </w:rPr>
              <w:t>1</w:t>
            </w:r>
          </w:p>
        </w:tc>
        <w:tc>
          <w:tcPr>
            <w:tcW w:w="1335" w:type="dxa"/>
            <w:tcBorders>
              <w:tl2br w:val="nil"/>
              <w:tr2bl w:val="nil"/>
            </w:tcBorders>
            <w:tcMar>
              <w:top w:w="0" w:type="dxa"/>
              <w:left w:w="57" w:type="dxa"/>
              <w:bottom w:w="0" w:type="dxa"/>
              <w:right w:w="57" w:type="dxa"/>
            </w:tcMar>
            <w:vAlign w:val="center"/>
          </w:tcPr>
          <w:p w14:paraId="021FAB09">
            <w:pPr>
              <w:pStyle w:val="14"/>
              <w:bidi w:val="0"/>
              <w:jc w:val="center"/>
            </w:pPr>
            <w:r>
              <w:rPr>
                <w:rFonts w:hint="eastAsia"/>
              </w:rPr>
              <w:t>氨水生产区</w:t>
            </w:r>
          </w:p>
        </w:tc>
        <w:tc>
          <w:tcPr>
            <w:tcW w:w="1836" w:type="dxa"/>
            <w:tcBorders>
              <w:tl2br w:val="nil"/>
              <w:tr2bl w:val="nil"/>
            </w:tcBorders>
            <w:tcMar>
              <w:top w:w="0" w:type="dxa"/>
              <w:left w:w="57" w:type="dxa"/>
              <w:bottom w:w="0" w:type="dxa"/>
              <w:right w:w="57" w:type="dxa"/>
            </w:tcMar>
            <w:vAlign w:val="center"/>
          </w:tcPr>
          <w:p w14:paraId="423EDC6F">
            <w:pPr>
              <w:pStyle w:val="14"/>
              <w:bidi w:val="0"/>
              <w:jc w:val="center"/>
            </w:pPr>
            <w:r>
              <w:rPr>
                <w:rFonts w:hint="eastAsia"/>
              </w:rPr>
              <w:t>运输车辆交通事故（翻车、撞车等）；氨水</w:t>
            </w:r>
            <w:r>
              <w:rPr>
                <w:rFonts w:hint="eastAsia"/>
                <w:lang w:eastAsia="zh-CN"/>
              </w:rPr>
              <w:t>输送</w:t>
            </w:r>
            <w:r>
              <w:rPr>
                <w:rFonts w:hint="eastAsia"/>
              </w:rPr>
              <w:t>泵；吸氨器</w:t>
            </w:r>
          </w:p>
        </w:tc>
        <w:tc>
          <w:tcPr>
            <w:tcW w:w="1039" w:type="dxa"/>
            <w:tcBorders>
              <w:tl2br w:val="nil"/>
              <w:tr2bl w:val="nil"/>
            </w:tcBorders>
            <w:tcMar>
              <w:top w:w="0" w:type="dxa"/>
              <w:left w:w="57" w:type="dxa"/>
              <w:bottom w:w="0" w:type="dxa"/>
              <w:right w:w="57" w:type="dxa"/>
            </w:tcMar>
            <w:vAlign w:val="center"/>
          </w:tcPr>
          <w:p w14:paraId="0BCCB34A">
            <w:pPr>
              <w:pStyle w:val="14"/>
              <w:bidi w:val="0"/>
              <w:jc w:val="center"/>
            </w:pPr>
          </w:p>
          <w:p w14:paraId="3474FF91">
            <w:pPr>
              <w:pStyle w:val="14"/>
              <w:bidi w:val="0"/>
              <w:jc w:val="center"/>
            </w:pPr>
            <w:r>
              <w:rPr>
                <w:rFonts w:hint="eastAsia"/>
              </w:rPr>
              <w:t>氨水</w:t>
            </w:r>
          </w:p>
        </w:tc>
        <w:tc>
          <w:tcPr>
            <w:tcW w:w="2342" w:type="dxa"/>
            <w:tcBorders>
              <w:tl2br w:val="nil"/>
              <w:tr2bl w:val="nil"/>
            </w:tcBorders>
            <w:tcMar>
              <w:top w:w="0" w:type="dxa"/>
              <w:left w:w="57" w:type="dxa"/>
              <w:bottom w:w="0" w:type="dxa"/>
              <w:right w:w="57" w:type="dxa"/>
            </w:tcMar>
            <w:vAlign w:val="center"/>
          </w:tcPr>
          <w:p w14:paraId="67126F21">
            <w:pPr>
              <w:pStyle w:val="14"/>
              <w:bidi w:val="0"/>
              <w:jc w:val="center"/>
            </w:pPr>
            <w:r>
              <w:rPr>
                <w:rFonts w:hint="eastAsia"/>
              </w:rPr>
              <w:t>泄漏</w:t>
            </w:r>
          </w:p>
        </w:tc>
        <w:tc>
          <w:tcPr>
            <w:tcW w:w="1062" w:type="dxa"/>
            <w:tcBorders>
              <w:tl2br w:val="nil"/>
              <w:tr2bl w:val="nil"/>
            </w:tcBorders>
            <w:tcMar>
              <w:top w:w="0" w:type="dxa"/>
              <w:left w:w="57" w:type="dxa"/>
              <w:bottom w:w="0" w:type="dxa"/>
              <w:right w:w="57" w:type="dxa"/>
            </w:tcMar>
            <w:vAlign w:val="center"/>
          </w:tcPr>
          <w:p w14:paraId="0D64F0EF">
            <w:pPr>
              <w:adjustRightInd w:val="0"/>
              <w:snapToGrid w:val="0"/>
              <w:spacing w:line="240" w:lineRule="auto"/>
              <w:jc w:val="center"/>
              <w:rPr>
                <w:sz w:val="21"/>
              </w:rPr>
            </w:pPr>
            <w:r>
              <w:rPr>
                <w:rFonts w:hint="eastAsia"/>
                <w:sz w:val="21"/>
              </w:rPr>
              <w:t>大气、地表水、地下水</w:t>
            </w:r>
          </w:p>
        </w:tc>
        <w:tc>
          <w:tcPr>
            <w:tcW w:w="960" w:type="dxa"/>
            <w:tcBorders>
              <w:tl2br w:val="nil"/>
              <w:tr2bl w:val="nil"/>
            </w:tcBorders>
            <w:tcMar>
              <w:top w:w="0" w:type="dxa"/>
              <w:left w:w="57" w:type="dxa"/>
              <w:bottom w:w="0" w:type="dxa"/>
              <w:right w:w="57" w:type="dxa"/>
            </w:tcMar>
            <w:vAlign w:val="center"/>
          </w:tcPr>
          <w:p w14:paraId="12FCCDEA">
            <w:pPr>
              <w:adjustRightInd w:val="0"/>
              <w:snapToGrid w:val="0"/>
              <w:spacing w:line="240" w:lineRule="auto"/>
              <w:jc w:val="center"/>
              <w:rPr>
                <w:rFonts w:hint="eastAsia" w:eastAsia="宋体"/>
                <w:sz w:val="21"/>
                <w:lang w:eastAsia="zh-CN"/>
              </w:rPr>
            </w:pPr>
            <w:r>
              <w:rPr>
                <w:rFonts w:hint="eastAsia"/>
                <w:sz w:val="21"/>
              </w:rPr>
              <w:t>居民区</w:t>
            </w:r>
            <w:r>
              <w:rPr>
                <w:rFonts w:hint="eastAsia"/>
                <w:sz w:val="21"/>
                <w:lang w:eastAsia="zh-CN"/>
              </w:rPr>
              <w:t>、河流</w:t>
            </w:r>
          </w:p>
        </w:tc>
      </w:tr>
      <w:tr w14:paraId="7C1C5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tcMar>
              <w:top w:w="0" w:type="dxa"/>
              <w:left w:w="57" w:type="dxa"/>
              <w:bottom w:w="0" w:type="dxa"/>
              <w:right w:w="57" w:type="dxa"/>
            </w:tcMar>
            <w:vAlign w:val="center"/>
          </w:tcPr>
          <w:p w14:paraId="4D5CA617">
            <w:pPr>
              <w:adjustRightInd w:val="0"/>
              <w:snapToGrid w:val="0"/>
              <w:spacing w:line="240" w:lineRule="auto"/>
              <w:jc w:val="center"/>
              <w:rPr>
                <w:sz w:val="21"/>
              </w:rPr>
            </w:pPr>
          </w:p>
          <w:p w14:paraId="3E6BEFE1">
            <w:pPr>
              <w:adjustRightInd w:val="0"/>
              <w:snapToGrid w:val="0"/>
              <w:spacing w:line="240" w:lineRule="auto"/>
              <w:jc w:val="center"/>
              <w:rPr>
                <w:sz w:val="21"/>
              </w:rPr>
            </w:pPr>
            <w:r>
              <w:rPr>
                <w:sz w:val="21"/>
              </w:rPr>
              <w:t>2</w:t>
            </w:r>
          </w:p>
        </w:tc>
        <w:tc>
          <w:tcPr>
            <w:tcW w:w="1335" w:type="dxa"/>
            <w:tcBorders>
              <w:tl2br w:val="nil"/>
              <w:tr2bl w:val="nil"/>
            </w:tcBorders>
            <w:tcMar>
              <w:top w:w="0" w:type="dxa"/>
              <w:left w:w="57" w:type="dxa"/>
              <w:bottom w:w="0" w:type="dxa"/>
              <w:right w:w="57" w:type="dxa"/>
            </w:tcMar>
            <w:vAlign w:val="center"/>
          </w:tcPr>
          <w:p w14:paraId="13D8A7CC">
            <w:pPr>
              <w:pStyle w:val="14"/>
              <w:bidi w:val="0"/>
              <w:jc w:val="center"/>
            </w:pPr>
            <w:r>
              <w:rPr>
                <w:rFonts w:hint="eastAsia"/>
              </w:rPr>
              <w:t>液氨充装区</w:t>
            </w:r>
          </w:p>
        </w:tc>
        <w:tc>
          <w:tcPr>
            <w:tcW w:w="1836" w:type="dxa"/>
            <w:tcBorders>
              <w:tl2br w:val="nil"/>
              <w:tr2bl w:val="nil"/>
            </w:tcBorders>
            <w:tcMar>
              <w:top w:w="0" w:type="dxa"/>
              <w:left w:w="57" w:type="dxa"/>
              <w:bottom w:w="0" w:type="dxa"/>
              <w:right w:w="57" w:type="dxa"/>
            </w:tcMar>
            <w:vAlign w:val="center"/>
          </w:tcPr>
          <w:p w14:paraId="15986CB7">
            <w:pPr>
              <w:pStyle w:val="14"/>
              <w:bidi w:val="0"/>
              <w:jc w:val="center"/>
              <w:rPr>
                <w:rFonts w:hint="eastAsia" w:eastAsia="宋体"/>
                <w:lang w:eastAsia="zh-CN"/>
              </w:rPr>
            </w:pPr>
            <w:r>
              <w:rPr>
                <w:rFonts w:hint="eastAsia"/>
                <w:lang w:eastAsia="zh-CN"/>
              </w:rPr>
              <w:t>氨钢瓶充装秤</w:t>
            </w:r>
          </w:p>
        </w:tc>
        <w:tc>
          <w:tcPr>
            <w:tcW w:w="1039" w:type="dxa"/>
            <w:tcBorders>
              <w:tl2br w:val="nil"/>
              <w:tr2bl w:val="nil"/>
            </w:tcBorders>
            <w:tcMar>
              <w:top w:w="0" w:type="dxa"/>
              <w:left w:w="57" w:type="dxa"/>
              <w:bottom w:w="0" w:type="dxa"/>
              <w:right w:w="57" w:type="dxa"/>
            </w:tcMar>
            <w:vAlign w:val="center"/>
          </w:tcPr>
          <w:p w14:paraId="0DCD542D">
            <w:pPr>
              <w:pStyle w:val="14"/>
              <w:bidi w:val="0"/>
              <w:jc w:val="center"/>
            </w:pPr>
            <w:r>
              <w:rPr>
                <w:rFonts w:hint="eastAsia"/>
              </w:rPr>
              <w:t>液氨</w:t>
            </w:r>
          </w:p>
        </w:tc>
        <w:tc>
          <w:tcPr>
            <w:tcW w:w="2342" w:type="dxa"/>
            <w:tcBorders>
              <w:tl2br w:val="nil"/>
              <w:tr2bl w:val="nil"/>
            </w:tcBorders>
            <w:tcMar>
              <w:top w:w="0" w:type="dxa"/>
              <w:left w:w="57" w:type="dxa"/>
              <w:bottom w:w="0" w:type="dxa"/>
              <w:right w:w="57" w:type="dxa"/>
            </w:tcMar>
            <w:vAlign w:val="center"/>
          </w:tcPr>
          <w:p w14:paraId="517386E2">
            <w:pPr>
              <w:pStyle w:val="14"/>
              <w:bidi w:val="0"/>
              <w:jc w:val="center"/>
            </w:pPr>
            <w:r>
              <w:rPr>
                <w:rFonts w:hint="eastAsia"/>
              </w:rPr>
              <w:t>泄漏、火灾、爆炸等引发的伴生</w:t>
            </w:r>
            <w:r>
              <w:t>/</w:t>
            </w:r>
            <w:r>
              <w:rPr>
                <w:rFonts w:hint="eastAsia"/>
              </w:rPr>
              <w:t>次生污染物排放</w:t>
            </w:r>
          </w:p>
        </w:tc>
        <w:tc>
          <w:tcPr>
            <w:tcW w:w="1062" w:type="dxa"/>
            <w:tcBorders>
              <w:tl2br w:val="nil"/>
              <w:tr2bl w:val="nil"/>
            </w:tcBorders>
            <w:tcMar>
              <w:top w:w="0" w:type="dxa"/>
              <w:left w:w="57" w:type="dxa"/>
              <w:bottom w:w="0" w:type="dxa"/>
              <w:right w:w="57" w:type="dxa"/>
            </w:tcMar>
            <w:vAlign w:val="center"/>
          </w:tcPr>
          <w:p w14:paraId="1E15086E">
            <w:pPr>
              <w:adjustRightInd w:val="0"/>
              <w:snapToGrid w:val="0"/>
              <w:spacing w:line="240" w:lineRule="auto"/>
              <w:jc w:val="center"/>
              <w:rPr>
                <w:sz w:val="21"/>
              </w:rPr>
            </w:pPr>
            <w:r>
              <w:rPr>
                <w:rFonts w:hint="eastAsia"/>
                <w:sz w:val="21"/>
              </w:rPr>
              <w:t>大气、地表水、地下水</w:t>
            </w:r>
          </w:p>
        </w:tc>
        <w:tc>
          <w:tcPr>
            <w:tcW w:w="960" w:type="dxa"/>
            <w:tcBorders>
              <w:tl2br w:val="nil"/>
              <w:tr2bl w:val="nil"/>
            </w:tcBorders>
            <w:tcMar>
              <w:top w:w="0" w:type="dxa"/>
              <w:left w:w="57" w:type="dxa"/>
              <w:bottom w:w="0" w:type="dxa"/>
              <w:right w:w="57" w:type="dxa"/>
            </w:tcMar>
            <w:vAlign w:val="center"/>
          </w:tcPr>
          <w:p w14:paraId="6471E3AD">
            <w:pPr>
              <w:adjustRightInd w:val="0"/>
              <w:snapToGrid w:val="0"/>
              <w:spacing w:line="240" w:lineRule="auto"/>
              <w:jc w:val="center"/>
              <w:rPr>
                <w:sz w:val="21"/>
              </w:rPr>
            </w:pPr>
            <w:r>
              <w:rPr>
                <w:rFonts w:hint="eastAsia"/>
                <w:sz w:val="21"/>
              </w:rPr>
              <w:t>居民区</w:t>
            </w:r>
            <w:r>
              <w:rPr>
                <w:rFonts w:hint="eastAsia"/>
                <w:sz w:val="21"/>
                <w:lang w:eastAsia="zh-CN"/>
              </w:rPr>
              <w:t>、河流</w:t>
            </w:r>
          </w:p>
        </w:tc>
      </w:tr>
      <w:tr w14:paraId="65CCE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tcMar>
              <w:top w:w="0" w:type="dxa"/>
              <w:left w:w="57" w:type="dxa"/>
              <w:bottom w:w="0" w:type="dxa"/>
              <w:right w:w="57" w:type="dxa"/>
            </w:tcMar>
            <w:vAlign w:val="center"/>
          </w:tcPr>
          <w:p w14:paraId="4DAFB80C">
            <w:pPr>
              <w:adjustRightInd w:val="0"/>
              <w:snapToGrid w:val="0"/>
              <w:spacing w:line="240" w:lineRule="auto"/>
              <w:jc w:val="center"/>
              <w:rPr>
                <w:sz w:val="21"/>
              </w:rPr>
            </w:pPr>
            <w:r>
              <w:rPr>
                <w:sz w:val="21"/>
              </w:rPr>
              <w:t>3</w:t>
            </w:r>
          </w:p>
        </w:tc>
        <w:tc>
          <w:tcPr>
            <w:tcW w:w="1335" w:type="dxa"/>
            <w:vMerge w:val="restart"/>
            <w:tcBorders>
              <w:tl2br w:val="nil"/>
              <w:tr2bl w:val="nil"/>
            </w:tcBorders>
            <w:tcMar>
              <w:top w:w="0" w:type="dxa"/>
              <w:left w:w="57" w:type="dxa"/>
              <w:bottom w:w="0" w:type="dxa"/>
              <w:right w:w="57" w:type="dxa"/>
            </w:tcMar>
            <w:vAlign w:val="center"/>
          </w:tcPr>
          <w:p w14:paraId="1716E15B">
            <w:pPr>
              <w:pStyle w:val="14"/>
              <w:bidi w:val="0"/>
              <w:jc w:val="center"/>
            </w:pPr>
            <w:r>
              <w:rPr>
                <w:rFonts w:hint="eastAsia"/>
              </w:rPr>
              <w:t>储运单元</w:t>
            </w:r>
          </w:p>
        </w:tc>
        <w:tc>
          <w:tcPr>
            <w:tcW w:w="1836" w:type="dxa"/>
            <w:tcBorders>
              <w:tl2br w:val="nil"/>
              <w:tr2bl w:val="nil"/>
            </w:tcBorders>
            <w:tcMar>
              <w:top w:w="0" w:type="dxa"/>
              <w:left w:w="57" w:type="dxa"/>
              <w:bottom w:w="0" w:type="dxa"/>
              <w:right w:w="57" w:type="dxa"/>
            </w:tcMar>
            <w:vAlign w:val="center"/>
          </w:tcPr>
          <w:p w14:paraId="7D234CC1">
            <w:pPr>
              <w:pStyle w:val="14"/>
              <w:bidi w:val="0"/>
              <w:jc w:val="center"/>
            </w:pPr>
            <w:r>
              <w:rPr>
                <w:rFonts w:hint="eastAsia"/>
              </w:rPr>
              <w:t>氨水运输辆、氨水罐、管线</w:t>
            </w:r>
          </w:p>
        </w:tc>
        <w:tc>
          <w:tcPr>
            <w:tcW w:w="1039" w:type="dxa"/>
            <w:tcBorders>
              <w:tl2br w:val="nil"/>
              <w:tr2bl w:val="nil"/>
            </w:tcBorders>
            <w:tcMar>
              <w:top w:w="0" w:type="dxa"/>
              <w:left w:w="57" w:type="dxa"/>
              <w:bottom w:w="0" w:type="dxa"/>
              <w:right w:w="57" w:type="dxa"/>
            </w:tcMar>
            <w:vAlign w:val="center"/>
          </w:tcPr>
          <w:p w14:paraId="724F07FF">
            <w:pPr>
              <w:pStyle w:val="14"/>
              <w:bidi w:val="0"/>
              <w:jc w:val="center"/>
            </w:pPr>
            <w:r>
              <w:rPr>
                <w:rFonts w:hint="eastAsia"/>
              </w:rPr>
              <w:t>氨水</w:t>
            </w:r>
          </w:p>
        </w:tc>
        <w:tc>
          <w:tcPr>
            <w:tcW w:w="2342" w:type="dxa"/>
            <w:tcBorders>
              <w:tl2br w:val="nil"/>
              <w:tr2bl w:val="nil"/>
            </w:tcBorders>
            <w:tcMar>
              <w:top w:w="0" w:type="dxa"/>
              <w:left w:w="57" w:type="dxa"/>
              <w:bottom w:w="0" w:type="dxa"/>
              <w:right w:w="57" w:type="dxa"/>
            </w:tcMar>
            <w:vAlign w:val="center"/>
          </w:tcPr>
          <w:p w14:paraId="2B95500E">
            <w:pPr>
              <w:pStyle w:val="14"/>
              <w:bidi w:val="0"/>
              <w:jc w:val="center"/>
            </w:pPr>
            <w:r>
              <w:rPr>
                <w:rFonts w:hint="eastAsia"/>
              </w:rPr>
              <w:t>泄漏</w:t>
            </w:r>
          </w:p>
        </w:tc>
        <w:tc>
          <w:tcPr>
            <w:tcW w:w="1062" w:type="dxa"/>
            <w:tcBorders>
              <w:tl2br w:val="nil"/>
              <w:tr2bl w:val="nil"/>
            </w:tcBorders>
            <w:tcMar>
              <w:top w:w="0" w:type="dxa"/>
              <w:left w:w="57" w:type="dxa"/>
              <w:bottom w:w="0" w:type="dxa"/>
              <w:right w:w="57" w:type="dxa"/>
            </w:tcMar>
            <w:vAlign w:val="center"/>
          </w:tcPr>
          <w:p w14:paraId="1B8CE3D9">
            <w:pPr>
              <w:adjustRightInd w:val="0"/>
              <w:snapToGrid w:val="0"/>
              <w:spacing w:line="240" w:lineRule="auto"/>
              <w:jc w:val="center"/>
              <w:rPr>
                <w:sz w:val="21"/>
              </w:rPr>
            </w:pPr>
            <w:r>
              <w:rPr>
                <w:rFonts w:hint="eastAsia"/>
                <w:sz w:val="21"/>
              </w:rPr>
              <w:t>大气、地表水、地下水</w:t>
            </w:r>
          </w:p>
        </w:tc>
        <w:tc>
          <w:tcPr>
            <w:tcW w:w="960" w:type="dxa"/>
            <w:tcBorders>
              <w:tl2br w:val="nil"/>
              <w:tr2bl w:val="nil"/>
            </w:tcBorders>
            <w:tcMar>
              <w:top w:w="0" w:type="dxa"/>
              <w:left w:w="57" w:type="dxa"/>
              <w:bottom w:w="0" w:type="dxa"/>
              <w:right w:w="57" w:type="dxa"/>
            </w:tcMar>
            <w:vAlign w:val="center"/>
          </w:tcPr>
          <w:p w14:paraId="1C229832">
            <w:pPr>
              <w:adjustRightInd w:val="0"/>
              <w:snapToGrid w:val="0"/>
              <w:spacing w:line="240" w:lineRule="auto"/>
              <w:jc w:val="center"/>
              <w:rPr>
                <w:sz w:val="21"/>
              </w:rPr>
            </w:pPr>
            <w:r>
              <w:rPr>
                <w:rFonts w:hint="eastAsia"/>
                <w:sz w:val="21"/>
              </w:rPr>
              <w:t>居民区</w:t>
            </w:r>
            <w:r>
              <w:rPr>
                <w:rFonts w:hint="eastAsia"/>
                <w:sz w:val="21"/>
                <w:lang w:eastAsia="zh-CN"/>
              </w:rPr>
              <w:t>、河流</w:t>
            </w:r>
          </w:p>
        </w:tc>
      </w:tr>
      <w:tr w14:paraId="37087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tcMar>
              <w:top w:w="0" w:type="dxa"/>
              <w:left w:w="57" w:type="dxa"/>
              <w:bottom w:w="0" w:type="dxa"/>
              <w:right w:w="57" w:type="dxa"/>
            </w:tcMar>
            <w:vAlign w:val="center"/>
          </w:tcPr>
          <w:p w14:paraId="45902B2C">
            <w:pPr>
              <w:adjustRightInd w:val="0"/>
              <w:snapToGrid w:val="0"/>
              <w:spacing w:line="240" w:lineRule="auto"/>
              <w:jc w:val="center"/>
              <w:rPr>
                <w:sz w:val="21"/>
              </w:rPr>
            </w:pPr>
            <w:r>
              <w:rPr>
                <w:sz w:val="21"/>
              </w:rPr>
              <w:t>4</w:t>
            </w:r>
          </w:p>
        </w:tc>
        <w:tc>
          <w:tcPr>
            <w:tcW w:w="1335" w:type="dxa"/>
            <w:vMerge w:val="continue"/>
            <w:tcBorders>
              <w:tl2br w:val="nil"/>
              <w:tr2bl w:val="nil"/>
            </w:tcBorders>
            <w:tcMar>
              <w:top w:w="0" w:type="dxa"/>
              <w:left w:w="57" w:type="dxa"/>
              <w:bottom w:w="0" w:type="dxa"/>
              <w:right w:w="57" w:type="dxa"/>
            </w:tcMar>
            <w:vAlign w:val="center"/>
          </w:tcPr>
          <w:p w14:paraId="234926B3">
            <w:pPr>
              <w:pStyle w:val="14"/>
              <w:bidi w:val="0"/>
              <w:jc w:val="center"/>
            </w:pPr>
          </w:p>
        </w:tc>
        <w:tc>
          <w:tcPr>
            <w:tcW w:w="1836" w:type="dxa"/>
            <w:tcBorders>
              <w:tl2br w:val="nil"/>
              <w:tr2bl w:val="nil"/>
            </w:tcBorders>
            <w:tcMar>
              <w:top w:w="0" w:type="dxa"/>
              <w:left w:w="57" w:type="dxa"/>
              <w:bottom w:w="0" w:type="dxa"/>
              <w:right w:w="57" w:type="dxa"/>
            </w:tcMar>
            <w:vAlign w:val="center"/>
          </w:tcPr>
          <w:p w14:paraId="3CE47722">
            <w:pPr>
              <w:pStyle w:val="14"/>
              <w:bidi w:val="0"/>
              <w:jc w:val="center"/>
            </w:pPr>
            <w:r>
              <w:rPr>
                <w:rFonts w:hint="eastAsia"/>
              </w:rPr>
              <w:t>液氨储罐、管线</w:t>
            </w:r>
          </w:p>
        </w:tc>
        <w:tc>
          <w:tcPr>
            <w:tcW w:w="1039" w:type="dxa"/>
            <w:tcBorders>
              <w:tl2br w:val="nil"/>
              <w:tr2bl w:val="nil"/>
            </w:tcBorders>
            <w:tcMar>
              <w:top w:w="0" w:type="dxa"/>
              <w:left w:w="57" w:type="dxa"/>
              <w:bottom w:w="0" w:type="dxa"/>
              <w:right w:w="57" w:type="dxa"/>
            </w:tcMar>
            <w:vAlign w:val="center"/>
          </w:tcPr>
          <w:p w14:paraId="3B6CA4F9">
            <w:pPr>
              <w:pStyle w:val="14"/>
              <w:bidi w:val="0"/>
              <w:jc w:val="center"/>
            </w:pPr>
            <w:r>
              <w:rPr>
                <w:rFonts w:hint="eastAsia"/>
              </w:rPr>
              <w:t>液氨</w:t>
            </w:r>
          </w:p>
        </w:tc>
        <w:tc>
          <w:tcPr>
            <w:tcW w:w="2342" w:type="dxa"/>
            <w:tcBorders>
              <w:tl2br w:val="nil"/>
              <w:tr2bl w:val="nil"/>
            </w:tcBorders>
            <w:tcMar>
              <w:top w:w="0" w:type="dxa"/>
              <w:left w:w="57" w:type="dxa"/>
              <w:bottom w:w="0" w:type="dxa"/>
              <w:right w:w="57" w:type="dxa"/>
            </w:tcMar>
            <w:vAlign w:val="center"/>
          </w:tcPr>
          <w:p w14:paraId="06F11717">
            <w:pPr>
              <w:pStyle w:val="14"/>
              <w:bidi w:val="0"/>
              <w:jc w:val="center"/>
            </w:pPr>
            <w:r>
              <w:rPr>
                <w:rFonts w:hint="eastAsia"/>
              </w:rPr>
              <w:t>泄漏、火灾、爆炸等引发的伴生</w:t>
            </w:r>
            <w:r>
              <w:t>/</w:t>
            </w:r>
            <w:r>
              <w:rPr>
                <w:rFonts w:hint="eastAsia"/>
              </w:rPr>
              <w:t>次生污染物排放</w:t>
            </w:r>
          </w:p>
        </w:tc>
        <w:tc>
          <w:tcPr>
            <w:tcW w:w="1062" w:type="dxa"/>
            <w:tcBorders>
              <w:tl2br w:val="nil"/>
              <w:tr2bl w:val="nil"/>
            </w:tcBorders>
            <w:tcMar>
              <w:top w:w="0" w:type="dxa"/>
              <w:left w:w="57" w:type="dxa"/>
              <w:bottom w:w="0" w:type="dxa"/>
              <w:right w:w="57" w:type="dxa"/>
            </w:tcMar>
            <w:vAlign w:val="center"/>
          </w:tcPr>
          <w:p w14:paraId="58B891DD">
            <w:pPr>
              <w:adjustRightInd w:val="0"/>
              <w:snapToGrid w:val="0"/>
              <w:spacing w:line="240" w:lineRule="auto"/>
              <w:jc w:val="center"/>
              <w:rPr>
                <w:sz w:val="21"/>
              </w:rPr>
            </w:pPr>
            <w:r>
              <w:rPr>
                <w:rFonts w:hint="eastAsia"/>
                <w:sz w:val="21"/>
              </w:rPr>
              <w:t>大气、地表水、地下水</w:t>
            </w:r>
          </w:p>
        </w:tc>
        <w:tc>
          <w:tcPr>
            <w:tcW w:w="960" w:type="dxa"/>
            <w:tcBorders>
              <w:tl2br w:val="nil"/>
              <w:tr2bl w:val="nil"/>
            </w:tcBorders>
            <w:tcMar>
              <w:top w:w="0" w:type="dxa"/>
              <w:left w:w="57" w:type="dxa"/>
              <w:bottom w:w="0" w:type="dxa"/>
              <w:right w:w="57" w:type="dxa"/>
            </w:tcMar>
            <w:vAlign w:val="center"/>
          </w:tcPr>
          <w:p w14:paraId="56B9D2AA">
            <w:pPr>
              <w:adjustRightInd w:val="0"/>
              <w:snapToGrid w:val="0"/>
              <w:spacing w:line="240" w:lineRule="auto"/>
              <w:jc w:val="center"/>
              <w:rPr>
                <w:sz w:val="21"/>
              </w:rPr>
            </w:pPr>
            <w:r>
              <w:rPr>
                <w:rFonts w:hint="eastAsia"/>
                <w:sz w:val="21"/>
              </w:rPr>
              <w:t>居民区</w:t>
            </w:r>
            <w:r>
              <w:rPr>
                <w:rFonts w:hint="eastAsia"/>
                <w:sz w:val="21"/>
                <w:lang w:eastAsia="zh-CN"/>
              </w:rPr>
              <w:t>、河流</w:t>
            </w:r>
          </w:p>
        </w:tc>
      </w:tr>
      <w:tr w14:paraId="49F82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shd w:val="clear" w:color="auto" w:fill="auto"/>
            <w:tcMar>
              <w:top w:w="0" w:type="dxa"/>
              <w:left w:w="57" w:type="dxa"/>
              <w:bottom w:w="0" w:type="dxa"/>
              <w:right w:w="57" w:type="dxa"/>
            </w:tcMar>
            <w:vAlign w:val="center"/>
          </w:tcPr>
          <w:p w14:paraId="4B85A267">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lang w:val="en-US" w:eastAsia="zh-CN"/>
              </w:rPr>
              <w:t>5</w:t>
            </w:r>
          </w:p>
        </w:tc>
        <w:tc>
          <w:tcPr>
            <w:tcW w:w="1335" w:type="dxa"/>
            <w:tcBorders>
              <w:tl2br w:val="nil"/>
              <w:tr2bl w:val="nil"/>
            </w:tcBorders>
            <w:shd w:val="clear" w:color="auto" w:fill="auto"/>
            <w:tcMar>
              <w:top w:w="0" w:type="dxa"/>
              <w:left w:w="57" w:type="dxa"/>
              <w:bottom w:w="0" w:type="dxa"/>
              <w:right w:w="57" w:type="dxa"/>
            </w:tcMar>
            <w:vAlign w:val="center"/>
          </w:tcPr>
          <w:p w14:paraId="5DC8D0AD">
            <w:pPr>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sz w:val="21"/>
              </w:rPr>
              <w:t>发电机房</w:t>
            </w:r>
          </w:p>
        </w:tc>
        <w:tc>
          <w:tcPr>
            <w:tcW w:w="1836" w:type="dxa"/>
            <w:tcBorders>
              <w:tl2br w:val="nil"/>
              <w:tr2bl w:val="nil"/>
            </w:tcBorders>
            <w:shd w:val="clear" w:color="auto" w:fill="auto"/>
            <w:tcMar>
              <w:top w:w="0" w:type="dxa"/>
              <w:left w:w="57" w:type="dxa"/>
              <w:bottom w:w="0" w:type="dxa"/>
              <w:right w:w="57" w:type="dxa"/>
            </w:tcMar>
            <w:vAlign w:val="center"/>
          </w:tcPr>
          <w:p w14:paraId="07755F0C">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柴油</w:t>
            </w:r>
            <w:r>
              <w:rPr>
                <w:rFonts w:hint="eastAsia"/>
                <w:sz w:val="21"/>
                <w:lang w:eastAsia="zh-CN"/>
              </w:rPr>
              <w:t>储罐</w:t>
            </w:r>
          </w:p>
        </w:tc>
        <w:tc>
          <w:tcPr>
            <w:tcW w:w="1039" w:type="dxa"/>
            <w:tcBorders>
              <w:tl2br w:val="nil"/>
              <w:tr2bl w:val="nil"/>
            </w:tcBorders>
            <w:shd w:val="clear" w:color="auto" w:fill="auto"/>
            <w:tcMar>
              <w:top w:w="0" w:type="dxa"/>
              <w:left w:w="57" w:type="dxa"/>
              <w:bottom w:w="0" w:type="dxa"/>
              <w:right w:w="57" w:type="dxa"/>
            </w:tcMar>
            <w:vAlign w:val="center"/>
          </w:tcPr>
          <w:p w14:paraId="4EA0512E">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柴油</w:t>
            </w:r>
          </w:p>
        </w:tc>
        <w:tc>
          <w:tcPr>
            <w:tcW w:w="2342" w:type="dxa"/>
            <w:tcBorders>
              <w:tl2br w:val="nil"/>
              <w:tr2bl w:val="nil"/>
            </w:tcBorders>
            <w:shd w:val="clear" w:color="auto" w:fill="auto"/>
            <w:tcMar>
              <w:top w:w="0" w:type="dxa"/>
              <w:left w:w="57" w:type="dxa"/>
              <w:bottom w:w="0" w:type="dxa"/>
              <w:right w:w="57" w:type="dxa"/>
            </w:tcMar>
            <w:vAlign w:val="center"/>
          </w:tcPr>
          <w:p w14:paraId="1B5F485E">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泄露、火灾</w:t>
            </w:r>
          </w:p>
        </w:tc>
        <w:tc>
          <w:tcPr>
            <w:tcW w:w="1062" w:type="dxa"/>
            <w:tcBorders>
              <w:tl2br w:val="nil"/>
              <w:tr2bl w:val="nil"/>
            </w:tcBorders>
            <w:shd w:val="clear" w:color="auto" w:fill="auto"/>
            <w:tcMar>
              <w:top w:w="0" w:type="dxa"/>
              <w:left w:w="57" w:type="dxa"/>
              <w:bottom w:w="0" w:type="dxa"/>
              <w:right w:w="57" w:type="dxa"/>
            </w:tcMar>
            <w:vAlign w:val="center"/>
          </w:tcPr>
          <w:p w14:paraId="4393D999">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大气、地表水、地下水</w:t>
            </w:r>
          </w:p>
        </w:tc>
        <w:tc>
          <w:tcPr>
            <w:tcW w:w="960" w:type="dxa"/>
            <w:tcBorders>
              <w:tl2br w:val="nil"/>
              <w:tr2bl w:val="nil"/>
            </w:tcBorders>
            <w:shd w:val="clear" w:color="auto" w:fill="auto"/>
            <w:tcMar>
              <w:top w:w="0" w:type="dxa"/>
              <w:left w:w="57" w:type="dxa"/>
              <w:bottom w:w="0" w:type="dxa"/>
              <w:right w:w="57" w:type="dxa"/>
            </w:tcMar>
            <w:vAlign w:val="center"/>
          </w:tcPr>
          <w:p w14:paraId="665FD321">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居民区</w:t>
            </w:r>
          </w:p>
        </w:tc>
      </w:tr>
      <w:tr w14:paraId="26556D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3" w:type="dxa"/>
            <w:tcBorders>
              <w:tl2br w:val="nil"/>
              <w:tr2bl w:val="nil"/>
            </w:tcBorders>
            <w:shd w:val="clear" w:color="auto" w:fill="auto"/>
            <w:tcMar>
              <w:top w:w="0" w:type="dxa"/>
              <w:left w:w="57" w:type="dxa"/>
              <w:bottom w:w="0" w:type="dxa"/>
              <w:right w:w="57" w:type="dxa"/>
            </w:tcMar>
            <w:vAlign w:val="center"/>
          </w:tcPr>
          <w:p w14:paraId="7DA45D13">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lang w:val="en-US" w:eastAsia="zh-CN"/>
              </w:rPr>
              <w:t>6</w:t>
            </w:r>
          </w:p>
        </w:tc>
        <w:tc>
          <w:tcPr>
            <w:tcW w:w="1335" w:type="dxa"/>
            <w:tcBorders>
              <w:tl2br w:val="nil"/>
              <w:tr2bl w:val="nil"/>
            </w:tcBorders>
            <w:shd w:val="clear" w:color="auto" w:fill="auto"/>
            <w:tcMar>
              <w:top w:w="0" w:type="dxa"/>
              <w:left w:w="57" w:type="dxa"/>
              <w:bottom w:w="0" w:type="dxa"/>
              <w:right w:w="57" w:type="dxa"/>
            </w:tcMar>
            <w:vAlign w:val="center"/>
          </w:tcPr>
          <w:p w14:paraId="69DD1FB1">
            <w:pPr>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color w:val="000000"/>
                <w:sz w:val="21"/>
                <w:lang w:eastAsia="zh-CN"/>
              </w:rPr>
              <w:t>尾气吸收塔</w:t>
            </w:r>
          </w:p>
        </w:tc>
        <w:tc>
          <w:tcPr>
            <w:tcW w:w="1836" w:type="dxa"/>
            <w:tcBorders>
              <w:tl2br w:val="nil"/>
              <w:tr2bl w:val="nil"/>
            </w:tcBorders>
            <w:shd w:val="clear" w:color="auto" w:fill="auto"/>
            <w:tcMar>
              <w:top w:w="0" w:type="dxa"/>
              <w:left w:w="57" w:type="dxa"/>
              <w:bottom w:w="0" w:type="dxa"/>
              <w:right w:w="57" w:type="dxa"/>
            </w:tcMar>
            <w:vAlign w:val="center"/>
          </w:tcPr>
          <w:p w14:paraId="3FDFF2D3">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储罐大小呼吸废气</w:t>
            </w:r>
          </w:p>
        </w:tc>
        <w:tc>
          <w:tcPr>
            <w:tcW w:w="1039" w:type="dxa"/>
            <w:tcBorders>
              <w:tl2br w:val="nil"/>
              <w:tr2bl w:val="nil"/>
            </w:tcBorders>
            <w:shd w:val="clear" w:color="auto" w:fill="auto"/>
            <w:tcMar>
              <w:top w:w="0" w:type="dxa"/>
              <w:left w:w="57" w:type="dxa"/>
              <w:bottom w:w="0" w:type="dxa"/>
              <w:right w:w="57" w:type="dxa"/>
            </w:tcMar>
            <w:vAlign w:val="center"/>
          </w:tcPr>
          <w:p w14:paraId="20EE8582">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lang w:eastAsia="zh-CN"/>
              </w:rPr>
              <w:t>氨</w:t>
            </w:r>
          </w:p>
        </w:tc>
        <w:tc>
          <w:tcPr>
            <w:tcW w:w="2342" w:type="dxa"/>
            <w:tcBorders>
              <w:tl2br w:val="nil"/>
              <w:tr2bl w:val="nil"/>
            </w:tcBorders>
            <w:shd w:val="clear" w:color="auto" w:fill="auto"/>
            <w:tcMar>
              <w:top w:w="0" w:type="dxa"/>
              <w:left w:w="57" w:type="dxa"/>
              <w:bottom w:w="0" w:type="dxa"/>
              <w:right w:w="57" w:type="dxa"/>
            </w:tcMar>
            <w:vAlign w:val="center"/>
          </w:tcPr>
          <w:p w14:paraId="1581E8F2">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环保设施故障</w:t>
            </w:r>
          </w:p>
        </w:tc>
        <w:tc>
          <w:tcPr>
            <w:tcW w:w="1062" w:type="dxa"/>
            <w:tcBorders>
              <w:tl2br w:val="nil"/>
              <w:tr2bl w:val="nil"/>
            </w:tcBorders>
            <w:shd w:val="clear" w:color="auto" w:fill="auto"/>
            <w:tcMar>
              <w:top w:w="0" w:type="dxa"/>
              <w:left w:w="57" w:type="dxa"/>
              <w:bottom w:w="0" w:type="dxa"/>
              <w:right w:w="57" w:type="dxa"/>
            </w:tcMar>
            <w:vAlign w:val="center"/>
          </w:tcPr>
          <w:p w14:paraId="550BFE74">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大气</w:t>
            </w:r>
          </w:p>
        </w:tc>
        <w:tc>
          <w:tcPr>
            <w:tcW w:w="960" w:type="dxa"/>
            <w:tcBorders>
              <w:tl2br w:val="nil"/>
              <w:tr2bl w:val="nil"/>
            </w:tcBorders>
            <w:shd w:val="clear" w:color="auto" w:fill="auto"/>
            <w:tcMar>
              <w:top w:w="0" w:type="dxa"/>
              <w:left w:w="57" w:type="dxa"/>
              <w:bottom w:w="0" w:type="dxa"/>
              <w:right w:w="57" w:type="dxa"/>
            </w:tcMar>
            <w:vAlign w:val="center"/>
          </w:tcPr>
          <w:p w14:paraId="3093B546">
            <w:pPr>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sz w:val="21"/>
              </w:rPr>
              <w:t>居民区</w:t>
            </w:r>
          </w:p>
        </w:tc>
      </w:tr>
    </w:tbl>
    <w:p w14:paraId="5A850419">
      <w:pPr>
        <w:autoSpaceDE w:val="0"/>
        <w:autoSpaceDN w:val="0"/>
        <w:adjustRightInd w:val="0"/>
        <w:snapToGrid w:val="0"/>
        <w:spacing w:line="240" w:lineRule="auto"/>
        <w:jc w:val="center"/>
        <w:textAlignment w:val="baseline"/>
        <w:rPr>
          <w:b/>
          <w:kern w:val="24"/>
          <w:szCs w:val="20"/>
        </w:rPr>
      </w:pPr>
    </w:p>
    <w:p w14:paraId="4F16C17C">
      <w:pPr>
        <w:autoSpaceDE w:val="0"/>
        <w:autoSpaceDN w:val="0"/>
        <w:adjustRightInd w:val="0"/>
        <w:snapToGrid w:val="0"/>
        <w:spacing w:line="240" w:lineRule="auto"/>
        <w:jc w:val="center"/>
        <w:textAlignment w:val="baseline"/>
        <w:rPr>
          <w:b/>
          <w:kern w:val="24"/>
          <w:szCs w:val="20"/>
        </w:rPr>
      </w:pPr>
      <w:r>
        <w:drawing>
          <wp:inline distT="0" distB="0" distL="114300" distR="114300">
            <wp:extent cx="5265420" cy="3902710"/>
            <wp:effectExtent l="0" t="0" r="11430" b="254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3"/>
                    <a:stretch>
                      <a:fillRect/>
                    </a:stretch>
                  </pic:blipFill>
                  <pic:spPr>
                    <a:xfrm>
                      <a:off x="0" y="0"/>
                      <a:ext cx="5265420" cy="3902710"/>
                    </a:xfrm>
                    <a:prstGeom prst="rect">
                      <a:avLst/>
                    </a:prstGeom>
                    <a:noFill/>
                    <a:ln>
                      <a:noFill/>
                    </a:ln>
                  </pic:spPr>
                </pic:pic>
              </a:graphicData>
            </a:graphic>
          </wp:inline>
        </w:drawing>
      </w:r>
    </w:p>
    <w:p w14:paraId="142877AD">
      <w:pPr>
        <w:autoSpaceDE w:val="0"/>
        <w:autoSpaceDN w:val="0"/>
        <w:adjustRightInd w:val="0"/>
        <w:snapToGrid w:val="0"/>
        <w:spacing w:line="240" w:lineRule="auto"/>
        <w:jc w:val="center"/>
        <w:textAlignment w:val="baseline"/>
        <w:rPr>
          <w:b/>
          <w:color w:val="000000"/>
          <w:kern w:val="24"/>
          <w:szCs w:val="20"/>
        </w:rPr>
      </w:pPr>
      <w:r>
        <w:rPr>
          <w:rFonts w:hint="eastAsia"/>
          <w:b/>
          <w:color w:val="000000"/>
          <w:kern w:val="24"/>
          <w:szCs w:val="20"/>
        </w:rPr>
        <w:t>图</w:t>
      </w:r>
      <w:r>
        <w:rPr>
          <w:rFonts w:hint="eastAsia"/>
          <w:b/>
          <w:color w:val="000000"/>
          <w:kern w:val="24"/>
          <w:szCs w:val="20"/>
          <w:lang w:val="en-US" w:eastAsia="zh-CN"/>
        </w:rPr>
        <w:t>4</w:t>
      </w:r>
      <w:r>
        <w:rPr>
          <w:rFonts w:hint="eastAsia"/>
          <w:b/>
          <w:color w:val="000000"/>
          <w:kern w:val="24"/>
          <w:szCs w:val="20"/>
        </w:rPr>
        <w:t>-1 项目危险单元分布图</w:t>
      </w:r>
    </w:p>
    <w:p w14:paraId="7F8B6831">
      <w:pPr>
        <w:pStyle w:val="2"/>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F762B78">
      <w:pPr>
        <w:pStyle w:val="2"/>
        <w:bidi w:val="0"/>
        <w:rPr>
          <w:rFonts w:hint="eastAsia"/>
          <w:lang w:val="en-US" w:eastAsia="zh-CN"/>
        </w:rPr>
      </w:pPr>
      <w:bookmarkStart w:id="26" w:name="_Toc23309"/>
      <w:r>
        <w:rPr>
          <w:rFonts w:hint="eastAsia"/>
          <w:lang w:val="en-US" w:eastAsia="zh-CN"/>
        </w:rPr>
        <w:t>5风险事故情形分析</w:t>
      </w:r>
      <w:bookmarkEnd w:id="26"/>
    </w:p>
    <w:p w14:paraId="65C48848">
      <w:pPr>
        <w:pStyle w:val="3"/>
        <w:bidi w:val="0"/>
        <w:rPr>
          <w:rFonts w:hint="eastAsia"/>
          <w:lang w:val="en-US" w:eastAsia="zh-CN"/>
        </w:rPr>
      </w:pPr>
      <w:r>
        <w:rPr>
          <w:rFonts w:hint="eastAsia"/>
          <w:lang w:val="en-US" w:eastAsia="zh-CN"/>
        </w:rPr>
        <w:t>5.1风险事故情形设定</w:t>
      </w:r>
    </w:p>
    <w:p w14:paraId="5B1AC8DB">
      <w:pPr>
        <w:ind w:firstLine="480" w:firstLineChars="200"/>
        <w:rPr>
          <w:rFonts w:hint="eastAsia" w:eastAsia="宋体"/>
          <w:lang w:val="en-US" w:eastAsia="zh-CN"/>
        </w:rPr>
      </w:pPr>
      <w:r>
        <w:rPr>
          <w:rFonts w:hint="eastAsia" w:eastAsia="宋体"/>
          <w:lang w:val="en-US" w:eastAsia="zh-CN"/>
        </w:rPr>
        <w:t>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67F7C85B">
      <w:pPr>
        <w:pStyle w:val="4"/>
        <w:bidi w:val="0"/>
        <w:rPr>
          <w:rFonts w:hint="eastAsia"/>
          <w:lang w:val="en-US" w:eastAsia="zh-CN"/>
        </w:rPr>
      </w:pPr>
      <w:r>
        <w:rPr>
          <w:rFonts w:hint="eastAsia"/>
          <w:lang w:val="en-US" w:eastAsia="zh-CN"/>
        </w:rPr>
        <w:t>5.1.1风险事故类型</w:t>
      </w:r>
    </w:p>
    <w:p w14:paraId="648D4D7B">
      <w:pPr>
        <w:ind w:firstLine="480" w:firstLineChars="200"/>
        <w:rPr>
          <w:rFonts w:hint="eastAsia" w:eastAsia="宋体"/>
          <w:lang w:val="en-US" w:eastAsia="zh-CN"/>
        </w:rPr>
      </w:pPr>
      <w:r>
        <w:rPr>
          <w:rFonts w:hint="eastAsia" w:eastAsia="宋体"/>
          <w:lang w:val="en-US" w:eastAsia="zh-CN"/>
        </w:rPr>
        <w:t>根据</w:t>
      </w:r>
      <w:r>
        <w:rPr>
          <w:rFonts w:hint="eastAsia"/>
          <w:lang w:val="en-US" w:eastAsia="zh-CN"/>
        </w:rPr>
        <w:t>本项目</w:t>
      </w:r>
      <w:r>
        <w:rPr>
          <w:rFonts w:hint="eastAsia" w:eastAsia="宋体"/>
          <w:lang w:val="en-US" w:eastAsia="zh-CN"/>
        </w:rPr>
        <w:t>生产物特点以及有毒有害、易燃物质放散的起因，基于对主要危险性装置重点部位及薄弱环节的分析、火灾爆炸指数分析及类比调查分析结果，</w:t>
      </w:r>
      <w:r>
        <w:rPr>
          <w:rFonts w:hint="eastAsia"/>
          <w:lang w:val="en-US" w:eastAsia="zh-CN"/>
        </w:rPr>
        <w:t>本项目</w:t>
      </w:r>
      <w:r>
        <w:rPr>
          <w:rFonts w:hint="eastAsia" w:eastAsia="宋体"/>
          <w:lang w:val="en-US" w:eastAsia="zh-CN"/>
        </w:rPr>
        <w:t>液氨</w:t>
      </w:r>
      <w:r>
        <w:rPr>
          <w:rFonts w:hint="eastAsia"/>
          <w:lang w:val="en-US" w:eastAsia="zh-CN"/>
        </w:rPr>
        <w:t>装卸鹤管、液氨钢瓶充装秤和液氨球罐</w:t>
      </w:r>
      <w:r>
        <w:rPr>
          <w:rFonts w:hint="eastAsia" w:eastAsia="宋体"/>
          <w:lang w:val="en-US" w:eastAsia="zh-CN"/>
        </w:rPr>
        <w:t>潜在危害是有毒物质泄漏和火灾；氨水生产装置</w:t>
      </w:r>
      <w:r>
        <w:rPr>
          <w:rFonts w:hint="eastAsia"/>
          <w:lang w:val="en-US" w:eastAsia="zh-CN"/>
        </w:rPr>
        <w:t>、氨水储罐和氨水装车装置</w:t>
      </w:r>
      <w:r>
        <w:rPr>
          <w:rFonts w:hint="eastAsia" w:eastAsia="宋体"/>
          <w:lang w:val="en-US" w:eastAsia="zh-CN"/>
        </w:rPr>
        <w:t>潜在危害是有毒物质泄漏。</w:t>
      </w:r>
    </w:p>
    <w:p w14:paraId="7259822B">
      <w:pPr>
        <w:pStyle w:val="4"/>
        <w:bidi w:val="0"/>
        <w:rPr>
          <w:rFonts w:hint="eastAsia"/>
          <w:lang w:val="en-US" w:eastAsia="zh-CN"/>
        </w:rPr>
      </w:pPr>
      <w:r>
        <w:rPr>
          <w:rFonts w:hint="eastAsia"/>
          <w:lang w:val="en-US" w:eastAsia="zh-CN"/>
        </w:rPr>
        <w:t>5.1.2运输过程中的泄漏风险事故情形分析</w:t>
      </w:r>
    </w:p>
    <w:p w14:paraId="4028985D">
      <w:pPr>
        <w:ind w:firstLine="480" w:firstLineChars="200"/>
        <w:rPr>
          <w:rFonts w:hint="eastAsia" w:eastAsia="宋体"/>
          <w:lang w:val="en-US" w:eastAsia="zh-CN"/>
        </w:rPr>
      </w:pPr>
      <w:r>
        <w:rPr>
          <w:rFonts w:hint="eastAsia" w:eastAsia="宋体"/>
          <w:lang w:val="en-US" w:eastAsia="zh-CN"/>
        </w:rPr>
        <w:t>本项目外购回来的液氨作为原辅材料、生产得到的氨水以及充瓶分装后的液氨均有采用运输车辆运输，如不按照有关规范、要求包装危险化学品，或不用专用危险化学品运输车运输，如装车或运输途中发生包装破损导致漏液沿途滴漏，进入河道会引起水体污染，并对周围人群造成潜在威胁。</w:t>
      </w:r>
    </w:p>
    <w:p w14:paraId="439F603C">
      <w:pPr>
        <w:ind w:firstLine="480" w:firstLineChars="200"/>
        <w:rPr>
          <w:rFonts w:hint="eastAsia" w:eastAsia="宋体"/>
          <w:lang w:val="en-US" w:eastAsia="zh-CN"/>
        </w:rPr>
      </w:pPr>
      <w:r>
        <w:rPr>
          <w:rFonts w:hint="eastAsia" w:eastAsia="宋体"/>
          <w:lang w:val="en-US" w:eastAsia="zh-CN"/>
        </w:rPr>
        <w:t>运输车辆发生交通事故与各种因素有关，这些因素包括：驾驶员个人因素、运输量、车次、车速、交通量、道路状况等交通条件、道路所在地区气候条件等。</w:t>
      </w:r>
    </w:p>
    <w:p w14:paraId="1ECBDC7E">
      <w:pPr>
        <w:ind w:firstLine="480" w:firstLineChars="200"/>
        <w:rPr>
          <w:rFonts w:hint="eastAsia" w:eastAsia="宋体"/>
          <w:lang w:val="en-US" w:eastAsia="zh-CN"/>
        </w:rPr>
      </w:pPr>
      <w:r>
        <w:rPr>
          <w:rFonts w:hint="eastAsia" w:eastAsia="宋体"/>
          <w:lang w:val="en-US" w:eastAsia="zh-CN"/>
        </w:rPr>
        <w:t>危险化学品运输必须严格按一定的方式进行，同时应有固定的运输路线。随着运输方式、操作方法的不同，运输危险性程度不同。危险化学品运输过程可能出现的环境风险情况见下表。</w:t>
      </w:r>
    </w:p>
    <w:p w14:paraId="7BB82A9F">
      <w:pPr>
        <w:pStyle w:val="15"/>
        <w:bidi w:val="0"/>
        <w:rPr>
          <w:rFonts w:hint="eastAsia"/>
          <w:lang w:val="en-US" w:eastAsia="zh-CN"/>
        </w:rPr>
      </w:pPr>
      <w:r>
        <w:rPr>
          <w:rFonts w:hint="eastAsia"/>
          <w:lang w:val="en-US" w:eastAsia="zh-CN"/>
        </w:rPr>
        <w:t>表5-1 运输过程中可能出现的环境风险分析表</w:t>
      </w:r>
    </w:p>
    <w:tbl>
      <w:tblPr>
        <w:tblStyle w:val="11"/>
        <w:tblW w:w="853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2175"/>
        <w:gridCol w:w="1171"/>
        <w:gridCol w:w="5184"/>
      </w:tblGrid>
      <w:tr w14:paraId="0D2AA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175" w:type="dxa"/>
            <w:tcBorders>
              <w:tl2br w:val="nil"/>
              <w:tr2bl w:val="nil"/>
            </w:tcBorders>
            <w:vAlign w:val="center"/>
          </w:tcPr>
          <w:p w14:paraId="3288D0FF">
            <w:pPr>
              <w:pStyle w:val="14"/>
              <w:bidi w:val="0"/>
              <w:jc w:val="center"/>
              <w:rPr>
                <w:rFonts w:hint="eastAsia"/>
                <w:b/>
                <w:bCs/>
                <w:lang w:val="en-US" w:eastAsia="zh-CN"/>
              </w:rPr>
            </w:pPr>
            <w:r>
              <w:rPr>
                <w:rFonts w:hint="eastAsia"/>
                <w:b/>
                <w:bCs/>
                <w:lang w:val="en-US" w:eastAsia="zh-CN"/>
              </w:rPr>
              <w:t>风险源</w:t>
            </w:r>
          </w:p>
        </w:tc>
        <w:tc>
          <w:tcPr>
            <w:tcW w:w="1171" w:type="dxa"/>
            <w:tcBorders>
              <w:tl2br w:val="nil"/>
              <w:tr2bl w:val="nil"/>
            </w:tcBorders>
            <w:vAlign w:val="center"/>
          </w:tcPr>
          <w:p w14:paraId="62B46CF1">
            <w:pPr>
              <w:pStyle w:val="14"/>
              <w:bidi w:val="0"/>
              <w:jc w:val="center"/>
              <w:rPr>
                <w:rFonts w:hint="eastAsia"/>
                <w:b/>
                <w:bCs/>
                <w:lang w:val="en-US" w:eastAsia="zh-CN"/>
              </w:rPr>
            </w:pPr>
            <w:r>
              <w:rPr>
                <w:rFonts w:hint="eastAsia"/>
                <w:b/>
                <w:bCs/>
                <w:lang w:val="en-US" w:eastAsia="zh-CN"/>
              </w:rPr>
              <w:t>事故类型</w:t>
            </w:r>
          </w:p>
        </w:tc>
        <w:tc>
          <w:tcPr>
            <w:tcW w:w="5184" w:type="dxa"/>
            <w:tcBorders>
              <w:tl2br w:val="nil"/>
              <w:tr2bl w:val="nil"/>
            </w:tcBorders>
            <w:vAlign w:val="center"/>
          </w:tcPr>
          <w:p w14:paraId="01F11DAF">
            <w:pPr>
              <w:pStyle w:val="14"/>
              <w:bidi w:val="0"/>
              <w:jc w:val="center"/>
              <w:rPr>
                <w:rFonts w:hint="eastAsia"/>
                <w:b/>
                <w:bCs/>
                <w:lang w:val="en-US" w:eastAsia="zh-CN"/>
              </w:rPr>
            </w:pPr>
            <w:r>
              <w:rPr>
                <w:rFonts w:hint="eastAsia"/>
                <w:b/>
                <w:bCs/>
                <w:lang w:val="en-US" w:eastAsia="zh-CN"/>
              </w:rPr>
              <w:t>风险因素</w:t>
            </w:r>
          </w:p>
        </w:tc>
      </w:tr>
      <w:tr w14:paraId="04F245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175" w:type="dxa"/>
            <w:tcBorders>
              <w:tl2br w:val="nil"/>
              <w:tr2bl w:val="nil"/>
            </w:tcBorders>
            <w:vAlign w:val="center"/>
          </w:tcPr>
          <w:p w14:paraId="008CE0F0">
            <w:pPr>
              <w:pStyle w:val="14"/>
              <w:bidi w:val="0"/>
              <w:jc w:val="center"/>
              <w:rPr>
                <w:rFonts w:hint="eastAsia"/>
                <w:lang w:val="en-US" w:eastAsia="zh-CN"/>
              </w:rPr>
            </w:pPr>
            <w:r>
              <w:rPr>
                <w:rFonts w:hint="eastAsia"/>
                <w:lang w:val="en-US" w:eastAsia="zh-CN"/>
              </w:rPr>
              <w:t>人口集中区（村、镇、集市或学校）</w:t>
            </w:r>
          </w:p>
        </w:tc>
        <w:tc>
          <w:tcPr>
            <w:tcW w:w="1171" w:type="dxa"/>
            <w:tcBorders>
              <w:tl2br w:val="nil"/>
              <w:tr2bl w:val="nil"/>
            </w:tcBorders>
            <w:vAlign w:val="center"/>
          </w:tcPr>
          <w:p w14:paraId="3DF05056">
            <w:pPr>
              <w:pStyle w:val="14"/>
              <w:bidi w:val="0"/>
              <w:jc w:val="center"/>
              <w:rPr>
                <w:rFonts w:hint="eastAsia"/>
                <w:lang w:val="en-US" w:eastAsia="zh-CN"/>
              </w:rPr>
            </w:pPr>
            <w:r>
              <w:rPr>
                <w:rFonts w:hint="eastAsia"/>
                <w:lang w:val="en-US" w:eastAsia="zh-CN"/>
              </w:rPr>
              <w:t>交通事故</w:t>
            </w:r>
          </w:p>
        </w:tc>
        <w:tc>
          <w:tcPr>
            <w:tcW w:w="5184" w:type="dxa"/>
            <w:tcBorders>
              <w:tl2br w:val="nil"/>
              <w:tr2bl w:val="nil"/>
            </w:tcBorders>
            <w:vAlign w:val="center"/>
          </w:tcPr>
          <w:p w14:paraId="09727E0E">
            <w:pPr>
              <w:pStyle w:val="14"/>
              <w:bidi w:val="0"/>
              <w:jc w:val="center"/>
              <w:rPr>
                <w:rFonts w:hint="eastAsia"/>
                <w:lang w:val="en-US" w:eastAsia="zh-CN"/>
              </w:rPr>
            </w:pPr>
            <w:r>
              <w:rPr>
                <w:rFonts w:hint="eastAsia"/>
                <w:lang w:val="en-US" w:eastAsia="zh-CN"/>
              </w:rPr>
              <w:t>危险化学品散落于地面，引起废物是出流动、蒸发扩散，污染土壤、空气、威胁周围人群安全</w:t>
            </w:r>
          </w:p>
        </w:tc>
      </w:tr>
      <w:tr w14:paraId="7CE45D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175" w:type="dxa"/>
            <w:tcBorders>
              <w:tl2br w:val="nil"/>
              <w:tr2bl w:val="nil"/>
            </w:tcBorders>
            <w:vAlign w:val="center"/>
          </w:tcPr>
          <w:p w14:paraId="0EB94F45">
            <w:pPr>
              <w:pStyle w:val="14"/>
              <w:bidi w:val="0"/>
              <w:jc w:val="center"/>
              <w:rPr>
                <w:rFonts w:hint="eastAsia"/>
                <w:lang w:val="en-US" w:eastAsia="zh-CN"/>
              </w:rPr>
            </w:pPr>
            <w:r>
              <w:rPr>
                <w:rFonts w:hint="eastAsia"/>
                <w:lang w:val="en-US" w:eastAsia="zh-CN"/>
              </w:rPr>
              <w:t>水域敏感区</w:t>
            </w:r>
          </w:p>
        </w:tc>
        <w:tc>
          <w:tcPr>
            <w:tcW w:w="1171" w:type="dxa"/>
            <w:tcBorders>
              <w:tl2br w:val="nil"/>
              <w:tr2bl w:val="nil"/>
            </w:tcBorders>
            <w:vAlign w:val="center"/>
          </w:tcPr>
          <w:p w14:paraId="56BF1A2A">
            <w:pPr>
              <w:pStyle w:val="14"/>
              <w:bidi w:val="0"/>
              <w:jc w:val="center"/>
              <w:rPr>
                <w:rFonts w:hint="eastAsia"/>
                <w:lang w:val="en-US" w:eastAsia="zh-CN"/>
              </w:rPr>
            </w:pPr>
            <w:r>
              <w:rPr>
                <w:rFonts w:hint="eastAsia"/>
                <w:lang w:val="en-US" w:eastAsia="zh-CN"/>
              </w:rPr>
              <w:t>交通事故</w:t>
            </w:r>
          </w:p>
        </w:tc>
        <w:tc>
          <w:tcPr>
            <w:tcW w:w="5184" w:type="dxa"/>
            <w:tcBorders>
              <w:tl2br w:val="nil"/>
              <w:tr2bl w:val="nil"/>
            </w:tcBorders>
            <w:vAlign w:val="center"/>
          </w:tcPr>
          <w:p w14:paraId="7D9087A5">
            <w:pPr>
              <w:pStyle w:val="14"/>
              <w:bidi w:val="0"/>
              <w:jc w:val="center"/>
              <w:rPr>
                <w:rFonts w:hint="eastAsia"/>
                <w:lang w:val="en-US" w:eastAsia="zh-CN"/>
              </w:rPr>
            </w:pPr>
            <w:r>
              <w:rPr>
                <w:rFonts w:hint="eastAsia"/>
                <w:lang w:val="en-US" w:eastAsia="zh-CN"/>
              </w:rPr>
              <w:t>危险化学品落入水中。废物中的有毒有害物质污染水体。</w:t>
            </w:r>
          </w:p>
        </w:tc>
      </w:tr>
      <w:tr w14:paraId="072A7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175" w:type="dxa"/>
            <w:tcBorders>
              <w:tl2br w:val="nil"/>
              <w:tr2bl w:val="nil"/>
            </w:tcBorders>
            <w:vAlign w:val="center"/>
          </w:tcPr>
          <w:p w14:paraId="415C26E9">
            <w:pPr>
              <w:pStyle w:val="14"/>
              <w:bidi w:val="0"/>
              <w:jc w:val="center"/>
              <w:rPr>
                <w:rFonts w:hint="eastAsia"/>
                <w:lang w:val="en-US" w:eastAsia="zh-CN"/>
              </w:rPr>
            </w:pPr>
            <w:r>
              <w:rPr>
                <w:rFonts w:hint="eastAsia"/>
                <w:lang w:val="en-US" w:eastAsia="zh-CN"/>
              </w:rPr>
              <w:t>其他事故易发地段</w:t>
            </w:r>
          </w:p>
        </w:tc>
        <w:tc>
          <w:tcPr>
            <w:tcW w:w="1171" w:type="dxa"/>
            <w:tcBorders>
              <w:tl2br w:val="nil"/>
              <w:tr2bl w:val="nil"/>
            </w:tcBorders>
            <w:vAlign w:val="center"/>
          </w:tcPr>
          <w:p w14:paraId="34C331F9">
            <w:pPr>
              <w:pStyle w:val="14"/>
              <w:bidi w:val="0"/>
              <w:jc w:val="center"/>
              <w:rPr>
                <w:rFonts w:hint="eastAsia"/>
                <w:lang w:val="en-US" w:eastAsia="zh-CN"/>
              </w:rPr>
            </w:pPr>
            <w:r>
              <w:rPr>
                <w:rFonts w:hint="eastAsia"/>
                <w:lang w:val="en-US" w:eastAsia="zh-CN"/>
              </w:rPr>
              <w:t>交通事故</w:t>
            </w:r>
          </w:p>
        </w:tc>
        <w:tc>
          <w:tcPr>
            <w:tcW w:w="5184" w:type="dxa"/>
            <w:tcBorders>
              <w:tl2br w:val="nil"/>
              <w:tr2bl w:val="nil"/>
            </w:tcBorders>
            <w:vAlign w:val="center"/>
          </w:tcPr>
          <w:p w14:paraId="72CB8E38">
            <w:pPr>
              <w:pStyle w:val="14"/>
              <w:bidi w:val="0"/>
              <w:jc w:val="center"/>
              <w:rPr>
                <w:rFonts w:hint="eastAsia"/>
                <w:lang w:val="en-US" w:eastAsia="zh-CN"/>
              </w:rPr>
            </w:pPr>
            <w:r>
              <w:rPr>
                <w:rFonts w:hint="eastAsia"/>
                <w:lang w:val="en-US" w:eastAsia="zh-CN"/>
              </w:rPr>
              <w:t>危险化学品散落地面，引起废物中的有毒有害物质污染水体、土壤、空气。</w:t>
            </w:r>
          </w:p>
        </w:tc>
      </w:tr>
    </w:tbl>
    <w:p w14:paraId="7FC12B94">
      <w:pPr>
        <w:pStyle w:val="15"/>
        <w:bidi w:val="0"/>
        <w:rPr>
          <w:rFonts w:hint="eastAsia"/>
          <w:lang w:val="en-US" w:eastAsia="zh-CN"/>
        </w:rPr>
      </w:pPr>
    </w:p>
    <w:p w14:paraId="404598DA">
      <w:pPr>
        <w:pStyle w:val="4"/>
        <w:bidi w:val="0"/>
        <w:rPr>
          <w:rFonts w:hint="eastAsia"/>
          <w:lang w:val="en-US" w:eastAsia="zh-CN"/>
        </w:rPr>
      </w:pPr>
      <w:r>
        <w:rPr>
          <w:rFonts w:hint="eastAsia"/>
          <w:lang w:val="en-US" w:eastAsia="zh-CN"/>
        </w:rPr>
        <w:t>5.1.3大气环境风险事故情形分析</w:t>
      </w:r>
    </w:p>
    <w:p w14:paraId="2AF77A35">
      <w:pPr>
        <w:ind w:firstLine="480" w:firstLineChars="200"/>
        <w:rPr>
          <w:rFonts w:hint="eastAsia"/>
          <w:lang w:val="en-US" w:eastAsia="zh-CN"/>
        </w:rPr>
      </w:pPr>
      <w:r>
        <w:rPr>
          <w:rFonts w:hint="eastAsia"/>
          <w:lang w:val="en-US" w:eastAsia="zh-CN"/>
        </w:rPr>
        <w:t>（1）最大可信事故确认</w:t>
      </w:r>
    </w:p>
    <w:p w14:paraId="1DE246B3">
      <w:pPr>
        <w:ind w:firstLine="480" w:firstLineChars="200"/>
        <w:rPr>
          <w:rFonts w:hint="eastAsia"/>
          <w:lang w:val="en-US" w:eastAsia="zh-CN"/>
        </w:rPr>
      </w:pPr>
      <w:r>
        <w:rPr>
          <w:rFonts w:hint="eastAsia"/>
          <w:lang w:val="en-US" w:eastAsia="zh-CN"/>
        </w:rPr>
        <w:t>根据《建设项目环境风险评价技术导则》（HJ169-2018）中要求设定的风险事故情形发生可能性应处于合理的区间，并与经济技术发展水平相适应。事故情形的设定应在环境风险识别的基础上筛选，设定的事故情形应具有危险物质、环境危害、影响途径等方面的代表性。</w:t>
      </w:r>
    </w:p>
    <w:p w14:paraId="3F896621">
      <w:pPr>
        <w:ind w:firstLine="480" w:firstLineChars="200"/>
        <w:rPr>
          <w:rFonts w:hint="eastAsia"/>
          <w:lang w:val="en-US" w:eastAsia="zh-CN"/>
        </w:rPr>
      </w:pPr>
      <w:r>
        <w:rPr>
          <w:rFonts w:hint="eastAsia"/>
          <w:lang w:val="en-US" w:eastAsia="zh-CN"/>
        </w:rPr>
        <w:t>（2）最大可信事故概率</w:t>
      </w:r>
    </w:p>
    <w:p w14:paraId="7C0D6761">
      <w:pPr>
        <w:ind w:firstLine="480" w:firstLineChars="200"/>
        <w:rPr>
          <w:rFonts w:hint="eastAsia"/>
          <w:lang w:val="en-US" w:eastAsia="zh-CN"/>
        </w:rPr>
      </w:pPr>
      <w:r>
        <w:rPr>
          <w:rFonts w:hint="eastAsia"/>
          <w:lang w:val="en-US" w:eastAsia="zh-CN"/>
        </w:rPr>
        <w:t>根据《建设项目环境风险评价技术导则》（HJ169－2018）中的定义最大可信事故指：是基于经验统计分析，在一定可能性区间内发生的事故中，造成环境危害最严重的事故。根据《建设项目环境风险评价技术导则》（HJ169－2018）附录E，泄漏事故类型如容器、管道、泵体、压缩机、装卸臂和装卸软管的泄漏和破裂等，泄漏频率见下表。</w:t>
      </w:r>
    </w:p>
    <w:p w14:paraId="3DABDDC4">
      <w:pPr>
        <w:pStyle w:val="15"/>
        <w:bidi w:val="0"/>
        <w:rPr>
          <w:rFonts w:hint="eastAsia"/>
          <w:lang w:val="en-US" w:eastAsia="zh-CN"/>
        </w:rPr>
      </w:pPr>
      <w:r>
        <w:rPr>
          <w:rFonts w:hint="eastAsia"/>
          <w:lang w:val="en-US" w:eastAsia="zh-CN"/>
        </w:rPr>
        <w:t>表5-2 泄漏频率表</w:t>
      </w:r>
    </w:p>
    <w:tbl>
      <w:tblPr>
        <w:tblStyle w:val="11"/>
        <w:tblW w:w="852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2842"/>
        <w:gridCol w:w="3463"/>
        <w:gridCol w:w="2223"/>
      </w:tblGrid>
      <w:tr w14:paraId="45EA94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tcBorders>
              <w:tl2br w:val="nil"/>
              <w:tr2bl w:val="nil"/>
            </w:tcBorders>
            <w:vAlign w:val="center"/>
          </w:tcPr>
          <w:p w14:paraId="365A89E3">
            <w:pPr>
              <w:pStyle w:val="14"/>
              <w:bidi w:val="0"/>
              <w:jc w:val="center"/>
              <w:rPr>
                <w:rFonts w:hint="eastAsia"/>
                <w:b/>
                <w:bCs/>
                <w:lang w:val="en-US" w:eastAsia="zh-CN"/>
              </w:rPr>
            </w:pPr>
            <w:r>
              <w:rPr>
                <w:rFonts w:hint="eastAsia"/>
                <w:b/>
                <w:bCs/>
                <w:lang w:val="en-US" w:eastAsia="zh-CN"/>
              </w:rPr>
              <w:t>部件类型</w:t>
            </w:r>
          </w:p>
        </w:tc>
        <w:tc>
          <w:tcPr>
            <w:tcW w:w="3463" w:type="dxa"/>
            <w:tcBorders>
              <w:tl2br w:val="nil"/>
              <w:tr2bl w:val="nil"/>
            </w:tcBorders>
            <w:vAlign w:val="center"/>
          </w:tcPr>
          <w:p w14:paraId="028D0798">
            <w:pPr>
              <w:pStyle w:val="14"/>
              <w:bidi w:val="0"/>
              <w:jc w:val="center"/>
              <w:rPr>
                <w:rFonts w:hint="eastAsia"/>
                <w:b/>
                <w:bCs/>
                <w:lang w:val="en-US" w:eastAsia="zh-CN"/>
              </w:rPr>
            </w:pPr>
            <w:r>
              <w:rPr>
                <w:rFonts w:hint="eastAsia"/>
                <w:b/>
                <w:bCs/>
                <w:lang w:val="en-US" w:eastAsia="zh-CN"/>
              </w:rPr>
              <w:t>泄漏模式</w:t>
            </w:r>
          </w:p>
        </w:tc>
        <w:tc>
          <w:tcPr>
            <w:tcW w:w="2223" w:type="dxa"/>
            <w:tcBorders>
              <w:tl2br w:val="nil"/>
              <w:tr2bl w:val="nil"/>
            </w:tcBorders>
            <w:vAlign w:val="center"/>
          </w:tcPr>
          <w:p w14:paraId="63E34F84">
            <w:pPr>
              <w:pStyle w:val="14"/>
              <w:bidi w:val="0"/>
              <w:jc w:val="center"/>
              <w:rPr>
                <w:rFonts w:hint="eastAsia"/>
                <w:b/>
                <w:bCs/>
                <w:lang w:val="en-US" w:eastAsia="zh-CN"/>
              </w:rPr>
            </w:pPr>
            <w:r>
              <w:rPr>
                <w:rFonts w:hint="eastAsia"/>
                <w:b/>
                <w:bCs/>
                <w:lang w:val="en-US" w:eastAsia="zh-CN"/>
              </w:rPr>
              <w:t>泄漏频率</w:t>
            </w:r>
          </w:p>
        </w:tc>
      </w:tr>
      <w:tr w14:paraId="1307AC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restart"/>
            <w:tcBorders>
              <w:tl2br w:val="nil"/>
              <w:tr2bl w:val="nil"/>
            </w:tcBorders>
            <w:vAlign w:val="center"/>
          </w:tcPr>
          <w:p w14:paraId="78261AFB">
            <w:pPr>
              <w:pStyle w:val="14"/>
              <w:bidi w:val="0"/>
              <w:jc w:val="center"/>
              <w:rPr>
                <w:rFonts w:hint="eastAsia"/>
                <w:lang w:val="en-US" w:eastAsia="zh-CN"/>
              </w:rPr>
            </w:pPr>
            <w:r>
              <w:rPr>
                <w:rFonts w:hint="eastAsia"/>
                <w:lang w:val="en-US" w:eastAsia="zh-CN"/>
              </w:rPr>
              <w:t>反应器</w:t>
            </w:r>
            <w:r>
              <w:rPr>
                <w:lang w:val="en-US" w:eastAsia="zh-CN"/>
              </w:rPr>
              <w:t>/</w:t>
            </w:r>
            <w:r>
              <w:rPr>
                <w:rFonts w:hint="eastAsia"/>
                <w:lang w:val="en-US" w:eastAsia="zh-CN"/>
              </w:rPr>
              <w:t>工艺储罐</w:t>
            </w:r>
            <w:r>
              <w:rPr>
                <w:lang w:val="en-US" w:eastAsia="zh-CN"/>
              </w:rPr>
              <w:t>/</w:t>
            </w:r>
            <w:r>
              <w:rPr>
                <w:rFonts w:hint="eastAsia"/>
                <w:lang w:val="en-US" w:eastAsia="zh-CN"/>
              </w:rPr>
              <w:t>气体储罐</w:t>
            </w:r>
          </w:p>
        </w:tc>
        <w:tc>
          <w:tcPr>
            <w:tcW w:w="3463" w:type="dxa"/>
            <w:tcBorders>
              <w:tl2br w:val="nil"/>
              <w:tr2bl w:val="nil"/>
            </w:tcBorders>
            <w:vAlign w:val="center"/>
          </w:tcPr>
          <w:p w14:paraId="703D6666">
            <w:pPr>
              <w:pStyle w:val="14"/>
              <w:bidi w:val="0"/>
              <w:jc w:val="left"/>
              <w:rPr>
                <w:rFonts w:hint="eastAsia"/>
                <w:lang w:val="en-US" w:eastAsia="zh-CN"/>
              </w:rPr>
            </w:pPr>
            <w:r>
              <w:rPr>
                <w:rFonts w:hint="eastAsia"/>
                <w:lang w:val="en-US" w:eastAsia="zh-CN"/>
              </w:rPr>
              <w:t>泄漏孔径为</w:t>
            </w:r>
            <w:r>
              <w:rPr>
                <w:lang w:val="en-US" w:eastAsia="zh-CN"/>
              </w:rPr>
              <w:t>10mm</w:t>
            </w:r>
            <w:r>
              <w:rPr>
                <w:rFonts w:hint="eastAsia"/>
                <w:lang w:val="en-US" w:eastAsia="zh-CN"/>
              </w:rPr>
              <w:t>孔径</w:t>
            </w:r>
          </w:p>
        </w:tc>
        <w:tc>
          <w:tcPr>
            <w:tcW w:w="2223" w:type="dxa"/>
            <w:tcBorders>
              <w:tl2br w:val="nil"/>
              <w:tr2bl w:val="nil"/>
            </w:tcBorders>
            <w:vAlign w:val="center"/>
          </w:tcPr>
          <w:p w14:paraId="4F9E9515">
            <w:pPr>
              <w:pStyle w:val="14"/>
              <w:bidi w:val="0"/>
              <w:jc w:val="left"/>
              <w:rPr>
                <w:lang w:val="en-US" w:eastAsia="zh-CN"/>
              </w:rPr>
            </w:pPr>
            <w:r>
              <w:rPr>
                <w:lang w:val="en-US" w:eastAsia="zh-CN"/>
              </w:rPr>
              <w:t>1.00×10</w:t>
            </w:r>
            <w:r>
              <w:rPr>
                <w:vertAlign w:val="superscript"/>
                <w:lang w:val="en-US" w:eastAsia="zh-CN"/>
              </w:rPr>
              <w:t>-4</w:t>
            </w:r>
            <w:r>
              <w:rPr>
                <w:lang w:val="en-US" w:eastAsia="zh-CN"/>
              </w:rPr>
              <w:t>/a</w:t>
            </w:r>
          </w:p>
        </w:tc>
      </w:tr>
      <w:tr w14:paraId="257493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continue"/>
            <w:tcBorders>
              <w:tl2br w:val="nil"/>
              <w:tr2bl w:val="nil"/>
            </w:tcBorders>
            <w:vAlign w:val="center"/>
          </w:tcPr>
          <w:p w14:paraId="4588582A">
            <w:pPr>
              <w:pStyle w:val="14"/>
              <w:bidi w:val="0"/>
              <w:jc w:val="left"/>
            </w:pPr>
          </w:p>
        </w:tc>
        <w:tc>
          <w:tcPr>
            <w:tcW w:w="3463" w:type="dxa"/>
            <w:tcBorders>
              <w:tl2br w:val="nil"/>
              <w:tr2bl w:val="nil"/>
            </w:tcBorders>
            <w:vAlign w:val="center"/>
          </w:tcPr>
          <w:p w14:paraId="60206D07">
            <w:pPr>
              <w:pStyle w:val="14"/>
              <w:bidi w:val="0"/>
              <w:jc w:val="left"/>
              <w:rPr>
                <w:rFonts w:hint="eastAsia"/>
                <w:lang w:val="en-US" w:eastAsia="zh-CN"/>
              </w:rPr>
            </w:pPr>
            <w:r>
              <w:rPr>
                <w:rFonts w:hint="eastAsia"/>
                <w:lang w:val="en-US" w:eastAsia="zh-CN"/>
              </w:rPr>
              <w:t>4</w:t>
            </w:r>
            <w:r>
              <w:rPr>
                <w:lang w:val="en-US" w:eastAsia="zh-CN"/>
              </w:rPr>
              <w:t>10min</w:t>
            </w:r>
            <w:r>
              <w:rPr>
                <w:rFonts w:hint="eastAsia"/>
                <w:lang w:val="en-US" w:eastAsia="zh-CN"/>
              </w:rPr>
              <w:t>内储罐泄漏完</w:t>
            </w:r>
          </w:p>
        </w:tc>
        <w:tc>
          <w:tcPr>
            <w:tcW w:w="2223" w:type="dxa"/>
            <w:tcBorders>
              <w:tl2br w:val="nil"/>
              <w:tr2bl w:val="nil"/>
            </w:tcBorders>
            <w:vAlign w:val="center"/>
          </w:tcPr>
          <w:p w14:paraId="17B2D622">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/a</w:t>
            </w:r>
          </w:p>
        </w:tc>
      </w:tr>
      <w:tr w14:paraId="2C9A52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continue"/>
            <w:tcBorders>
              <w:tl2br w:val="nil"/>
              <w:tr2bl w:val="nil"/>
            </w:tcBorders>
            <w:vAlign w:val="center"/>
          </w:tcPr>
          <w:p w14:paraId="73A6C632">
            <w:pPr>
              <w:pStyle w:val="14"/>
              <w:bidi w:val="0"/>
              <w:jc w:val="left"/>
              <w:rPr>
                <w:rFonts w:hint="eastAsia"/>
                <w:lang w:val="en-US" w:eastAsia="zh-CN"/>
              </w:rPr>
            </w:pPr>
          </w:p>
        </w:tc>
        <w:tc>
          <w:tcPr>
            <w:tcW w:w="3463" w:type="dxa"/>
            <w:tcBorders>
              <w:tl2br w:val="nil"/>
              <w:tr2bl w:val="nil"/>
            </w:tcBorders>
            <w:vAlign w:val="center"/>
          </w:tcPr>
          <w:p w14:paraId="72BA1459">
            <w:pPr>
              <w:pStyle w:val="14"/>
              <w:bidi w:val="0"/>
              <w:jc w:val="left"/>
              <w:rPr>
                <w:rFonts w:hint="eastAsia"/>
                <w:lang w:val="en-US" w:eastAsia="zh-CN"/>
              </w:rPr>
            </w:pPr>
            <w:r>
              <w:rPr>
                <w:rFonts w:hint="eastAsia"/>
                <w:lang w:val="en-US" w:eastAsia="zh-CN"/>
              </w:rPr>
              <w:t>储罐全破裂</w:t>
            </w:r>
          </w:p>
        </w:tc>
        <w:tc>
          <w:tcPr>
            <w:tcW w:w="2223" w:type="dxa"/>
            <w:tcBorders>
              <w:tl2br w:val="nil"/>
              <w:tr2bl w:val="nil"/>
            </w:tcBorders>
            <w:vAlign w:val="center"/>
          </w:tcPr>
          <w:p w14:paraId="0C229E82">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/a</w:t>
            </w:r>
          </w:p>
        </w:tc>
      </w:tr>
      <w:tr w14:paraId="387F26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restart"/>
            <w:tcBorders>
              <w:tl2br w:val="nil"/>
              <w:tr2bl w:val="nil"/>
            </w:tcBorders>
            <w:vAlign w:val="center"/>
          </w:tcPr>
          <w:p w14:paraId="19090B60">
            <w:pPr>
              <w:pStyle w:val="14"/>
              <w:bidi w:val="0"/>
              <w:jc w:val="center"/>
              <w:rPr>
                <w:rFonts w:hint="eastAsia"/>
                <w:lang w:val="en-US" w:eastAsia="zh-CN"/>
              </w:rPr>
            </w:pPr>
            <w:r>
              <w:rPr>
                <w:rFonts w:hint="eastAsia"/>
                <w:lang w:val="en-US" w:eastAsia="zh-CN"/>
              </w:rPr>
              <w:t>常压单包容储罐</w:t>
            </w:r>
          </w:p>
        </w:tc>
        <w:tc>
          <w:tcPr>
            <w:tcW w:w="3463" w:type="dxa"/>
            <w:tcBorders>
              <w:tl2br w:val="nil"/>
              <w:tr2bl w:val="nil"/>
            </w:tcBorders>
            <w:vAlign w:val="center"/>
          </w:tcPr>
          <w:p w14:paraId="018E2257">
            <w:pPr>
              <w:pStyle w:val="14"/>
              <w:bidi w:val="0"/>
              <w:jc w:val="left"/>
              <w:rPr>
                <w:rFonts w:hint="eastAsia"/>
                <w:lang w:val="en-US" w:eastAsia="zh-CN"/>
              </w:rPr>
            </w:pPr>
            <w:r>
              <w:rPr>
                <w:rFonts w:hint="eastAsia"/>
                <w:lang w:val="en-US" w:eastAsia="zh-CN"/>
              </w:rPr>
              <w:t>泄漏孔径为</w:t>
            </w:r>
            <w:r>
              <w:rPr>
                <w:lang w:val="en-US" w:eastAsia="zh-CN"/>
              </w:rPr>
              <w:t>10mm</w:t>
            </w:r>
            <w:r>
              <w:rPr>
                <w:rFonts w:hint="eastAsia"/>
                <w:lang w:val="en-US" w:eastAsia="zh-CN"/>
              </w:rPr>
              <w:t>孔径</w:t>
            </w:r>
          </w:p>
        </w:tc>
        <w:tc>
          <w:tcPr>
            <w:tcW w:w="2223" w:type="dxa"/>
            <w:tcBorders>
              <w:tl2br w:val="nil"/>
              <w:tr2bl w:val="nil"/>
            </w:tcBorders>
            <w:vAlign w:val="center"/>
          </w:tcPr>
          <w:p w14:paraId="34E81519">
            <w:pPr>
              <w:pStyle w:val="14"/>
              <w:bidi w:val="0"/>
              <w:jc w:val="left"/>
              <w:rPr>
                <w:lang w:val="en-US" w:eastAsia="zh-CN"/>
              </w:rPr>
            </w:pPr>
            <w:r>
              <w:rPr>
                <w:lang w:val="en-US" w:eastAsia="zh-CN"/>
              </w:rPr>
              <w:t>1.00×10</w:t>
            </w:r>
            <w:r>
              <w:rPr>
                <w:vertAlign w:val="superscript"/>
                <w:lang w:val="en-US" w:eastAsia="zh-CN"/>
              </w:rPr>
              <w:t>-4</w:t>
            </w:r>
            <w:r>
              <w:rPr>
                <w:lang w:val="en-US" w:eastAsia="zh-CN"/>
              </w:rPr>
              <w:t>/a</w:t>
            </w:r>
          </w:p>
        </w:tc>
      </w:tr>
      <w:tr w14:paraId="7FCB5B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continue"/>
            <w:tcBorders>
              <w:tl2br w:val="nil"/>
              <w:tr2bl w:val="nil"/>
            </w:tcBorders>
            <w:vAlign w:val="center"/>
          </w:tcPr>
          <w:p w14:paraId="446A687C">
            <w:pPr>
              <w:pStyle w:val="14"/>
              <w:bidi w:val="0"/>
              <w:jc w:val="left"/>
            </w:pPr>
          </w:p>
        </w:tc>
        <w:tc>
          <w:tcPr>
            <w:tcW w:w="3463" w:type="dxa"/>
            <w:tcBorders>
              <w:tl2br w:val="nil"/>
              <w:tr2bl w:val="nil"/>
            </w:tcBorders>
            <w:vAlign w:val="center"/>
          </w:tcPr>
          <w:p w14:paraId="6C53D186">
            <w:pPr>
              <w:pStyle w:val="14"/>
              <w:bidi w:val="0"/>
              <w:jc w:val="left"/>
              <w:rPr>
                <w:rFonts w:hint="eastAsia"/>
                <w:lang w:val="en-US" w:eastAsia="zh-CN"/>
              </w:rPr>
            </w:pPr>
            <w:r>
              <w:rPr>
                <w:rFonts w:hint="eastAsia"/>
                <w:lang w:val="en-US" w:eastAsia="zh-CN"/>
              </w:rPr>
              <w:t>4</w:t>
            </w:r>
            <w:r>
              <w:rPr>
                <w:lang w:val="en-US" w:eastAsia="zh-CN"/>
              </w:rPr>
              <w:t>10min</w:t>
            </w:r>
            <w:r>
              <w:rPr>
                <w:rFonts w:hint="eastAsia"/>
                <w:lang w:val="en-US" w:eastAsia="zh-CN"/>
              </w:rPr>
              <w:t>内储罐泄漏完</w:t>
            </w:r>
          </w:p>
        </w:tc>
        <w:tc>
          <w:tcPr>
            <w:tcW w:w="2223" w:type="dxa"/>
            <w:tcBorders>
              <w:tl2br w:val="nil"/>
              <w:tr2bl w:val="nil"/>
            </w:tcBorders>
            <w:vAlign w:val="center"/>
          </w:tcPr>
          <w:p w14:paraId="1F371F4F">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/a</w:t>
            </w:r>
          </w:p>
        </w:tc>
      </w:tr>
      <w:tr w14:paraId="501BBC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continue"/>
            <w:tcBorders>
              <w:tl2br w:val="nil"/>
              <w:tr2bl w:val="nil"/>
            </w:tcBorders>
            <w:vAlign w:val="center"/>
          </w:tcPr>
          <w:p w14:paraId="26F16711">
            <w:pPr>
              <w:pStyle w:val="14"/>
              <w:bidi w:val="0"/>
              <w:jc w:val="left"/>
              <w:rPr>
                <w:rFonts w:hint="eastAsia"/>
                <w:lang w:val="en-US" w:eastAsia="zh-CN"/>
              </w:rPr>
            </w:pPr>
          </w:p>
        </w:tc>
        <w:tc>
          <w:tcPr>
            <w:tcW w:w="3463" w:type="dxa"/>
            <w:tcBorders>
              <w:tl2br w:val="nil"/>
              <w:tr2bl w:val="nil"/>
            </w:tcBorders>
            <w:vAlign w:val="center"/>
          </w:tcPr>
          <w:p w14:paraId="0C1B76BA">
            <w:pPr>
              <w:pStyle w:val="14"/>
              <w:bidi w:val="0"/>
              <w:jc w:val="left"/>
              <w:rPr>
                <w:rFonts w:hint="eastAsia"/>
                <w:lang w:val="en-US" w:eastAsia="zh-CN"/>
              </w:rPr>
            </w:pPr>
            <w:r>
              <w:rPr>
                <w:rFonts w:hint="eastAsia"/>
                <w:lang w:val="en-US" w:eastAsia="zh-CN"/>
              </w:rPr>
              <w:t>储罐全破裂</w:t>
            </w:r>
          </w:p>
        </w:tc>
        <w:tc>
          <w:tcPr>
            <w:tcW w:w="2223" w:type="dxa"/>
            <w:tcBorders>
              <w:tl2br w:val="nil"/>
              <w:tr2bl w:val="nil"/>
            </w:tcBorders>
            <w:vAlign w:val="center"/>
          </w:tcPr>
          <w:p w14:paraId="23DDA40E">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/a</w:t>
            </w:r>
          </w:p>
        </w:tc>
      </w:tr>
      <w:tr w14:paraId="1E6F13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restart"/>
            <w:tcBorders>
              <w:tl2br w:val="nil"/>
              <w:tr2bl w:val="nil"/>
            </w:tcBorders>
            <w:vAlign w:val="center"/>
          </w:tcPr>
          <w:p w14:paraId="6B3F8477">
            <w:pPr>
              <w:pStyle w:val="14"/>
              <w:bidi w:val="0"/>
              <w:jc w:val="center"/>
              <w:rPr>
                <w:rFonts w:hint="eastAsia"/>
                <w:lang w:val="en-US" w:eastAsia="zh-CN"/>
              </w:rPr>
            </w:pPr>
            <w:r>
              <w:rPr>
                <w:rFonts w:hint="eastAsia"/>
                <w:lang w:val="en-US" w:eastAsia="zh-CN"/>
              </w:rPr>
              <w:t>常压双包容储罐</w:t>
            </w:r>
          </w:p>
        </w:tc>
        <w:tc>
          <w:tcPr>
            <w:tcW w:w="3463" w:type="dxa"/>
            <w:tcBorders>
              <w:tl2br w:val="nil"/>
              <w:tr2bl w:val="nil"/>
            </w:tcBorders>
            <w:vAlign w:val="center"/>
          </w:tcPr>
          <w:p w14:paraId="23D6F653">
            <w:pPr>
              <w:pStyle w:val="14"/>
              <w:bidi w:val="0"/>
              <w:jc w:val="left"/>
              <w:rPr>
                <w:rFonts w:hint="eastAsia"/>
                <w:lang w:val="en-US" w:eastAsia="zh-CN"/>
              </w:rPr>
            </w:pPr>
            <w:r>
              <w:rPr>
                <w:rFonts w:hint="eastAsia"/>
                <w:lang w:val="en-US" w:eastAsia="zh-CN"/>
              </w:rPr>
              <w:t>泄漏孔径为</w:t>
            </w:r>
            <w:r>
              <w:rPr>
                <w:lang w:val="en-US" w:eastAsia="zh-CN"/>
              </w:rPr>
              <w:t>10mm</w:t>
            </w:r>
            <w:r>
              <w:rPr>
                <w:rFonts w:hint="eastAsia"/>
                <w:lang w:val="en-US" w:eastAsia="zh-CN"/>
              </w:rPr>
              <w:t>孔径</w:t>
            </w:r>
          </w:p>
        </w:tc>
        <w:tc>
          <w:tcPr>
            <w:tcW w:w="2223" w:type="dxa"/>
            <w:tcBorders>
              <w:tl2br w:val="nil"/>
              <w:tr2bl w:val="nil"/>
            </w:tcBorders>
            <w:vAlign w:val="center"/>
          </w:tcPr>
          <w:p w14:paraId="256E4E43">
            <w:pPr>
              <w:pStyle w:val="14"/>
              <w:bidi w:val="0"/>
              <w:jc w:val="left"/>
              <w:rPr>
                <w:lang w:val="en-US" w:eastAsia="zh-CN"/>
              </w:rPr>
            </w:pPr>
            <w:r>
              <w:rPr>
                <w:lang w:val="en-US" w:eastAsia="zh-CN"/>
              </w:rPr>
              <w:t>1.00×10</w:t>
            </w:r>
            <w:r>
              <w:rPr>
                <w:vertAlign w:val="superscript"/>
                <w:lang w:val="en-US" w:eastAsia="zh-CN"/>
              </w:rPr>
              <w:t>-4</w:t>
            </w:r>
            <w:r>
              <w:rPr>
                <w:lang w:val="en-US" w:eastAsia="zh-CN"/>
              </w:rPr>
              <w:t>/a</w:t>
            </w:r>
          </w:p>
        </w:tc>
      </w:tr>
      <w:tr w14:paraId="64C34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continue"/>
            <w:tcBorders>
              <w:tl2br w:val="nil"/>
              <w:tr2bl w:val="nil"/>
            </w:tcBorders>
            <w:vAlign w:val="center"/>
          </w:tcPr>
          <w:p w14:paraId="77DD828B">
            <w:pPr>
              <w:pStyle w:val="14"/>
              <w:bidi w:val="0"/>
              <w:jc w:val="left"/>
            </w:pPr>
          </w:p>
        </w:tc>
        <w:tc>
          <w:tcPr>
            <w:tcW w:w="3463" w:type="dxa"/>
            <w:tcBorders>
              <w:tl2br w:val="nil"/>
              <w:tr2bl w:val="nil"/>
            </w:tcBorders>
            <w:vAlign w:val="center"/>
          </w:tcPr>
          <w:p w14:paraId="4489E0EF">
            <w:pPr>
              <w:pStyle w:val="14"/>
              <w:bidi w:val="0"/>
              <w:jc w:val="left"/>
              <w:rPr>
                <w:rFonts w:hint="eastAsia"/>
                <w:lang w:val="en-US" w:eastAsia="zh-CN"/>
              </w:rPr>
            </w:pPr>
            <w:r>
              <w:rPr>
                <w:rFonts w:hint="eastAsia"/>
                <w:lang w:val="en-US" w:eastAsia="zh-CN"/>
              </w:rPr>
              <w:t>4</w:t>
            </w:r>
            <w:r>
              <w:rPr>
                <w:lang w:val="en-US" w:eastAsia="zh-CN"/>
              </w:rPr>
              <w:t>10min</w:t>
            </w:r>
            <w:r>
              <w:rPr>
                <w:rFonts w:hint="eastAsia"/>
                <w:lang w:val="en-US" w:eastAsia="zh-CN"/>
              </w:rPr>
              <w:t>内储罐泄漏</w:t>
            </w:r>
          </w:p>
        </w:tc>
        <w:tc>
          <w:tcPr>
            <w:tcW w:w="2223" w:type="dxa"/>
            <w:tcBorders>
              <w:tl2br w:val="nil"/>
              <w:tr2bl w:val="nil"/>
            </w:tcBorders>
            <w:vAlign w:val="center"/>
          </w:tcPr>
          <w:p w14:paraId="43C8B9EB">
            <w:pPr>
              <w:pStyle w:val="14"/>
              <w:bidi w:val="0"/>
              <w:jc w:val="left"/>
              <w:rPr>
                <w:rFonts w:hint="eastAsia"/>
                <w:lang w:val="en-US" w:eastAsia="zh-CN"/>
              </w:rPr>
            </w:pPr>
            <w:r>
              <w:rPr>
                <w:lang w:val="en-US" w:eastAsia="zh-CN"/>
              </w:rPr>
              <w:t>1.25×10</w:t>
            </w:r>
            <w:r>
              <w:rPr>
                <w:vertAlign w:val="superscript"/>
                <w:lang w:val="en-US" w:eastAsia="zh-CN"/>
              </w:rPr>
              <w:t>-8</w:t>
            </w:r>
            <w:r>
              <w:rPr>
                <w:lang w:val="en-US" w:eastAsia="zh-CN"/>
              </w:rPr>
              <w:t>/a</w:t>
            </w:r>
          </w:p>
        </w:tc>
      </w:tr>
      <w:tr w14:paraId="38291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9" w:hRule="atLeast"/>
          <w:jc w:val="center"/>
        </w:trPr>
        <w:tc>
          <w:tcPr>
            <w:tcW w:w="2842" w:type="dxa"/>
            <w:vMerge w:val="continue"/>
            <w:tcBorders>
              <w:tl2br w:val="nil"/>
              <w:tr2bl w:val="nil"/>
            </w:tcBorders>
            <w:vAlign w:val="center"/>
          </w:tcPr>
          <w:p w14:paraId="17CCB64A">
            <w:pPr>
              <w:pStyle w:val="14"/>
              <w:bidi w:val="0"/>
              <w:jc w:val="left"/>
              <w:rPr>
                <w:rFonts w:hint="eastAsia"/>
                <w:lang w:val="en-US" w:eastAsia="zh-CN"/>
              </w:rPr>
            </w:pPr>
          </w:p>
        </w:tc>
        <w:tc>
          <w:tcPr>
            <w:tcW w:w="3463" w:type="dxa"/>
            <w:tcBorders>
              <w:tl2br w:val="nil"/>
              <w:tr2bl w:val="nil"/>
            </w:tcBorders>
            <w:vAlign w:val="center"/>
          </w:tcPr>
          <w:p w14:paraId="59746FC3">
            <w:pPr>
              <w:pStyle w:val="14"/>
              <w:bidi w:val="0"/>
              <w:jc w:val="left"/>
              <w:rPr>
                <w:rFonts w:hint="eastAsia"/>
                <w:lang w:val="en-US" w:eastAsia="zh-CN"/>
              </w:rPr>
            </w:pPr>
            <w:r>
              <w:rPr>
                <w:rFonts w:hint="eastAsia"/>
                <w:lang w:val="en-US" w:eastAsia="zh-CN"/>
              </w:rPr>
              <w:t>完储罐全破裂</w:t>
            </w:r>
          </w:p>
        </w:tc>
        <w:tc>
          <w:tcPr>
            <w:tcW w:w="2223" w:type="dxa"/>
            <w:tcBorders>
              <w:tl2br w:val="nil"/>
              <w:tr2bl w:val="nil"/>
            </w:tcBorders>
            <w:vAlign w:val="center"/>
          </w:tcPr>
          <w:p w14:paraId="5D7A1F0D">
            <w:pPr>
              <w:pStyle w:val="14"/>
              <w:bidi w:val="0"/>
              <w:jc w:val="left"/>
              <w:rPr>
                <w:rFonts w:hint="eastAsia"/>
                <w:lang w:val="en-US" w:eastAsia="zh-CN"/>
              </w:rPr>
            </w:pPr>
            <w:r>
              <w:rPr>
                <w:lang w:val="en-US" w:eastAsia="zh-CN"/>
              </w:rPr>
              <w:t>1.25×10</w:t>
            </w:r>
            <w:r>
              <w:rPr>
                <w:vertAlign w:val="superscript"/>
                <w:lang w:val="en-US" w:eastAsia="zh-CN"/>
              </w:rPr>
              <w:t>-8</w:t>
            </w:r>
            <w:r>
              <w:rPr>
                <w:lang w:val="en-US" w:eastAsia="zh-CN"/>
              </w:rPr>
              <w:t>/a</w:t>
            </w:r>
          </w:p>
        </w:tc>
      </w:tr>
      <w:tr w14:paraId="1EB1A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tcBorders>
              <w:tl2br w:val="nil"/>
              <w:tr2bl w:val="nil"/>
            </w:tcBorders>
            <w:vAlign w:val="center"/>
          </w:tcPr>
          <w:p w14:paraId="3B73F300">
            <w:pPr>
              <w:pStyle w:val="14"/>
              <w:bidi w:val="0"/>
              <w:jc w:val="center"/>
              <w:rPr>
                <w:rFonts w:hint="eastAsia"/>
                <w:lang w:val="en-US" w:eastAsia="zh-CN"/>
              </w:rPr>
            </w:pPr>
            <w:r>
              <w:rPr>
                <w:rFonts w:hint="eastAsia"/>
                <w:lang w:val="en-US" w:eastAsia="zh-CN"/>
              </w:rPr>
              <w:t>常压全包容储罐</w:t>
            </w:r>
          </w:p>
        </w:tc>
        <w:tc>
          <w:tcPr>
            <w:tcW w:w="3463" w:type="dxa"/>
            <w:tcBorders>
              <w:tl2br w:val="nil"/>
              <w:tr2bl w:val="nil"/>
            </w:tcBorders>
            <w:vAlign w:val="center"/>
          </w:tcPr>
          <w:p w14:paraId="0490D2A3">
            <w:pPr>
              <w:pStyle w:val="14"/>
              <w:bidi w:val="0"/>
              <w:jc w:val="left"/>
              <w:rPr>
                <w:rFonts w:hint="eastAsia"/>
                <w:lang w:val="en-US" w:eastAsia="zh-CN"/>
              </w:rPr>
            </w:pPr>
            <w:r>
              <w:rPr>
                <w:rFonts w:hint="eastAsia"/>
                <w:lang w:val="en-US" w:eastAsia="zh-CN"/>
              </w:rPr>
              <w:t>储罐全破裂</w:t>
            </w:r>
          </w:p>
        </w:tc>
        <w:tc>
          <w:tcPr>
            <w:tcW w:w="2223" w:type="dxa"/>
            <w:tcBorders>
              <w:tl2br w:val="nil"/>
              <w:tr2bl w:val="nil"/>
            </w:tcBorders>
            <w:vAlign w:val="center"/>
          </w:tcPr>
          <w:p w14:paraId="7DAA9B25">
            <w:pPr>
              <w:pStyle w:val="14"/>
              <w:bidi w:val="0"/>
              <w:jc w:val="left"/>
              <w:rPr>
                <w:lang w:val="en-US" w:eastAsia="zh-CN"/>
              </w:rPr>
            </w:pPr>
            <w:r>
              <w:rPr>
                <w:lang w:val="en-US" w:eastAsia="zh-CN"/>
              </w:rPr>
              <w:t>1.00×10</w:t>
            </w:r>
            <w:r>
              <w:rPr>
                <w:vertAlign w:val="superscript"/>
                <w:lang w:val="en-US" w:eastAsia="zh-CN"/>
              </w:rPr>
              <w:t>-8</w:t>
            </w:r>
            <w:r>
              <w:rPr>
                <w:lang w:val="en-US" w:eastAsia="zh-CN"/>
              </w:rPr>
              <w:t>/a</w:t>
            </w:r>
          </w:p>
        </w:tc>
      </w:tr>
      <w:tr w14:paraId="3D635E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7" w:hRule="atLeast"/>
          <w:jc w:val="center"/>
        </w:trPr>
        <w:tc>
          <w:tcPr>
            <w:tcW w:w="2842" w:type="dxa"/>
            <w:vMerge w:val="restart"/>
            <w:tcBorders>
              <w:tl2br w:val="nil"/>
              <w:tr2bl w:val="nil"/>
            </w:tcBorders>
            <w:vAlign w:val="center"/>
          </w:tcPr>
          <w:p w14:paraId="59B6ED31">
            <w:pPr>
              <w:pStyle w:val="14"/>
              <w:bidi w:val="0"/>
              <w:jc w:val="center"/>
              <w:rPr>
                <w:rFonts w:hint="eastAsia"/>
                <w:lang w:val="en-US" w:eastAsia="zh-CN"/>
              </w:rPr>
            </w:pPr>
            <w:r>
              <w:rPr>
                <w:rFonts w:hint="eastAsia"/>
                <w:lang w:val="en-US" w:eastAsia="zh-CN"/>
              </w:rPr>
              <w:t>内径</w:t>
            </w:r>
            <w:r>
              <w:rPr>
                <w:lang w:val="en-US" w:eastAsia="zh-CN"/>
              </w:rPr>
              <w:t>≤75mm</w:t>
            </w:r>
            <w:r>
              <w:rPr>
                <w:rFonts w:hint="eastAsia"/>
                <w:lang w:val="en-US" w:eastAsia="zh-CN"/>
              </w:rPr>
              <w:t>的管道</w:t>
            </w:r>
          </w:p>
        </w:tc>
        <w:tc>
          <w:tcPr>
            <w:tcW w:w="3463" w:type="dxa"/>
            <w:tcBorders>
              <w:tl2br w:val="nil"/>
              <w:tr2bl w:val="nil"/>
            </w:tcBorders>
            <w:vAlign w:val="center"/>
          </w:tcPr>
          <w:p w14:paraId="6361850A">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2223" w:type="dxa"/>
            <w:tcBorders>
              <w:tl2br w:val="nil"/>
              <w:tr2bl w:val="nil"/>
            </w:tcBorders>
            <w:vAlign w:val="center"/>
          </w:tcPr>
          <w:p w14:paraId="059C476A">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12EE9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7" w:hRule="atLeast"/>
          <w:jc w:val="center"/>
        </w:trPr>
        <w:tc>
          <w:tcPr>
            <w:tcW w:w="2842" w:type="dxa"/>
            <w:vMerge w:val="continue"/>
            <w:tcBorders>
              <w:tl2br w:val="nil"/>
              <w:tr2bl w:val="nil"/>
            </w:tcBorders>
            <w:vAlign w:val="center"/>
          </w:tcPr>
          <w:p w14:paraId="33BF7F6B">
            <w:pPr>
              <w:pStyle w:val="14"/>
              <w:bidi w:val="0"/>
              <w:jc w:val="left"/>
            </w:pPr>
          </w:p>
        </w:tc>
        <w:tc>
          <w:tcPr>
            <w:tcW w:w="3463" w:type="dxa"/>
            <w:tcBorders>
              <w:tl2br w:val="nil"/>
              <w:tr2bl w:val="nil"/>
            </w:tcBorders>
            <w:vAlign w:val="center"/>
          </w:tcPr>
          <w:p w14:paraId="15C91336">
            <w:pPr>
              <w:pStyle w:val="14"/>
              <w:bidi w:val="0"/>
              <w:jc w:val="left"/>
              <w:rPr>
                <w:rFonts w:hint="eastAsia"/>
                <w:lang w:val="en-US" w:eastAsia="zh-CN"/>
              </w:rPr>
            </w:pPr>
            <w:r>
              <w:rPr>
                <w:rFonts w:hint="eastAsia"/>
                <w:lang w:val="en-US" w:eastAsia="zh-CN"/>
              </w:rPr>
              <w:t>全管径泄漏</w:t>
            </w:r>
          </w:p>
        </w:tc>
        <w:tc>
          <w:tcPr>
            <w:tcW w:w="2223" w:type="dxa"/>
            <w:tcBorders>
              <w:tl2br w:val="nil"/>
              <w:tr2bl w:val="nil"/>
            </w:tcBorders>
            <w:vAlign w:val="center"/>
          </w:tcPr>
          <w:p w14:paraId="3F6C06C6">
            <w:pPr>
              <w:pStyle w:val="14"/>
              <w:bidi w:val="0"/>
              <w:jc w:val="left"/>
              <w:rPr>
                <w:rFonts w:hint="eastAsia"/>
                <w:lang w:val="en-US" w:eastAsia="zh-CN"/>
              </w:rPr>
            </w:pPr>
            <w:r>
              <w:rPr>
                <w:lang w:val="en-US" w:eastAsia="zh-CN"/>
              </w:rPr>
              <w:t>1.00×10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02C665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7" w:hRule="atLeast"/>
          <w:jc w:val="center"/>
        </w:trPr>
        <w:tc>
          <w:tcPr>
            <w:tcW w:w="2842" w:type="dxa"/>
            <w:vMerge w:val="restart"/>
            <w:tcBorders>
              <w:tl2br w:val="nil"/>
              <w:tr2bl w:val="nil"/>
            </w:tcBorders>
            <w:vAlign w:val="center"/>
          </w:tcPr>
          <w:p w14:paraId="2448A9D9">
            <w:pPr>
              <w:pStyle w:val="14"/>
              <w:bidi w:val="0"/>
              <w:jc w:val="center"/>
              <w:rPr>
                <w:rFonts w:hint="eastAsia"/>
                <w:lang w:val="en-US" w:eastAsia="zh-CN"/>
              </w:rPr>
            </w:pPr>
            <w:r>
              <w:rPr>
                <w:lang w:val="en-US" w:eastAsia="zh-CN"/>
              </w:rPr>
              <w:t>75mm≤</w:t>
            </w:r>
            <w:r>
              <w:rPr>
                <w:rFonts w:hint="eastAsia"/>
                <w:lang w:val="en-US" w:eastAsia="zh-CN"/>
              </w:rPr>
              <w:t>内径</w:t>
            </w:r>
            <w:r>
              <w:rPr>
                <w:lang w:val="en-US" w:eastAsia="zh-CN"/>
              </w:rPr>
              <w:t>≤150mm</w:t>
            </w:r>
            <w:r>
              <w:rPr>
                <w:rFonts w:hint="eastAsia"/>
                <w:lang w:val="en-US" w:eastAsia="zh-CN"/>
              </w:rPr>
              <w:t>的管道</w:t>
            </w:r>
          </w:p>
        </w:tc>
        <w:tc>
          <w:tcPr>
            <w:tcW w:w="3463" w:type="dxa"/>
            <w:tcBorders>
              <w:tl2br w:val="nil"/>
              <w:tr2bl w:val="nil"/>
            </w:tcBorders>
            <w:vAlign w:val="center"/>
          </w:tcPr>
          <w:p w14:paraId="7FCD5950">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2223" w:type="dxa"/>
            <w:tcBorders>
              <w:tl2br w:val="nil"/>
              <w:tr2bl w:val="nil"/>
            </w:tcBorders>
            <w:vAlign w:val="center"/>
          </w:tcPr>
          <w:p w14:paraId="20FA3B04">
            <w:pPr>
              <w:pStyle w:val="14"/>
              <w:bidi w:val="0"/>
              <w:jc w:val="left"/>
              <w:rPr>
                <w:rFonts w:hint="eastAsia"/>
                <w:lang w:val="en-US" w:eastAsia="zh-CN"/>
              </w:rPr>
            </w:pPr>
            <w:r>
              <w:rPr>
                <w:lang w:val="en-US" w:eastAsia="zh-CN"/>
              </w:rPr>
              <w:t>2.00×10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6B3DD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67" w:hRule="atLeast"/>
          <w:jc w:val="center"/>
        </w:trPr>
        <w:tc>
          <w:tcPr>
            <w:tcW w:w="2842" w:type="dxa"/>
            <w:vMerge w:val="continue"/>
            <w:tcBorders>
              <w:tl2br w:val="nil"/>
              <w:tr2bl w:val="nil"/>
            </w:tcBorders>
            <w:vAlign w:val="center"/>
          </w:tcPr>
          <w:p w14:paraId="42961E5A">
            <w:pPr>
              <w:pStyle w:val="14"/>
              <w:bidi w:val="0"/>
              <w:jc w:val="left"/>
            </w:pPr>
          </w:p>
        </w:tc>
        <w:tc>
          <w:tcPr>
            <w:tcW w:w="3463" w:type="dxa"/>
            <w:tcBorders>
              <w:tl2br w:val="nil"/>
              <w:tr2bl w:val="nil"/>
            </w:tcBorders>
            <w:vAlign w:val="center"/>
          </w:tcPr>
          <w:p w14:paraId="3B3B3DC5">
            <w:pPr>
              <w:pStyle w:val="14"/>
              <w:bidi w:val="0"/>
              <w:jc w:val="left"/>
              <w:rPr>
                <w:rFonts w:hint="eastAsia"/>
                <w:lang w:val="en-US" w:eastAsia="zh-CN"/>
              </w:rPr>
            </w:pPr>
            <w:r>
              <w:rPr>
                <w:rFonts w:hint="eastAsia"/>
                <w:lang w:val="en-US" w:eastAsia="zh-CN"/>
              </w:rPr>
              <w:t>全管径泄漏</w:t>
            </w:r>
          </w:p>
        </w:tc>
        <w:tc>
          <w:tcPr>
            <w:tcW w:w="2223" w:type="dxa"/>
            <w:tcBorders>
              <w:tl2br w:val="nil"/>
              <w:tr2bl w:val="nil"/>
            </w:tcBorders>
            <w:vAlign w:val="center"/>
          </w:tcPr>
          <w:p w14:paraId="511845C2">
            <w:pPr>
              <w:pStyle w:val="14"/>
              <w:bidi w:val="0"/>
              <w:jc w:val="left"/>
              <w:rPr>
                <w:rFonts w:hint="eastAsia"/>
                <w:lang w:val="en-US" w:eastAsia="zh-CN"/>
              </w:rPr>
            </w:pPr>
            <w:r>
              <w:rPr>
                <w:lang w:val="en-US" w:eastAsia="zh-CN"/>
              </w:rPr>
              <w:t>3.00×10</w:t>
            </w:r>
            <w:r>
              <w:rPr>
                <w:vertAlign w:val="superscript"/>
                <w:lang w:val="en-US" w:eastAsia="zh-CN"/>
              </w:rPr>
              <w:t>-7</w:t>
            </w:r>
            <w:r>
              <w:rPr>
                <w:lang w:val="en-US" w:eastAsia="zh-CN"/>
              </w:rPr>
              <w:t>/</w:t>
            </w:r>
            <w:r>
              <w:rPr>
                <w:rFonts w:hint="eastAsia"/>
                <w:lang w:val="en-US" w:eastAsia="zh-CN"/>
              </w:rPr>
              <w:t>（</w:t>
            </w:r>
            <w:r>
              <w:rPr>
                <w:lang w:val="en-US" w:eastAsia="zh-CN"/>
              </w:rPr>
              <w:t>m·a</w:t>
            </w:r>
            <w:r>
              <w:rPr>
                <w:rFonts w:hint="eastAsia"/>
                <w:lang w:val="en-US" w:eastAsia="zh-CN"/>
              </w:rPr>
              <w:t>）</w:t>
            </w:r>
          </w:p>
        </w:tc>
      </w:tr>
      <w:tr w14:paraId="319C44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restart"/>
            <w:tcBorders>
              <w:tl2br w:val="nil"/>
              <w:tr2bl w:val="nil"/>
            </w:tcBorders>
            <w:vAlign w:val="center"/>
          </w:tcPr>
          <w:p w14:paraId="4BA768DD">
            <w:pPr>
              <w:pStyle w:val="14"/>
              <w:bidi w:val="0"/>
              <w:jc w:val="center"/>
              <w:rPr>
                <w:rFonts w:hint="eastAsia"/>
                <w:lang w:val="en-US" w:eastAsia="zh-CN"/>
              </w:rPr>
            </w:pPr>
            <w:r>
              <w:rPr>
                <w:rFonts w:hint="eastAsia"/>
                <w:lang w:val="en-US" w:eastAsia="zh-CN"/>
              </w:rPr>
              <w:t>内径＞</w:t>
            </w:r>
            <w:r>
              <w:rPr>
                <w:lang w:val="en-US" w:eastAsia="zh-CN"/>
              </w:rPr>
              <w:t>150mm</w:t>
            </w:r>
            <w:r>
              <w:rPr>
                <w:rFonts w:hint="eastAsia"/>
                <w:lang w:val="en-US" w:eastAsia="zh-CN"/>
              </w:rPr>
              <w:t>的管道</w:t>
            </w:r>
          </w:p>
        </w:tc>
        <w:tc>
          <w:tcPr>
            <w:tcW w:w="3463" w:type="dxa"/>
            <w:tcBorders>
              <w:tl2br w:val="nil"/>
              <w:tr2bl w:val="nil"/>
            </w:tcBorders>
            <w:vAlign w:val="center"/>
          </w:tcPr>
          <w:p w14:paraId="5A8FC1A3">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孔径（最大4</w:t>
            </w:r>
            <w:r>
              <w:rPr>
                <w:lang w:val="en-US" w:eastAsia="zh-CN"/>
              </w:rPr>
              <w:t>50mm</w:t>
            </w:r>
            <w:r>
              <w:rPr>
                <w:rFonts w:hint="eastAsia"/>
                <w:lang w:val="en-US" w:eastAsia="zh-CN"/>
              </w:rPr>
              <w:t>）</w:t>
            </w:r>
          </w:p>
        </w:tc>
        <w:tc>
          <w:tcPr>
            <w:tcW w:w="2223" w:type="dxa"/>
            <w:tcBorders>
              <w:tl2br w:val="nil"/>
              <w:tr2bl w:val="nil"/>
            </w:tcBorders>
            <w:vAlign w:val="center"/>
          </w:tcPr>
          <w:p w14:paraId="1CA9E9D1">
            <w:pPr>
              <w:pStyle w:val="14"/>
              <w:bidi w:val="0"/>
              <w:jc w:val="left"/>
              <w:rPr>
                <w:rFonts w:hint="eastAsia"/>
                <w:lang w:val="en-US" w:eastAsia="zh-CN"/>
              </w:rPr>
            </w:pPr>
            <w:r>
              <w:rPr>
                <w:lang w:val="en-US" w:eastAsia="zh-CN"/>
              </w:rPr>
              <w:t>2.40×10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62EB10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continue"/>
            <w:tcBorders>
              <w:tl2br w:val="nil"/>
              <w:tr2bl w:val="nil"/>
            </w:tcBorders>
            <w:vAlign w:val="center"/>
          </w:tcPr>
          <w:p w14:paraId="65C4D410">
            <w:pPr>
              <w:pStyle w:val="14"/>
              <w:bidi w:val="0"/>
              <w:jc w:val="center"/>
            </w:pPr>
          </w:p>
        </w:tc>
        <w:tc>
          <w:tcPr>
            <w:tcW w:w="3463" w:type="dxa"/>
            <w:tcBorders>
              <w:tl2br w:val="nil"/>
              <w:tr2bl w:val="nil"/>
            </w:tcBorders>
            <w:vAlign w:val="center"/>
          </w:tcPr>
          <w:p w14:paraId="07E307D2">
            <w:pPr>
              <w:pStyle w:val="14"/>
              <w:bidi w:val="0"/>
              <w:jc w:val="left"/>
              <w:rPr>
                <w:rFonts w:hint="eastAsia"/>
                <w:lang w:val="en-US" w:eastAsia="zh-CN"/>
              </w:rPr>
            </w:pPr>
            <w:r>
              <w:rPr>
                <w:rFonts w:hint="eastAsia"/>
                <w:lang w:val="en-US" w:eastAsia="zh-CN"/>
              </w:rPr>
              <w:t>全管径泄漏</w:t>
            </w:r>
          </w:p>
        </w:tc>
        <w:tc>
          <w:tcPr>
            <w:tcW w:w="2223" w:type="dxa"/>
            <w:tcBorders>
              <w:tl2br w:val="nil"/>
              <w:tr2bl w:val="nil"/>
            </w:tcBorders>
            <w:vAlign w:val="center"/>
          </w:tcPr>
          <w:p w14:paraId="2C9D139F">
            <w:pPr>
              <w:pStyle w:val="14"/>
              <w:bidi w:val="0"/>
              <w:jc w:val="left"/>
              <w:rPr>
                <w:rFonts w:hint="eastAsia"/>
                <w:lang w:val="en-US" w:eastAsia="zh-CN"/>
              </w:rPr>
            </w:pPr>
            <w:r>
              <w:rPr>
                <w:lang w:val="en-US" w:eastAsia="zh-CN"/>
              </w:rPr>
              <w:t>1.00×10</w:t>
            </w:r>
            <w:r>
              <w:rPr>
                <w:vertAlign w:val="superscript"/>
                <w:lang w:val="en-US" w:eastAsia="zh-CN"/>
              </w:rPr>
              <w:t>-7</w:t>
            </w:r>
            <w:r>
              <w:rPr>
                <w:lang w:val="en-US" w:eastAsia="zh-CN"/>
              </w:rPr>
              <w:t>/</w:t>
            </w:r>
            <w:r>
              <w:rPr>
                <w:rFonts w:hint="eastAsia"/>
                <w:lang w:val="en-US" w:eastAsia="zh-CN"/>
              </w:rPr>
              <w:t>（</w:t>
            </w:r>
            <w:r>
              <w:rPr>
                <w:lang w:val="en-US" w:eastAsia="zh-CN"/>
              </w:rPr>
              <w:t>m·a</w:t>
            </w:r>
            <w:r>
              <w:rPr>
                <w:rFonts w:hint="eastAsia"/>
                <w:lang w:val="en-US" w:eastAsia="zh-CN"/>
              </w:rPr>
              <w:t>）</w:t>
            </w:r>
          </w:p>
        </w:tc>
      </w:tr>
      <w:tr w14:paraId="46156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restart"/>
            <w:tcBorders>
              <w:tl2br w:val="nil"/>
              <w:tr2bl w:val="nil"/>
            </w:tcBorders>
            <w:vAlign w:val="center"/>
          </w:tcPr>
          <w:p w14:paraId="4550190F">
            <w:pPr>
              <w:pStyle w:val="14"/>
              <w:bidi w:val="0"/>
              <w:jc w:val="center"/>
              <w:rPr>
                <w:rFonts w:hint="eastAsia"/>
                <w:lang w:val="en-US" w:eastAsia="zh-CN"/>
              </w:rPr>
            </w:pPr>
            <w:r>
              <w:rPr>
                <w:rFonts w:hint="eastAsia"/>
                <w:lang w:val="en-US" w:eastAsia="zh-CN"/>
              </w:rPr>
              <w:t>泵体和压缩机</w:t>
            </w:r>
          </w:p>
        </w:tc>
        <w:tc>
          <w:tcPr>
            <w:tcW w:w="3463" w:type="dxa"/>
            <w:tcBorders>
              <w:tl2br w:val="nil"/>
              <w:tr2bl w:val="nil"/>
            </w:tcBorders>
            <w:vAlign w:val="center"/>
          </w:tcPr>
          <w:p w14:paraId="1CBBCF87">
            <w:pPr>
              <w:pStyle w:val="14"/>
              <w:bidi w:val="0"/>
              <w:jc w:val="left"/>
              <w:rPr>
                <w:rFonts w:hint="eastAsia"/>
                <w:lang w:val="en-US" w:eastAsia="zh-CN"/>
              </w:rPr>
            </w:pPr>
            <w:r>
              <w:rPr>
                <w:rFonts w:hint="eastAsia"/>
                <w:lang w:val="en-US" w:eastAsia="zh-CN"/>
              </w:rPr>
              <w:t>泵体和压缩机最大连接管泄漏孔径为</w:t>
            </w:r>
            <w:r>
              <w:rPr>
                <w:lang w:val="en-US" w:eastAsia="zh-CN"/>
              </w:rPr>
              <w:t>10%</w:t>
            </w:r>
            <w:r>
              <w:rPr>
                <w:rFonts w:hint="eastAsia"/>
                <w:lang w:val="en-US" w:eastAsia="zh-CN"/>
              </w:rPr>
              <w:t>孔径（最大</w:t>
            </w:r>
            <w:r>
              <w:rPr>
                <w:lang w:val="en-US" w:eastAsia="zh-CN"/>
              </w:rPr>
              <w:t>50mm</w:t>
            </w:r>
            <w:r>
              <w:rPr>
                <w:rFonts w:hint="eastAsia"/>
                <w:lang w:val="en-US" w:eastAsia="zh-CN"/>
              </w:rPr>
              <w:t>）</w:t>
            </w:r>
          </w:p>
        </w:tc>
        <w:tc>
          <w:tcPr>
            <w:tcW w:w="2223" w:type="dxa"/>
            <w:tcBorders>
              <w:tl2br w:val="nil"/>
              <w:tr2bl w:val="nil"/>
            </w:tcBorders>
            <w:vAlign w:val="center"/>
          </w:tcPr>
          <w:p w14:paraId="68BEB7C4">
            <w:pPr>
              <w:pStyle w:val="14"/>
              <w:bidi w:val="0"/>
              <w:jc w:val="left"/>
              <w:rPr>
                <w:lang w:val="en-US" w:eastAsia="zh-CN"/>
              </w:rPr>
            </w:pPr>
            <w:r>
              <w:rPr>
                <w:lang w:val="en-US" w:eastAsia="zh-CN"/>
              </w:rPr>
              <w:t>5.00×10</w:t>
            </w:r>
            <w:r>
              <w:rPr>
                <w:vertAlign w:val="superscript"/>
                <w:lang w:val="en-US" w:eastAsia="zh-CN"/>
              </w:rPr>
              <w:t>-4</w:t>
            </w:r>
            <w:r>
              <w:rPr>
                <w:lang w:val="en-US" w:eastAsia="zh-CN"/>
              </w:rPr>
              <w:t>/a</w:t>
            </w:r>
          </w:p>
        </w:tc>
      </w:tr>
      <w:tr w14:paraId="266CE6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continue"/>
            <w:tcBorders>
              <w:tl2br w:val="nil"/>
              <w:tr2bl w:val="nil"/>
            </w:tcBorders>
            <w:vAlign w:val="center"/>
          </w:tcPr>
          <w:p w14:paraId="47E0D2D4">
            <w:pPr>
              <w:pStyle w:val="14"/>
              <w:bidi w:val="0"/>
              <w:jc w:val="center"/>
            </w:pPr>
          </w:p>
        </w:tc>
        <w:tc>
          <w:tcPr>
            <w:tcW w:w="3463" w:type="dxa"/>
            <w:tcBorders>
              <w:tl2br w:val="nil"/>
              <w:tr2bl w:val="nil"/>
            </w:tcBorders>
            <w:vAlign w:val="center"/>
          </w:tcPr>
          <w:p w14:paraId="7C207D3B">
            <w:pPr>
              <w:pStyle w:val="14"/>
              <w:bidi w:val="0"/>
              <w:jc w:val="left"/>
              <w:rPr>
                <w:rFonts w:hint="eastAsia"/>
                <w:lang w:val="en-US" w:eastAsia="zh-CN"/>
              </w:rPr>
            </w:pPr>
            <w:r>
              <w:rPr>
                <w:rFonts w:hint="eastAsia"/>
                <w:lang w:val="en-US" w:eastAsia="zh-CN"/>
              </w:rPr>
              <w:t>泵体和压缩机最大连接管全管径泄漏</w:t>
            </w:r>
          </w:p>
        </w:tc>
        <w:tc>
          <w:tcPr>
            <w:tcW w:w="2223" w:type="dxa"/>
            <w:tcBorders>
              <w:tl2br w:val="nil"/>
              <w:tr2bl w:val="nil"/>
            </w:tcBorders>
            <w:vAlign w:val="center"/>
          </w:tcPr>
          <w:p w14:paraId="036AA5A9">
            <w:pPr>
              <w:pStyle w:val="14"/>
              <w:bidi w:val="0"/>
              <w:jc w:val="left"/>
              <w:rPr>
                <w:lang w:val="en-US" w:eastAsia="zh-CN"/>
              </w:rPr>
            </w:pPr>
            <w:r>
              <w:rPr>
                <w:lang w:val="en-US" w:eastAsia="zh-CN"/>
              </w:rPr>
              <w:t>1.00×10</w:t>
            </w:r>
            <w:r>
              <w:rPr>
                <w:vertAlign w:val="superscript"/>
                <w:lang w:val="en-US" w:eastAsia="zh-CN"/>
              </w:rPr>
              <w:t>-4</w:t>
            </w:r>
            <w:r>
              <w:rPr>
                <w:lang w:val="en-US" w:eastAsia="zh-CN"/>
              </w:rPr>
              <w:t>/a</w:t>
            </w:r>
          </w:p>
        </w:tc>
      </w:tr>
      <w:tr w14:paraId="1AAE8E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restart"/>
            <w:tcBorders>
              <w:tl2br w:val="nil"/>
              <w:tr2bl w:val="nil"/>
            </w:tcBorders>
            <w:vAlign w:val="center"/>
          </w:tcPr>
          <w:p w14:paraId="2329FBAD">
            <w:pPr>
              <w:pStyle w:val="14"/>
              <w:bidi w:val="0"/>
              <w:jc w:val="center"/>
              <w:rPr>
                <w:rFonts w:hint="eastAsia"/>
                <w:lang w:val="en-US" w:eastAsia="zh-CN"/>
              </w:rPr>
            </w:pPr>
            <w:r>
              <w:rPr>
                <w:rFonts w:hint="eastAsia"/>
                <w:lang w:val="en-US" w:eastAsia="zh-CN"/>
              </w:rPr>
              <w:t>装卸臂</w:t>
            </w:r>
          </w:p>
        </w:tc>
        <w:tc>
          <w:tcPr>
            <w:tcW w:w="3463" w:type="dxa"/>
            <w:tcBorders>
              <w:tl2br w:val="nil"/>
              <w:tr2bl w:val="nil"/>
            </w:tcBorders>
            <w:vAlign w:val="center"/>
          </w:tcPr>
          <w:p w14:paraId="436254B0">
            <w:pPr>
              <w:pStyle w:val="14"/>
              <w:bidi w:val="0"/>
              <w:jc w:val="left"/>
              <w:rPr>
                <w:rFonts w:hint="eastAsia"/>
                <w:lang w:val="en-US" w:eastAsia="zh-CN"/>
              </w:rPr>
            </w:pPr>
            <w:r>
              <w:rPr>
                <w:rFonts w:hint="eastAsia"/>
                <w:lang w:val="en-US" w:eastAsia="zh-CN"/>
              </w:rPr>
              <w:t>装卸臂连接管泄漏孔径为</w:t>
            </w:r>
            <w:r>
              <w:rPr>
                <w:lang w:val="en-US" w:eastAsia="zh-CN"/>
              </w:rPr>
              <w:t>10%</w:t>
            </w:r>
            <w:r>
              <w:rPr>
                <w:rFonts w:hint="eastAsia"/>
                <w:lang w:val="en-US" w:eastAsia="zh-CN"/>
              </w:rPr>
              <w:t>孔径（最大</w:t>
            </w:r>
            <w:r>
              <w:rPr>
                <w:lang w:val="en-US" w:eastAsia="zh-CN"/>
              </w:rPr>
              <w:t>50mm</w:t>
            </w:r>
            <w:r>
              <w:rPr>
                <w:rFonts w:hint="eastAsia"/>
                <w:lang w:val="en-US" w:eastAsia="zh-CN"/>
              </w:rPr>
              <w:t>）</w:t>
            </w:r>
          </w:p>
        </w:tc>
        <w:tc>
          <w:tcPr>
            <w:tcW w:w="2223" w:type="dxa"/>
            <w:tcBorders>
              <w:tl2br w:val="nil"/>
              <w:tr2bl w:val="nil"/>
            </w:tcBorders>
            <w:vAlign w:val="center"/>
          </w:tcPr>
          <w:p w14:paraId="15BE9997">
            <w:pPr>
              <w:pStyle w:val="14"/>
              <w:bidi w:val="0"/>
              <w:jc w:val="left"/>
              <w:rPr>
                <w:lang w:val="en-US" w:eastAsia="zh-CN"/>
              </w:rPr>
            </w:pPr>
            <w:r>
              <w:rPr>
                <w:lang w:val="en-US" w:eastAsia="zh-CN"/>
              </w:rPr>
              <w:t>3.00×10</w:t>
            </w:r>
            <w:r>
              <w:rPr>
                <w:vertAlign w:val="superscript"/>
                <w:lang w:val="en-US" w:eastAsia="zh-CN"/>
              </w:rPr>
              <w:t>-7</w:t>
            </w:r>
            <w:r>
              <w:rPr>
                <w:lang w:val="en-US" w:eastAsia="zh-CN"/>
              </w:rPr>
              <w:t>/h</w:t>
            </w:r>
          </w:p>
        </w:tc>
      </w:tr>
      <w:tr w14:paraId="6B69E1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continue"/>
            <w:tcBorders>
              <w:tl2br w:val="nil"/>
              <w:tr2bl w:val="nil"/>
            </w:tcBorders>
            <w:vAlign w:val="center"/>
          </w:tcPr>
          <w:p w14:paraId="69A4DDF8">
            <w:pPr>
              <w:pStyle w:val="14"/>
              <w:bidi w:val="0"/>
              <w:jc w:val="center"/>
            </w:pPr>
          </w:p>
        </w:tc>
        <w:tc>
          <w:tcPr>
            <w:tcW w:w="3463" w:type="dxa"/>
            <w:tcBorders>
              <w:tl2br w:val="nil"/>
              <w:tr2bl w:val="nil"/>
            </w:tcBorders>
            <w:vAlign w:val="center"/>
          </w:tcPr>
          <w:p w14:paraId="78E24BED">
            <w:pPr>
              <w:pStyle w:val="14"/>
              <w:bidi w:val="0"/>
              <w:jc w:val="left"/>
              <w:rPr>
                <w:rFonts w:hint="eastAsia"/>
                <w:lang w:val="en-US" w:eastAsia="zh-CN"/>
              </w:rPr>
            </w:pPr>
            <w:r>
              <w:rPr>
                <w:rFonts w:hint="eastAsia"/>
                <w:lang w:val="en-US" w:eastAsia="zh-CN"/>
              </w:rPr>
              <w:t>装卸臂全管径泄漏</w:t>
            </w:r>
          </w:p>
        </w:tc>
        <w:tc>
          <w:tcPr>
            <w:tcW w:w="2223" w:type="dxa"/>
            <w:tcBorders>
              <w:tl2br w:val="nil"/>
              <w:tr2bl w:val="nil"/>
            </w:tcBorders>
            <w:vAlign w:val="center"/>
          </w:tcPr>
          <w:p w14:paraId="0B1CAFD4">
            <w:pPr>
              <w:pStyle w:val="14"/>
              <w:bidi w:val="0"/>
              <w:jc w:val="left"/>
              <w:rPr>
                <w:lang w:val="en-US" w:eastAsia="zh-CN"/>
              </w:rPr>
            </w:pPr>
            <w:r>
              <w:rPr>
                <w:lang w:val="en-US" w:eastAsia="zh-CN"/>
              </w:rPr>
              <w:t>3.00×10</w:t>
            </w:r>
            <w:r>
              <w:rPr>
                <w:vertAlign w:val="superscript"/>
                <w:lang w:val="en-US" w:eastAsia="zh-CN"/>
              </w:rPr>
              <w:t>-8</w:t>
            </w:r>
            <w:r>
              <w:rPr>
                <w:lang w:val="en-US" w:eastAsia="zh-CN"/>
              </w:rPr>
              <w:t>/h</w:t>
            </w:r>
          </w:p>
        </w:tc>
      </w:tr>
      <w:tr w14:paraId="2A15C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restart"/>
            <w:tcBorders>
              <w:tl2br w:val="nil"/>
              <w:tr2bl w:val="nil"/>
            </w:tcBorders>
            <w:vAlign w:val="center"/>
          </w:tcPr>
          <w:p w14:paraId="02FD2922">
            <w:pPr>
              <w:pStyle w:val="14"/>
              <w:bidi w:val="0"/>
              <w:jc w:val="center"/>
              <w:rPr>
                <w:rFonts w:hint="eastAsia"/>
                <w:lang w:val="en-US" w:eastAsia="zh-CN"/>
              </w:rPr>
            </w:pPr>
            <w:r>
              <w:rPr>
                <w:rFonts w:hint="eastAsia"/>
                <w:lang w:val="en-US" w:eastAsia="zh-CN"/>
              </w:rPr>
              <w:t>装卸软管</w:t>
            </w:r>
          </w:p>
        </w:tc>
        <w:tc>
          <w:tcPr>
            <w:tcW w:w="3463" w:type="dxa"/>
            <w:tcBorders>
              <w:tl2br w:val="nil"/>
              <w:tr2bl w:val="nil"/>
            </w:tcBorders>
            <w:vAlign w:val="center"/>
          </w:tcPr>
          <w:p w14:paraId="0FA45238">
            <w:pPr>
              <w:pStyle w:val="14"/>
              <w:bidi w:val="0"/>
              <w:jc w:val="left"/>
              <w:rPr>
                <w:rFonts w:hint="eastAsia"/>
                <w:lang w:val="en-US" w:eastAsia="zh-CN"/>
              </w:rPr>
            </w:pPr>
            <w:r>
              <w:rPr>
                <w:rFonts w:hint="eastAsia"/>
                <w:lang w:val="en-US" w:eastAsia="zh-CN"/>
              </w:rPr>
              <w:t>装卸软管连接管泄漏孔径为</w:t>
            </w:r>
            <w:r>
              <w:rPr>
                <w:lang w:val="en-US" w:eastAsia="zh-CN"/>
              </w:rPr>
              <w:t>10%</w:t>
            </w:r>
            <w:r>
              <w:rPr>
                <w:rFonts w:hint="eastAsia"/>
                <w:lang w:val="en-US" w:eastAsia="zh-CN"/>
              </w:rPr>
              <w:t>孔径（最大</w:t>
            </w:r>
            <w:r>
              <w:rPr>
                <w:lang w:val="en-US" w:eastAsia="zh-CN"/>
              </w:rPr>
              <w:t>50mm</w:t>
            </w:r>
            <w:r>
              <w:rPr>
                <w:rFonts w:hint="eastAsia"/>
                <w:lang w:val="en-US" w:eastAsia="zh-CN"/>
              </w:rPr>
              <w:t>）</w:t>
            </w:r>
          </w:p>
        </w:tc>
        <w:tc>
          <w:tcPr>
            <w:tcW w:w="2223" w:type="dxa"/>
            <w:tcBorders>
              <w:tl2br w:val="nil"/>
              <w:tr2bl w:val="nil"/>
            </w:tcBorders>
            <w:vAlign w:val="center"/>
          </w:tcPr>
          <w:p w14:paraId="2A3AA661">
            <w:pPr>
              <w:pStyle w:val="14"/>
              <w:bidi w:val="0"/>
              <w:jc w:val="left"/>
              <w:rPr>
                <w:lang w:val="en-US" w:eastAsia="zh-CN"/>
              </w:rPr>
            </w:pPr>
            <w:r>
              <w:rPr>
                <w:lang w:val="en-US" w:eastAsia="zh-CN"/>
              </w:rPr>
              <w:t>4.00×10</w:t>
            </w:r>
            <w:r>
              <w:rPr>
                <w:vertAlign w:val="superscript"/>
                <w:lang w:val="en-US" w:eastAsia="zh-CN"/>
              </w:rPr>
              <w:t>-5</w:t>
            </w:r>
            <w:r>
              <w:rPr>
                <w:lang w:val="en-US" w:eastAsia="zh-CN"/>
              </w:rPr>
              <w:t>/h</w:t>
            </w:r>
          </w:p>
        </w:tc>
      </w:tr>
      <w:tr w14:paraId="09928E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2842" w:type="dxa"/>
            <w:vMerge w:val="continue"/>
            <w:tcBorders>
              <w:tl2br w:val="nil"/>
              <w:tr2bl w:val="nil"/>
            </w:tcBorders>
            <w:vAlign w:val="center"/>
          </w:tcPr>
          <w:p w14:paraId="3E17B0F1">
            <w:pPr>
              <w:pStyle w:val="14"/>
              <w:bidi w:val="0"/>
              <w:jc w:val="center"/>
            </w:pPr>
          </w:p>
        </w:tc>
        <w:tc>
          <w:tcPr>
            <w:tcW w:w="3463" w:type="dxa"/>
            <w:tcBorders>
              <w:tl2br w:val="nil"/>
              <w:tr2bl w:val="nil"/>
            </w:tcBorders>
            <w:vAlign w:val="center"/>
          </w:tcPr>
          <w:p w14:paraId="6767417C">
            <w:pPr>
              <w:pStyle w:val="14"/>
              <w:bidi w:val="0"/>
              <w:jc w:val="left"/>
              <w:rPr>
                <w:rFonts w:hint="eastAsia"/>
                <w:lang w:val="en-US" w:eastAsia="zh-CN"/>
              </w:rPr>
            </w:pPr>
            <w:r>
              <w:rPr>
                <w:rFonts w:hint="eastAsia"/>
                <w:lang w:val="en-US" w:eastAsia="zh-CN"/>
              </w:rPr>
              <w:t>卸软管全管径泄漏</w:t>
            </w:r>
          </w:p>
        </w:tc>
        <w:tc>
          <w:tcPr>
            <w:tcW w:w="2223" w:type="dxa"/>
            <w:tcBorders>
              <w:tl2br w:val="nil"/>
              <w:tr2bl w:val="nil"/>
            </w:tcBorders>
            <w:vAlign w:val="center"/>
          </w:tcPr>
          <w:p w14:paraId="26F7C74B">
            <w:pPr>
              <w:pStyle w:val="14"/>
              <w:bidi w:val="0"/>
              <w:jc w:val="left"/>
              <w:rPr>
                <w:lang w:val="en-US" w:eastAsia="zh-CN"/>
              </w:rPr>
            </w:pPr>
            <w:r>
              <w:rPr>
                <w:lang w:val="en-US" w:eastAsia="zh-CN"/>
              </w:rPr>
              <w:t>4.00×10</w:t>
            </w:r>
            <w:r>
              <w:rPr>
                <w:vertAlign w:val="superscript"/>
                <w:lang w:val="en-US" w:eastAsia="zh-CN"/>
              </w:rPr>
              <w:t>-6</w:t>
            </w:r>
            <w:r>
              <w:rPr>
                <w:lang w:val="en-US" w:eastAsia="zh-CN"/>
              </w:rPr>
              <w:t>/h</w:t>
            </w:r>
          </w:p>
        </w:tc>
      </w:tr>
      <w:tr w14:paraId="21A52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528" w:type="dxa"/>
            <w:gridSpan w:val="3"/>
            <w:tcBorders>
              <w:tl2br w:val="nil"/>
              <w:tr2bl w:val="nil"/>
            </w:tcBorders>
            <w:vAlign w:val="center"/>
          </w:tcPr>
          <w:p w14:paraId="0606459A">
            <w:pPr>
              <w:pStyle w:val="14"/>
              <w:bidi w:val="0"/>
              <w:jc w:val="left"/>
              <w:rPr>
                <w:rFonts w:hint="eastAsia"/>
                <w:lang w:val="en-US" w:eastAsia="zh-CN"/>
              </w:rPr>
            </w:pPr>
            <w:r>
              <w:rPr>
                <w:rFonts w:hint="eastAsia"/>
                <w:lang w:val="en-US" w:eastAsia="zh-CN"/>
              </w:rPr>
              <w:t xml:space="preserve">注：以上数据来源于荷兰 </w:t>
            </w:r>
            <w:r>
              <w:rPr>
                <w:lang w:val="en-US" w:eastAsia="zh-CN"/>
              </w:rPr>
              <w:t xml:space="preserve">TNO </w:t>
            </w:r>
            <w:r>
              <w:rPr>
                <w:rFonts w:hint="eastAsia"/>
                <w:lang w:val="en-US" w:eastAsia="zh-CN"/>
              </w:rPr>
              <w:t>紫皮书（</w:t>
            </w:r>
            <w:r>
              <w:rPr>
                <w:lang w:val="en-US" w:eastAsia="zh-CN"/>
              </w:rPr>
              <w:t>Guidelines for Quantitative</w:t>
            </w:r>
            <w:r>
              <w:rPr>
                <w:rFonts w:hint="eastAsia"/>
                <w:lang w:val="en-US" w:eastAsia="zh-CN"/>
              </w:rPr>
              <w:t xml:space="preserve">）以及 </w:t>
            </w:r>
            <w:r>
              <w:rPr>
                <w:lang w:val="en-US" w:eastAsia="zh-CN"/>
              </w:rPr>
              <w:t>Reference Manual Bevi Risk Assessments</w:t>
            </w:r>
            <w:r>
              <w:rPr>
                <w:rFonts w:hint="eastAsia"/>
                <w:lang w:val="en-US" w:eastAsia="zh-CN"/>
              </w:rPr>
              <w:t>；</w:t>
            </w:r>
            <w:r>
              <w:rPr>
                <w:lang w:val="en-US" w:eastAsia="zh-CN"/>
              </w:rPr>
              <w:t>*</w:t>
            </w:r>
            <w:r>
              <w:rPr>
                <w:rFonts w:hint="eastAsia"/>
                <w:lang w:val="en-US" w:eastAsia="zh-CN"/>
              </w:rPr>
              <w:t>来源于国际油气协会（</w:t>
            </w:r>
            <w:r>
              <w:rPr>
                <w:lang w:val="en-US" w:eastAsia="zh-CN"/>
              </w:rPr>
              <w:t>International Association of Oil &amp; GasProducers</w:t>
            </w:r>
            <w:r>
              <w:rPr>
                <w:rFonts w:hint="eastAsia"/>
                <w:lang w:val="en-US" w:eastAsia="zh-CN"/>
              </w:rPr>
              <w:t xml:space="preserve">）发布的 </w:t>
            </w:r>
            <w:r>
              <w:rPr>
                <w:lang w:val="en-US" w:eastAsia="zh-CN"/>
              </w:rPr>
              <w:t>Risk Assessment Data Directory</w:t>
            </w:r>
            <w:r>
              <w:rPr>
                <w:rFonts w:hint="eastAsia"/>
                <w:lang w:val="en-US" w:eastAsia="zh-CN"/>
              </w:rPr>
              <w:t>（</w:t>
            </w:r>
            <w:r>
              <w:rPr>
                <w:lang w:val="en-US" w:eastAsia="zh-CN"/>
              </w:rPr>
              <w:t>2010,3</w:t>
            </w:r>
            <w:r>
              <w:rPr>
                <w:rFonts w:hint="eastAsia"/>
                <w:lang w:val="en-US" w:eastAsia="zh-CN"/>
              </w:rPr>
              <w:t>）。</w:t>
            </w:r>
          </w:p>
        </w:tc>
      </w:tr>
    </w:tbl>
    <w:p w14:paraId="4A761B86">
      <w:pPr>
        <w:pStyle w:val="15"/>
        <w:bidi w:val="0"/>
        <w:rPr>
          <w:rFonts w:hint="eastAsia"/>
          <w:lang w:val="en-US" w:eastAsia="zh-CN"/>
        </w:rPr>
      </w:pPr>
    </w:p>
    <w:p w14:paraId="190F3FDD">
      <w:pPr>
        <w:ind w:firstLine="480" w:firstLineChars="200"/>
        <w:rPr>
          <w:rFonts w:hint="eastAsia"/>
          <w:lang w:val="en-US" w:eastAsia="zh-CN"/>
        </w:rPr>
      </w:pPr>
      <w:r>
        <w:rPr>
          <w:rFonts w:hint="eastAsia"/>
          <w:lang w:val="en-US" w:eastAsia="zh-CN"/>
        </w:rPr>
        <w:t>本项目氨水储罐和氨水中间罐为常温常压储罐，液氨球罐为压力储罐，氨水储罐、氨水中间罐和液氨球罐泄漏最可能发生的事件设为泄漏孔径为10mm孔径，发生泄漏频率均为1.00×10</w:t>
      </w:r>
      <w:r>
        <w:rPr>
          <w:rFonts w:hint="eastAsia"/>
          <w:vertAlign w:val="superscript"/>
          <w:lang w:val="en-US" w:eastAsia="zh-CN"/>
        </w:rPr>
        <w:t>-4</w:t>
      </w:r>
      <w:r>
        <w:rPr>
          <w:rFonts w:hint="eastAsia"/>
          <w:lang w:val="en-US" w:eastAsia="zh-CN"/>
        </w:rPr>
        <w:t>/a。此外考虑到液氨设有安全阀，其作用是防止储罐内部出现超压状态，故最可能发生的事件为储罐超压时出现氨气外泄或爆炸，且本项目该安全阀将与尾气吸收塔相连接作为厂区安全生产风险防范措施，可有效防止液氨或氨气的泄漏，故发生泄漏频率极小，综上所述，本次不对液氨球罐呼吸安全阀超压泄漏进行定量分析。</w:t>
      </w:r>
    </w:p>
    <w:p w14:paraId="651835E3">
      <w:pPr>
        <w:pStyle w:val="15"/>
        <w:bidi w:val="0"/>
        <w:rPr>
          <w:rFonts w:hint="default"/>
          <w:lang w:val="en-US" w:eastAsia="zh-CN"/>
        </w:rPr>
      </w:pPr>
      <w:r>
        <w:rPr>
          <w:rFonts w:hint="eastAsia"/>
          <w:lang w:val="en-US" w:eastAsia="zh-CN"/>
        </w:rPr>
        <w:t>表5-3 本项目危险物质输送管道情况及泄漏频率一览表</w:t>
      </w:r>
    </w:p>
    <w:tbl>
      <w:tblPr>
        <w:tblStyle w:val="12"/>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21"/>
        <w:gridCol w:w="1131"/>
        <w:gridCol w:w="2158"/>
        <w:gridCol w:w="658"/>
        <w:gridCol w:w="2158"/>
        <w:gridCol w:w="1710"/>
      </w:tblGrid>
      <w:tr w14:paraId="4A94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1" w:type="dxa"/>
            <w:vAlign w:val="center"/>
          </w:tcPr>
          <w:p w14:paraId="2A45ABF4">
            <w:pPr>
              <w:pStyle w:val="14"/>
              <w:bidi w:val="0"/>
              <w:jc w:val="center"/>
              <w:rPr>
                <w:rFonts w:hint="eastAsia"/>
                <w:b/>
                <w:bCs/>
                <w:lang w:val="en-US" w:eastAsia="zh-CN"/>
              </w:rPr>
            </w:pPr>
            <w:r>
              <w:rPr>
                <w:rFonts w:hint="eastAsia"/>
                <w:b/>
                <w:bCs/>
                <w:lang w:val="en-US" w:eastAsia="zh-CN"/>
              </w:rPr>
              <w:t>序号</w:t>
            </w:r>
          </w:p>
        </w:tc>
        <w:tc>
          <w:tcPr>
            <w:tcW w:w="1131" w:type="dxa"/>
            <w:vAlign w:val="center"/>
          </w:tcPr>
          <w:p w14:paraId="5A053DAC">
            <w:pPr>
              <w:pStyle w:val="14"/>
              <w:bidi w:val="0"/>
              <w:jc w:val="center"/>
              <w:rPr>
                <w:rFonts w:hint="eastAsia"/>
                <w:b/>
                <w:bCs/>
                <w:lang w:val="en-US" w:eastAsia="zh-CN"/>
              </w:rPr>
            </w:pPr>
            <w:r>
              <w:rPr>
                <w:rFonts w:hint="eastAsia"/>
                <w:b/>
                <w:bCs/>
                <w:lang w:val="en-US" w:eastAsia="zh-CN"/>
              </w:rPr>
              <w:t>输送介质</w:t>
            </w:r>
          </w:p>
        </w:tc>
        <w:tc>
          <w:tcPr>
            <w:tcW w:w="2158" w:type="dxa"/>
            <w:vAlign w:val="center"/>
          </w:tcPr>
          <w:p w14:paraId="4DD9EA94">
            <w:pPr>
              <w:pStyle w:val="14"/>
              <w:bidi w:val="0"/>
              <w:jc w:val="center"/>
              <w:rPr>
                <w:rFonts w:hint="eastAsia"/>
                <w:b/>
                <w:bCs/>
                <w:lang w:val="en-US" w:eastAsia="zh-CN"/>
              </w:rPr>
            </w:pPr>
            <w:r>
              <w:rPr>
                <w:rFonts w:hint="eastAsia"/>
                <w:b/>
                <w:bCs/>
                <w:lang w:val="en-US" w:eastAsia="zh-CN"/>
              </w:rPr>
              <w:t>管线内径</w:t>
            </w:r>
          </w:p>
        </w:tc>
        <w:tc>
          <w:tcPr>
            <w:tcW w:w="658" w:type="dxa"/>
            <w:vAlign w:val="center"/>
          </w:tcPr>
          <w:p w14:paraId="694B869A">
            <w:pPr>
              <w:pStyle w:val="14"/>
              <w:bidi w:val="0"/>
              <w:jc w:val="center"/>
              <w:rPr>
                <w:rFonts w:hint="eastAsia"/>
                <w:b/>
                <w:bCs/>
                <w:lang w:val="en-US" w:eastAsia="zh-CN"/>
              </w:rPr>
            </w:pPr>
            <w:r>
              <w:rPr>
                <w:rFonts w:hint="eastAsia"/>
                <w:b/>
                <w:bCs/>
                <w:lang w:val="en-US" w:eastAsia="zh-CN"/>
              </w:rPr>
              <w:t>是否具有</w:t>
            </w:r>
          </w:p>
        </w:tc>
        <w:tc>
          <w:tcPr>
            <w:tcW w:w="2158" w:type="dxa"/>
            <w:vAlign w:val="center"/>
          </w:tcPr>
          <w:p w14:paraId="1839ABC2">
            <w:pPr>
              <w:pStyle w:val="14"/>
              <w:bidi w:val="0"/>
              <w:jc w:val="center"/>
              <w:rPr>
                <w:rFonts w:hint="eastAsia"/>
                <w:lang w:val="en-US" w:eastAsia="zh-CN"/>
              </w:rPr>
            </w:pPr>
            <w:r>
              <w:rPr>
                <w:rFonts w:hint="eastAsia"/>
                <w:b/>
                <w:bCs/>
                <w:lang w:val="en-US" w:eastAsia="zh-CN"/>
              </w:rPr>
              <w:t>泄漏模式</w:t>
            </w:r>
          </w:p>
        </w:tc>
        <w:tc>
          <w:tcPr>
            <w:tcW w:w="1710" w:type="dxa"/>
            <w:vAlign w:val="center"/>
          </w:tcPr>
          <w:p w14:paraId="2DCF12C8">
            <w:pPr>
              <w:pStyle w:val="14"/>
              <w:bidi w:val="0"/>
              <w:jc w:val="center"/>
              <w:rPr>
                <w:rFonts w:hint="eastAsia"/>
                <w:lang w:val="en-US" w:eastAsia="zh-CN"/>
              </w:rPr>
            </w:pPr>
            <w:r>
              <w:rPr>
                <w:rFonts w:hint="eastAsia"/>
                <w:b/>
                <w:bCs/>
                <w:lang w:val="en-US" w:eastAsia="zh-CN"/>
              </w:rPr>
              <w:t>泄漏频率</w:t>
            </w:r>
          </w:p>
        </w:tc>
      </w:tr>
      <w:tr w14:paraId="38A5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restart"/>
            <w:vAlign w:val="center"/>
          </w:tcPr>
          <w:p w14:paraId="35BCEE49">
            <w:pPr>
              <w:pStyle w:val="14"/>
              <w:bidi w:val="0"/>
              <w:jc w:val="center"/>
              <w:rPr>
                <w:rFonts w:hint="default"/>
                <w:lang w:val="en-US" w:eastAsia="zh-CN"/>
              </w:rPr>
            </w:pPr>
            <w:r>
              <w:rPr>
                <w:rFonts w:hint="eastAsia"/>
                <w:lang w:val="en-US" w:eastAsia="zh-CN"/>
              </w:rPr>
              <w:t>1</w:t>
            </w:r>
          </w:p>
        </w:tc>
        <w:tc>
          <w:tcPr>
            <w:tcW w:w="1131" w:type="dxa"/>
            <w:vMerge w:val="restart"/>
            <w:vAlign w:val="center"/>
          </w:tcPr>
          <w:p w14:paraId="615271C7">
            <w:pPr>
              <w:pStyle w:val="14"/>
              <w:bidi w:val="0"/>
              <w:jc w:val="center"/>
              <w:rPr>
                <w:rFonts w:hint="eastAsia"/>
                <w:lang w:val="en-US" w:eastAsia="zh-CN"/>
              </w:rPr>
            </w:pPr>
            <w:r>
              <w:rPr>
                <w:rFonts w:hint="eastAsia"/>
                <w:lang w:val="en-US" w:eastAsia="zh-CN"/>
              </w:rPr>
              <w:t>液氨</w:t>
            </w:r>
          </w:p>
        </w:tc>
        <w:tc>
          <w:tcPr>
            <w:tcW w:w="2158" w:type="dxa"/>
            <w:vMerge w:val="restart"/>
            <w:vAlign w:val="center"/>
          </w:tcPr>
          <w:p w14:paraId="0FB5B76F">
            <w:pPr>
              <w:pStyle w:val="14"/>
              <w:bidi w:val="0"/>
              <w:jc w:val="center"/>
              <w:rPr>
                <w:rFonts w:hint="eastAsia"/>
                <w:lang w:val="en-US" w:eastAsia="zh-CN"/>
              </w:rPr>
            </w:pPr>
            <w:r>
              <w:rPr>
                <w:rFonts w:hint="eastAsia"/>
                <w:lang w:val="en-US" w:eastAsia="zh-CN"/>
              </w:rPr>
              <w:t>≤75mm</w:t>
            </w:r>
          </w:p>
        </w:tc>
        <w:tc>
          <w:tcPr>
            <w:tcW w:w="658" w:type="dxa"/>
            <w:vMerge w:val="restart"/>
            <w:vAlign w:val="center"/>
          </w:tcPr>
          <w:p w14:paraId="02F29288">
            <w:pPr>
              <w:pStyle w:val="14"/>
              <w:bidi w:val="0"/>
              <w:jc w:val="center"/>
              <w:rPr>
                <w:rFonts w:hint="eastAsia"/>
                <w:lang w:val="en-US" w:eastAsia="zh-CN"/>
              </w:rPr>
            </w:pPr>
            <w:r>
              <w:rPr>
                <w:rFonts w:hint="eastAsia"/>
                <w:lang w:val="en-US" w:eastAsia="zh-CN"/>
              </w:rPr>
              <w:t>是</w:t>
            </w:r>
          </w:p>
        </w:tc>
        <w:tc>
          <w:tcPr>
            <w:tcW w:w="2158" w:type="dxa"/>
            <w:vAlign w:val="center"/>
          </w:tcPr>
          <w:p w14:paraId="72D2168C">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1710" w:type="dxa"/>
            <w:vAlign w:val="center"/>
          </w:tcPr>
          <w:p w14:paraId="38D5F892">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46BB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continue"/>
            <w:vAlign w:val="center"/>
          </w:tcPr>
          <w:p w14:paraId="1E8D1FD8">
            <w:pPr>
              <w:pStyle w:val="14"/>
              <w:bidi w:val="0"/>
              <w:jc w:val="center"/>
            </w:pPr>
          </w:p>
        </w:tc>
        <w:tc>
          <w:tcPr>
            <w:tcW w:w="1131" w:type="dxa"/>
            <w:vMerge w:val="continue"/>
            <w:vAlign w:val="center"/>
          </w:tcPr>
          <w:p w14:paraId="36F5B3FA">
            <w:pPr>
              <w:pStyle w:val="14"/>
              <w:bidi w:val="0"/>
              <w:jc w:val="center"/>
            </w:pPr>
          </w:p>
        </w:tc>
        <w:tc>
          <w:tcPr>
            <w:tcW w:w="2158" w:type="dxa"/>
            <w:vMerge w:val="continue"/>
            <w:vAlign w:val="center"/>
          </w:tcPr>
          <w:p w14:paraId="582BAFC7">
            <w:pPr>
              <w:pStyle w:val="14"/>
              <w:bidi w:val="0"/>
              <w:jc w:val="center"/>
            </w:pPr>
          </w:p>
        </w:tc>
        <w:tc>
          <w:tcPr>
            <w:tcW w:w="658" w:type="dxa"/>
            <w:vMerge w:val="continue"/>
            <w:vAlign w:val="center"/>
          </w:tcPr>
          <w:p w14:paraId="44D1AA6C">
            <w:pPr>
              <w:pStyle w:val="14"/>
              <w:bidi w:val="0"/>
              <w:jc w:val="center"/>
            </w:pPr>
          </w:p>
        </w:tc>
        <w:tc>
          <w:tcPr>
            <w:tcW w:w="2158" w:type="dxa"/>
            <w:vAlign w:val="center"/>
          </w:tcPr>
          <w:p w14:paraId="68F80483">
            <w:pPr>
              <w:pStyle w:val="14"/>
              <w:bidi w:val="0"/>
              <w:jc w:val="left"/>
              <w:rPr>
                <w:rFonts w:hint="eastAsia"/>
                <w:lang w:val="en-US" w:eastAsia="zh-CN"/>
              </w:rPr>
            </w:pPr>
            <w:r>
              <w:rPr>
                <w:rFonts w:hint="eastAsia"/>
                <w:lang w:val="en-US" w:eastAsia="zh-CN"/>
              </w:rPr>
              <w:t>全管径泄漏</w:t>
            </w:r>
          </w:p>
        </w:tc>
        <w:tc>
          <w:tcPr>
            <w:tcW w:w="1710" w:type="dxa"/>
            <w:vAlign w:val="center"/>
          </w:tcPr>
          <w:p w14:paraId="4D221803">
            <w:pPr>
              <w:pStyle w:val="14"/>
              <w:bidi w:val="0"/>
              <w:jc w:val="left"/>
              <w:rPr>
                <w:rFonts w:hint="eastAsia"/>
                <w:lang w:val="en-US" w:eastAsia="zh-CN"/>
              </w:rPr>
            </w:pPr>
            <w:r>
              <w:rPr>
                <w:lang w:val="en-US" w:eastAsia="zh-CN"/>
              </w:rPr>
              <w:t>1.00×10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73CB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restart"/>
            <w:vAlign w:val="center"/>
          </w:tcPr>
          <w:p w14:paraId="730F3854">
            <w:pPr>
              <w:pStyle w:val="14"/>
              <w:bidi w:val="0"/>
              <w:jc w:val="center"/>
              <w:rPr>
                <w:rFonts w:hint="default"/>
                <w:lang w:val="en-US" w:eastAsia="zh-CN"/>
              </w:rPr>
            </w:pPr>
            <w:r>
              <w:rPr>
                <w:rFonts w:hint="eastAsia"/>
                <w:lang w:val="en-US" w:eastAsia="zh-CN"/>
              </w:rPr>
              <w:t>2</w:t>
            </w:r>
          </w:p>
        </w:tc>
        <w:tc>
          <w:tcPr>
            <w:tcW w:w="1131" w:type="dxa"/>
            <w:vMerge w:val="restart"/>
            <w:vAlign w:val="center"/>
          </w:tcPr>
          <w:p w14:paraId="487FC9BE">
            <w:pPr>
              <w:pStyle w:val="14"/>
              <w:bidi w:val="0"/>
              <w:jc w:val="center"/>
              <w:rPr>
                <w:rFonts w:hint="eastAsia"/>
                <w:lang w:val="en-US" w:eastAsia="zh-CN"/>
              </w:rPr>
            </w:pPr>
            <w:r>
              <w:rPr>
                <w:rFonts w:hint="eastAsia"/>
                <w:lang w:val="en-US" w:eastAsia="zh-CN"/>
              </w:rPr>
              <w:t>液氨</w:t>
            </w:r>
          </w:p>
        </w:tc>
        <w:tc>
          <w:tcPr>
            <w:tcW w:w="2158" w:type="dxa"/>
            <w:vMerge w:val="restart"/>
            <w:vAlign w:val="center"/>
          </w:tcPr>
          <w:p w14:paraId="2D97CB60">
            <w:pPr>
              <w:pStyle w:val="14"/>
              <w:bidi w:val="0"/>
              <w:jc w:val="center"/>
              <w:rPr>
                <w:rFonts w:hint="eastAsia"/>
                <w:lang w:val="en-US" w:eastAsia="zh-CN"/>
              </w:rPr>
            </w:pPr>
            <w:r>
              <w:rPr>
                <w:rFonts w:hint="eastAsia"/>
                <w:lang w:val="en-US" w:eastAsia="zh-CN"/>
              </w:rPr>
              <w:t>75mm≤内径≤150mm</w:t>
            </w:r>
          </w:p>
        </w:tc>
        <w:tc>
          <w:tcPr>
            <w:tcW w:w="658" w:type="dxa"/>
            <w:vMerge w:val="restart"/>
            <w:vAlign w:val="center"/>
          </w:tcPr>
          <w:p w14:paraId="4412721D">
            <w:pPr>
              <w:pStyle w:val="14"/>
              <w:bidi w:val="0"/>
              <w:jc w:val="center"/>
              <w:rPr>
                <w:rFonts w:hint="eastAsia"/>
                <w:lang w:val="en-US" w:eastAsia="zh-CN"/>
              </w:rPr>
            </w:pPr>
            <w:r>
              <w:rPr>
                <w:rFonts w:hint="eastAsia"/>
                <w:lang w:val="en-US" w:eastAsia="zh-CN"/>
              </w:rPr>
              <w:t>是</w:t>
            </w:r>
          </w:p>
        </w:tc>
        <w:tc>
          <w:tcPr>
            <w:tcW w:w="2158" w:type="dxa"/>
            <w:vAlign w:val="center"/>
          </w:tcPr>
          <w:p w14:paraId="4E5744D7">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1710" w:type="dxa"/>
            <w:vAlign w:val="center"/>
          </w:tcPr>
          <w:p w14:paraId="01DA2BA7">
            <w:pPr>
              <w:pStyle w:val="14"/>
              <w:bidi w:val="0"/>
              <w:jc w:val="left"/>
              <w:rPr>
                <w:rFonts w:hint="eastAsia"/>
                <w:lang w:val="en-US" w:eastAsia="zh-CN"/>
              </w:rPr>
            </w:pPr>
            <w:r>
              <w:rPr>
                <w:lang w:val="en-US" w:eastAsia="zh-CN"/>
              </w:rPr>
              <w:t>2.00×10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76D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continue"/>
            <w:vAlign w:val="center"/>
          </w:tcPr>
          <w:p w14:paraId="6C3AD163">
            <w:pPr>
              <w:pStyle w:val="14"/>
              <w:bidi w:val="0"/>
              <w:jc w:val="center"/>
            </w:pPr>
          </w:p>
        </w:tc>
        <w:tc>
          <w:tcPr>
            <w:tcW w:w="1131" w:type="dxa"/>
            <w:vMerge w:val="continue"/>
            <w:vAlign w:val="center"/>
          </w:tcPr>
          <w:p w14:paraId="13620D1A">
            <w:pPr>
              <w:pStyle w:val="14"/>
              <w:bidi w:val="0"/>
              <w:jc w:val="center"/>
            </w:pPr>
          </w:p>
        </w:tc>
        <w:tc>
          <w:tcPr>
            <w:tcW w:w="2158" w:type="dxa"/>
            <w:vMerge w:val="continue"/>
            <w:vAlign w:val="center"/>
          </w:tcPr>
          <w:p w14:paraId="282BA4A6">
            <w:pPr>
              <w:pStyle w:val="14"/>
              <w:bidi w:val="0"/>
              <w:jc w:val="center"/>
            </w:pPr>
          </w:p>
        </w:tc>
        <w:tc>
          <w:tcPr>
            <w:tcW w:w="658" w:type="dxa"/>
            <w:vMerge w:val="continue"/>
            <w:vAlign w:val="center"/>
          </w:tcPr>
          <w:p w14:paraId="6AD8E748">
            <w:pPr>
              <w:pStyle w:val="14"/>
              <w:bidi w:val="0"/>
              <w:jc w:val="center"/>
            </w:pPr>
          </w:p>
        </w:tc>
        <w:tc>
          <w:tcPr>
            <w:tcW w:w="2158" w:type="dxa"/>
            <w:vAlign w:val="center"/>
          </w:tcPr>
          <w:p w14:paraId="7A2A6427">
            <w:pPr>
              <w:pStyle w:val="14"/>
              <w:bidi w:val="0"/>
              <w:jc w:val="left"/>
              <w:rPr>
                <w:rFonts w:hint="eastAsia"/>
                <w:lang w:val="en-US" w:eastAsia="zh-CN"/>
              </w:rPr>
            </w:pPr>
            <w:r>
              <w:rPr>
                <w:rFonts w:hint="eastAsia"/>
                <w:lang w:val="en-US" w:eastAsia="zh-CN"/>
              </w:rPr>
              <w:t>全管径泄漏</w:t>
            </w:r>
          </w:p>
        </w:tc>
        <w:tc>
          <w:tcPr>
            <w:tcW w:w="1710" w:type="dxa"/>
            <w:vAlign w:val="center"/>
          </w:tcPr>
          <w:p w14:paraId="501AD312">
            <w:pPr>
              <w:pStyle w:val="14"/>
              <w:bidi w:val="0"/>
              <w:jc w:val="left"/>
              <w:rPr>
                <w:rFonts w:hint="eastAsia"/>
                <w:lang w:val="en-US" w:eastAsia="zh-CN"/>
              </w:rPr>
            </w:pPr>
            <w:r>
              <w:rPr>
                <w:lang w:val="en-US" w:eastAsia="zh-CN"/>
              </w:rPr>
              <w:t>3.00×10</w:t>
            </w:r>
            <w:r>
              <w:rPr>
                <w:vertAlign w:val="superscript"/>
                <w:lang w:val="en-US" w:eastAsia="zh-CN"/>
              </w:rPr>
              <w:t>-7</w:t>
            </w:r>
            <w:r>
              <w:rPr>
                <w:lang w:val="en-US" w:eastAsia="zh-CN"/>
              </w:rPr>
              <w:t>/</w:t>
            </w:r>
            <w:r>
              <w:rPr>
                <w:rFonts w:hint="eastAsia"/>
                <w:lang w:val="en-US" w:eastAsia="zh-CN"/>
              </w:rPr>
              <w:t>（</w:t>
            </w:r>
            <w:r>
              <w:rPr>
                <w:lang w:val="en-US" w:eastAsia="zh-CN"/>
              </w:rPr>
              <w:t>m·a</w:t>
            </w:r>
            <w:r>
              <w:rPr>
                <w:rFonts w:hint="eastAsia"/>
                <w:lang w:val="en-US" w:eastAsia="zh-CN"/>
              </w:rPr>
              <w:t>）</w:t>
            </w:r>
          </w:p>
        </w:tc>
      </w:tr>
      <w:tr w14:paraId="6C19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21" w:type="dxa"/>
            <w:vAlign w:val="center"/>
          </w:tcPr>
          <w:p w14:paraId="7767DD17">
            <w:pPr>
              <w:pStyle w:val="14"/>
              <w:bidi w:val="0"/>
              <w:jc w:val="center"/>
              <w:rPr>
                <w:rFonts w:hint="default"/>
                <w:lang w:val="en-US" w:eastAsia="zh-CN"/>
              </w:rPr>
            </w:pPr>
            <w:r>
              <w:rPr>
                <w:rFonts w:hint="eastAsia"/>
                <w:lang w:val="en-US" w:eastAsia="zh-CN"/>
              </w:rPr>
              <w:t>3</w:t>
            </w:r>
          </w:p>
        </w:tc>
        <w:tc>
          <w:tcPr>
            <w:tcW w:w="1131" w:type="dxa"/>
            <w:vAlign w:val="center"/>
          </w:tcPr>
          <w:p w14:paraId="554E5E35">
            <w:pPr>
              <w:pStyle w:val="14"/>
              <w:bidi w:val="0"/>
              <w:jc w:val="center"/>
              <w:rPr>
                <w:rFonts w:hint="eastAsia"/>
                <w:lang w:val="en-US" w:eastAsia="zh-CN"/>
              </w:rPr>
            </w:pPr>
            <w:r>
              <w:rPr>
                <w:rFonts w:hint="eastAsia"/>
                <w:lang w:val="en-US" w:eastAsia="zh-CN"/>
              </w:rPr>
              <w:t>液氨</w:t>
            </w:r>
          </w:p>
        </w:tc>
        <w:tc>
          <w:tcPr>
            <w:tcW w:w="2158" w:type="dxa"/>
            <w:vAlign w:val="center"/>
          </w:tcPr>
          <w:p w14:paraId="5B7A7988">
            <w:pPr>
              <w:pStyle w:val="14"/>
              <w:bidi w:val="0"/>
              <w:jc w:val="center"/>
              <w:rPr>
                <w:rFonts w:hint="eastAsia"/>
                <w:lang w:val="en-US" w:eastAsia="zh-CN"/>
              </w:rPr>
            </w:pPr>
            <w:r>
              <w:rPr>
                <w:rFonts w:hint="eastAsia"/>
                <w:lang w:val="en-US" w:eastAsia="zh-CN"/>
              </w:rPr>
              <w:t>内径＞150mm</w:t>
            </w:r>
          </w:p>
        </w:tc>
        <w:tc>
          <w:tcPr>
            <w:tcW w:w="658" w:type="dxa"/>
            <w:vAlign w:val="center"/>
          </w:tcPr>
          <w:p w14:paraId="18991F53">
            <w:pPr>
              <w:pStyle w:val="14"/>
              <w:bidi w:val="0"/>
              <w:jc w:val="center"/>
              <w:rPr>
                <w:rFonts w:hint="eastAsia"/>
                <w:lang w:val="en-US" w:eastAsia="zh-CN"/>
              </w:rPr>
            </w:pPr>
            <w:r>
              <w:rPr>
                <w:rFonts w:hint="eastAsia"/>
                <w:lang w:val="en-US" w:eastAsia="zh-CN"/>
              </w:rPr>
              <w:t>否</w:t>
            </w:r>
          </w:p>
        </w:tc>
        <w:tc>
          <w:tcPr>
            <w:tcW w:w="2158" w:type="dxa"/>
            <w:vAlign w:val="center"/>
          </w:tcPr>
          <w:p w14:paraId="7D29E555">
            <w:pPr>
              <w:pStyle w:val="14"/>
              <w:bidi w:val="0"/>
              <w:jc w:val="center"/>
              <w:rPr>
                <w:rFonts w:hint="default"/>
                <w:lang w:val="en-US" w:eastAsia="zh-CN"/>
              </w:rPr>
            </w:pPr>
            <w:r>
              <w:rPr>
                <w:rFonts w:hint="eastAsia"/>
                <w:lang w:val="en-US" w:eastAsia="zh-CN"/>
              </w:rPr>
              <w:t>/</w:t>
            </w:r>
          </w:p>
        </w:tc>
        <w:tc>
          <w:tcPr>
            <w:tcW w:w="1710" w:type="dxa"/>
            <w:vAlign w:val="center"/>
          </w:tcPr>
          <w:p w14:paraId="42ABB048">
            <w:pPr>
              <w:pStyle w:val="14"/>
              <w:bidi w:val="0"/>
              <w:jc w:val="center"/>
              <w:rPr>
                <w:rFonts w:hint="default"/>
                <w:lang w:val="en-US" w:eastAsia="zh-CN"/>
              </w:rPr>
            </w:pPr>
            <w:r>
              <w:rPr>
                <w:rFonts w:hint="eastAsia"/>
                <w:lang w:val="en-US" w:eastAsia="zh-CN"/>
              </w:rPr>
              <w:t>/</w:t>
            </w:r>
          </w:p>
        </w:tc>
      </w:tr>
      <w:tr w14:paraId="5961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restart"/>
            <w:vAlign w:val="center"/>
          </w:tcPr>
          <w:p w14:paraId="311F43DD">
            <w:pPr>
              <w:pStyle w:val="14"/>
              <w:bidi w:val="0"/>
              <w:jc w:val="center"/>
              <w:rPr>
                <w:rFonts w:hint="default"/>
                <w:lang w:val="en-US" w:eastAsia="zh-CN"/>
              </w:rPr>
            </w:pPr>
            <w:r>
              <w:rPr>
                <w:rFonts w:hint="eastAsia"/>
                <w:lang w:val="en-US" w:eastAsia="zh-CN"/>
              </w:rPr>
              <w:t>4</w:t>
            </w:r>
          </w:p>
        </w:tc>
        <w:tc>
          <w:tcPr>
            <w:tcW w:w="1131" w:type="dxa"/>
            <w:vMerge w:val="restart"/>
            <w:vAlign w:val="center"/>
          </w:tcPr>
          <w:p w14:paraId="4417D773">
            <w:pPr>
              <w:pStyle w:val="14"/>
              <w:bidi w:val="0"/>
              <w:jc w:val="center"/>
              <w:rPr>
                <w:rFonts w:hint="eastAsia"/>
                <w:lang w:val="en-US" w:eastAsia="zh-CN"/>
              </w:rPr>
            </w:pPr>
            <w:r>
              <w:rPr>
                <w:rFonts w:hint="eastAsia"/>
                <w:lang w:val="en-US" w:eastAsia="zh-CN"/>
              </w:rPr>
              <w:t>氨气</w:t>
            </w:r>
          </w:p>
        </w:tc>
        <w:tc>
          <w:tcPr>
            <w:tcW w:w="2158" w:type="dxa"/>
            <w:vMerge w:val="restart"/>
            <w:vAlign w:val="center"/>
          </w:tcPr>
          <w:p w14:paraId="64E2C128">
            <w:pPr>
              <w:pStyle w:val="14"/>
              <w:bidi w:val="0"/>
              <w:jc w:val="center"/>
              <w:rPr>
                <w:rFonts w:hint="eastAsia"/>
                <w:lang w:val="en-US" w:eastAsia="zh-CN"/>
              </w:rPr>
            </w:pPr>
            <w:r>
              <w:rPr>
                <w:rFonts w:hint="eastAsia"/>
                <w:lang w:val="en-US" w:eastAsia="zh-CN"/>
              </w:rPr>
              <w:t>≤75mm</w:t>
            </w:r>
          </w:p>
        </w:tc>
        <w:tc>
          <w:tcPr>
            <w:tcW w:w="658" w:type="dxa"/>
            <w:vMerge w:val="restart"/>
            <w:vAlign w:val="center"/>
          </w:tcPr>
          <w:p w14:paraId="4D2CC8BE">
            <w:pPr>
              <w:pStyle w:val="14"/>
              <w:bidi w:val="0"/>
              <w:jc w:val="center"/>
              <w:rPr>
                <w:rFonts w:hint="eastAsia"/>
                <w:lang w:val="en-US" w:eastAsia="zh-CN"/>
              </w:rPr>
            </w:pPr>
            <w:r>
              <w:rPr>
                <w:rFonts w:hint="eastAsia"/>
                <w:lang w:val="en-US" w:eastAsia="zh-CN"/>
              </w:rPr>
              <w:t>是</w:t>
            </w:r>
          </w:p>
        </w:tc>
        <w:tc>
          <w:tcPr>
            <w:tcW w:w="2158" w:type="dxa"/>
            <w:vAlign w:val="center"/>
          </w:tcPr>
          <w:p w14:paraId="2A0CE9C1">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1710" w:type="dxa"/>
            <w:vAlign w:val="center"/>
          </w:tcPr>
          <w:p w14:paraId="657E8297">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3FF6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continue"/>
            <w:vAlign w:val="center"/>
          </w:tcPr>
          <w:p w14:paraId="224728AA">
            <w:pPr>
              <w:pStyle w:val="14"/>
              <w:bidi w:val="0"/>
              <w:jc w:val="center"/>
            </w:pPr>
          </w:p>
        </w:tc>
        <w:tc>
          <w:tcPr>
            <w:tcW w:w="1131" w:type="dxa"/>
            <w:vMerge w:val="continue"/>
            <w:vAlign w:val="center"/>
          </w:tcPr>
          <w:p w14:paraId="1AED2FDB">
            <w:pPr>
              <w:pStyle w:val="14"/>
              <w:bidi w:val="0"/>
              <w:jc w:val="center"/>
            </w:pPr>
          </w:p>
        </w:tc>
        <w:tc>
          <w:tcPr>
            <w:tcW w:w="2158" w:type="dxa"/>
            <w:vMerge w:val="continue"/>
            <w:vAlign w:val="center"/>
          </w:tcPr>
          <w:p w14:paraId="17357EF9">
            <w:pPr>
              <w:pStyle w:val="14"/>
              <w:bidi w:val="0"/>
              <w:jc w:val="center"/>
            </w:pPr>
          </w:p>
        </w:tc>
        <w:tc>
          <w:tcPr>
            <w:tcW w:w="658" w:type="dxa"/>
            <w:vMerge w:val="continue"/>
            <w:vAlign w:val="center"/>
          </w:tcPr>
          <w:p w14:paraId="5706408C">
            <w:pPr>
              <w:pStyle w:val="14"/>
              <w:bidi w:val="0"/>
              <w:jc w:val="center"/>
            </w:pPr>
          </w:p>
        </w:tc>
        <w:tc>
          <w:tcPr>
            <w:tcW w:w="2158" w:type="dxa"/>
            <w:vAlign w:val="center"/>
          </w:tcPr>
          <w:p w14:paraId="5B8CD510">
            <w:pPr>
              <w:pStyle w:val="14"/>
              <w:bidi w:val="0"/>
              <w:jc w:val="left"/>
              <w:rPr>
                <w:rFonts w:hint="eastAsia"/>
                <w:lang w:val="en-US" w:eastAsia="zh-CN"/>
              </w:rPr>
            </w:pPr>
            <w:r>
              <w:rPr>
                <w:rFonts w:hint="eastAsia"/>
                <w:lang w:val="en-US" w:eastAsia="zh-CN"/>
              </w:rPr>
              <w:t>全管径泄漏</w:t>
            </w:r>
          </w:p>
        </w:tc>
        <w:tc>
          <w:tcPr>
            <w:tcW w:w="1710" w:type="dxa"/>
            <w:vAlign w:val="center"/>
          </w:tcPr>
          <w:p w14:paraId="082E81EF">
            <w:pPr>
              <w:pStyle w:val="14"/>
              <w:bidi w:val="0"/>
              <w:jc w:val="left"/>
              <w:rPr>
                <w:rFonts w:hint="eastAsia"/>
                <w:lang w:val="en-US" w:eastAsia="zh-CN"/>
              </w:rPr>
            </w:pPr>
            <w:r>
              <w:rPr>
                <w:lang w:val="en-US" w:eastAsia="zh-CN"/>
              </w:rPr>
              <w:t>1.00×10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74D9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restart"/>
            <w:vAlign w:val="center"/>
          </w:tcPr>
          <w:p w14:paraId="6B23AAD0">
            <w:pPr>
              <w:pStyle w:val="14"/>
              <w:bidi w:val="0"/>
              <w:jc w:val="center"/>
              <w:rPr>
                <w:rFonts w:hint="default"/>
                <w:lang w:val="en-US" w:eastAsia="zh-CN"/>
              </w:rPr>
            </w:pPr>
            <w:r>
              <w:rPr>
                <w:rFonts w:hint="eastAsia"/>
                <w:lang w:val="en-US" w:eastAsia="zh-CN"/>
              </w:rPr>
              <w:t>5</w:t>
            </w:r>
          </w:p>
        </w:tc>
        <w:tc>
          <w:tcPr>
            <w:tcW w:w="1131" w:type="dxa"/>
            <w:vMerge w:val="restart"/>
            <w:vAlign w:val="center"/>
          </w:tcPr>
          <w:p w14:paraId="71860957">
            <w:pPr>
              <w:pStyle w:val="14"/>
              <w:bidi w:val="0"/>
              <w:jc w:val="center"/>
              <w:rPr>
                <w:rFonts w:hint="eastAsia"/>
                <w:lang w:val="en-US" w:eastAsia="zh-CN"/>
              </w:rPr>
            </w:pPr>
            <w:r>
              <w:rPr>
                <w:rFonts w:hint="eastAsia"/>
                <w:lang w:val="en-US" w:eastAsia="zh-CN"/>
              </w:rPr>
              <w:t>氨气</w:t>
            </w:r>
          </w:p>
        </w:tc>
        <w:tc>
          <w:tcPr>
            <w:tcW w:w="2158" w:type="dxa"/>
            <w:vMerge w:val="restart"/>
            <w:vAlign w:val="center"/>
          </w:tcPr>
          <w:p w14:paraId="7CF7C641">
            <w:pPr>
              <w:pStyle w:val="14"/>
              <w:bidi w:val="0"/>
              <w:jc w:val="center"/>
              <w:rPr>
                <w:rFonts w:hint="eastAsia"/>
                <w:lang w:val="en-US" w:eastAsia="zh-CN"/>
              </w:rPr>
            </w:pPr>
            <w:r>
              <w:rPr>
                <w:rFonts w:hint="eastAsia"/>
                <w:lang w:val="en-US" w:eastAsia="zh-CN"/>
              </w:rPr>
              <w:t>75mm≤内径≤150mm</w:t>
            </w:r>
          </w:p>
        </w:tc>
        <w:tc>
          <w:tcPr>
            <w:tcW w:w="658" w:type="dxa"/>
            <w:vMerge w:val="restart"/>
            <w:vAlign w:val="center"/>
          </w:tcPr>
          <w:p w14:paraId="29121E94">
            <w:pPr>
              <w:pStyle w:val="14"/>
              <w:bidi w:val="0"/>
              <w:jc w:val="center"/>
              <w:rPr>
                <w:rFonts w:hint="eastAsia"/>
                <w:lang w:val="en-US" w:eastAsia="zh-CN"/>
              </w:rPr>
            </w:pPr>
            <w:r>
              <w:rPr>
                <w:rFonts w:hint="eastAsia"/>
                <w:lang w:val="en-US" w:eastAsia="zh-CN"/>
              </w:rPr>
              <w:t>是</w:t>
            </w:r>
          </w:p>
        </w:tc>
        <w:tc>
          <w:tcPr>
            <w:tcW w:w="2158" w:type="dxa"/>
            <w:vAlign w:val="center"/>
          </w:tcPr>
          <w:p w14:paraId="11166CDB">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1710" w:type="dxa"/>
            <w:vAlign w:val="center"/>
          </w:tcPr>
          <w:p w14:paraId="30E78108">
            <w:pPr>
              <w:pStyle w:val="14"/>
              <w:bidi w:val="0"/>
              <w:jc w:val="left"/>
              <w:rPr>
                <w:rFonts w:hint="eastAsia"/>
                <w:lang w:val="en-US" w:eastAsia="zh-CN"/>
              </w:rPr>
            </w:pPr>
            <w:r>
              <w:rPr>
                <w:lang w:val="en-US" w:eastAsia="zh-CN"/>
              </w:rPr>
              <w:t>2.00×10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2FD9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continue"/>
            <w:vAlign w:val="center"/>
          </w:tcPr>
          <w:p w14:paraId="4B5F4601">
            <w:pPr>
              <w:pStyle w:val="14"/>
              <w:bidi w:val="0"/>
              <w:jc w:val="center"/>
            </w:pPr>
          </w:p>
        </w:tc>
        <w:tc>
          <w:tcPr>
            <w:tcW w:w="1131" w:type="dxa"/>
            <w:vMerge w:val="continue"/>
            <w:vAlign w:val="center"/>
          </w:tcPr>
          <w:p w14:paraId="09A69F0D">
            <w:pPr>
              <w:pStyle w:val="14"/>
              <w:bidi w:val="0"/>
              <w:jc w:val="center"/>
            </w:pPr>
          </w:p>
        </w:tc>
        <w:tc>
          <w:tcPr>
            <w:tcW w:w="2158" w:type="dxa"/>
            <w:vMerge w:val="continue"/>
            <w:vAlign w:val="center"/>
          </w:tcPr>
          <w:p w14:paraId="1302CE00">
            <w:pPr>
              <w:pStyle w:val="14"/>
              <w:bidi w:val="0"/>
              <w:jc w:val="center"/>
            </w:pPr>
          </w:p>
        </w:tc>
        <w:tc>
          <w:tcPr>
            <w:tcW w:w="658" w:type="dxa"/>
            <w:vMerge w:val="continue"/>
            <w:vAlign w:val="center"/>
          </w:tcPr>
          <w:p w14:paraId="0A5F90C9">
            <w:pPr>
              <w:pStyle w:val="14"/>
              <w:bidi w:val="0"/>
              <w:jc w:val="center"/>
            </w:pPr>
          </w:p>
        </w:tc>
        <w:tc>
          <w:tcPr>
            <w:tcW w:w="2158" w:type="dxa"/>
            <w:vAlign w:val="center"/>
          </w:tcPr>
          <w:p w14:paraId="499C2FA2">
            <w:pPr>
              <w:pStyle w:val="14"/>
              <w:bidi w:val="0"/>
              <w:jc w:val="left"/>
              <w:rPr>
                <w:rFonts w:hint="eastAsia"/>
                <w:lang w:val="en-US" w:eastAsia="zh-CN"/>
              </w:rPr>
            </w:pPr>
            <w:r>
              <w:rPr>
                <w:rFonts w:hint="eastAsia"/>
                <w:lang w:val="en-US" w:eastAsia="zh-CN"/>
              </w:rPr>
              <w:t>全管径泄漏</w:t>
            </w:r>
          </w:p>
        </w:tc>
        <w:tc>
          <w:tcPr>
            <w:tcW w:w="1710" w:type="dxa"/>
            <w:vAlign w:val="center"/>
          </w:tcPr>
          <w:p w14:paraId="030EFBF2">
            <w:pPr>
              <w:pStyle w:val="14"/>
              <w:bidi w:val="0"/>
              <w:jc w:val="left"/>
              <w:rPr>
                <w:rFonts w:hint="eastAsia"/>
                <w:lang w:val="en-US" w:eastAsia="zh-CN"/>
              </w:rPr>
            </w:pPr>
            <w:r>
              <w:rPr>
                <w:lang w:val="en-US" w:eastAsia="zh-CN"/>
              </w:rPr>
              <w:t>3.00×10</w:t>
            </w:r>
            <w:r>
              <w:rPr>
                <w:vertAlign w:val="superscript"/>
                <w:lang w:val="en-US" w:eastAsia="zh-CN"/>
              </w:rPr>
              <w:t>-7</w:t>
            </w:r>
            <w:r>
              <w:rPr>
                <w:lang w:val="en-US" w:eastAsia="zh-CN"/>
              </w:rPr>
              <w:t>/</w:t>
            </w:r>
            <w:r>
              <w:rPr>
                <w:rFonts w:hint="eastAsia"/>
                <w:lang w:val="en-US" w:eastAsia="zh-CN"/>
              </w:rPr>
              <w:t>（</w:t>
            </w:r>
            <w:r>
              <w:rPr>
                <w:lang w:val="en-US" w:eastAsia="zh-CN"/>
              </w:rPr>
              <w:t>m·a</w:t>
            </w:r>
            <w:r>
              <w:rPr>
                <w:rFonts w:hint="eastAsia"/>
                <w:lang w:val="en-US" w:eastAsia="zh-CN"/>
              </w:rPr>
              <w:t>）</w:t>
            </w:r>
          </w:p>
        </w:tc>
      </w:tr>
      <w:tr w14:paraId="31FD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21" w:type="dxa"/>
            <w:vAlign w:val="center"/>
          </w:tcPr>
          <w:p w14:paraId="7BCBB288">
            <w:pPr>
              <w:pStyle w:val="14"/>
              <w:bidi w:val="0"/>
              <w:jc w:val="center"/>
              <w:rPr>
                <w:rFonts w:hint="default"/>
                <w:lang w:val="en-US" w:eastAsia="zh-CN"/>
              </w:rPr>
            </w:pPr>
            <w:r>
              <w:rPr>
                <w:rFonts w:hint="eastAsia"/>
                <w:lang w:val="en-US" w:eastAsia="zh-CN"/>
              </w:rPr>
              <w:t>6</w:t>
            </w:r>
          </w:p>
        </w:tc>
        <w:tc>
          <w:tcPr>
            <w:tcW w:w="1131" w:type="dxa"/>
            <w:vAlign w:val="center"/>
          </w:tcPr>
          <w:p w14:paraId="4EEAD395">
            <w:pPr>
              <w:pStyle w:val="14"/>
              <w:bidi w:val="0"/>
              <w:jc w:val="center"/>
              <w:rPr>
                <w:rFonts w:hint="eastAsia"/>
                <w:lang w:val="en-US" w:eastAsia="zh-CN"/>
              </w:rPr>
            </w:pPr>
            <w:r>
              <w:rPr>
                <w:rFonts w:hint="eastAsia"/>
                <w:lang w:val="en-US" w:eastAsia="zh-CN"/>
              </w:rPr>
              <w:t>氨气</w:t>
            </w:r>
          </w:p>
        </w:tc>
        <w:tc>
          <w:tcPr>
            <w:tcW w:w="2158" w:type="dxa"/>
            <w:vAlign w:val="center"/>
          </w:tcPr>
          <w:p w14:paraId="4F4C68E4">
            <w:pPr>
              <w:pStyle w:val="14"/>
              <w:bidi w:val="0"/>
              <w:jc w:val="center"/>
              <w:rPr>
                <w:rFonts w:hint="eastAsia"/>
                <w:lang w:val="en-US" w:eastAsia="zh-CN"/>
              </w:rPr>
            </w:pPr>
            <w:r>
              <w:rPr>
                <w:rFonts w:hint="eastAsia"/>
                <w:lang w:val="en-US" w:eastAsia="zh-CN"/>
              </w:rPr>
              <w:t>内径＞150mm</w:t>
            </w:r>
          </w:p>
        </w:tc>
        <w:tc>
          <w:tcPr>
            <w:tcW w:w="658" w:type="dxa"/>
            <w:vAlign w:val="center"/>
          </w:tcPr>
          <w:p w14:paraId="307942DE">
            <w:pPr>
              <w:pStyle w:val="14"/>
              <w:bidi w:val="0"/>
              <w:jc w:val="center"/>
              <w:rPr>
                <w:rFonts w:hint="eastAsia"/>
                <w:lang w:val="en-US" w:eastAsia="zh-CN"/>
              </w:rPr>
            </w:pPr>
            <w:r>
              <w:rPr>
                <w:rFonts w:hint="eastAsia"/>
                <w:lang w:val="en-US" w:eastAsia="zh-CN"/>
              </w:rPr>
              <w:t>否</w:t>
            </w:r>
          </w:p>
        </w:tc>
        <w:tc>
          <w:tcPr>
            <w:tcW w:w="2158" w:type="dxa"/>
            <w:vAlign w:val="center"/>
          </w:tcPr>
          <w:p w14:paraId="382F6C48">
            <w:pPr>
              <w:pStyle w:val="14"/>
              <w:bidi w:val="0"/>
              <w:jc w:val="center"/>
              <w:rPr>
                <w:rFonts w:hint="default"/>
                <w:lang w:val="en-US" w:eastAsia="zh-CN"/>
              </w:rPr>
            </w:pPr>
            <w:r>
              <w:rPr>
                <w:rFonts w:hint="eastAsia"/>
                <w:lang w:val="en-US" w:eastAsia="zh-CN"/>
              </w:rPr>
              <w:t>/</w:t>
            </w:r>
          </w:p>
        </w:tc>
        <w:tc>
          <w:tcPr>
            <w:tcW w:w="1710" w:type="dxa"/>
            <w:vAlign w:val="center"/>
          </w:tcPr>
          <w:p w14:paraId="405533F4">
            <w:pPr>
              <w:pStyle w:val="14"/>
              <w:bidi w:val="0"/>
              <w:jc w:val="center"/>
              <w:rPr>
                <w:rFonts w:hint="default"/>
                <w:lang w:val="en-US" w:eastAsia="zh-CN"/>
              </w:rPr>
            </w:pPr>
            <w:r>
              <w:rPr>
                <w:rFonts w:hint="eastAsia"/>
                <w:lang w:val="en-US" w:eastAsia="zh-CN"/>
              </w:rPr>
              <w:t>/</w:t>
            </w:r>
          </w:p>
        </w:tc>
      </w:tr>
      <w:tr w14:paraId="3B28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restart"/>
            <w:vAlign w:val="center"/>
          </w:tcPr>
          <w:p w14:paraId="0515D452">
            <w:pPr>
              <w:pStyle w:val="14"/>
              <w:bidi w:val="0"/>
              <w:jc w:val="center"/>
              <w:rPr>
                <w:rFonts w:hint="default"/>
                <w:lang w:val="en-US" w:eastAsia="zh-CN"/>
              </w:rPr>
            </w:pPr>
            <w:r>
              <w:rPr>
                <w:rFonts w:hint="eastAsia"/>
                <w:lang w:val="en-US" w:eastAsia="zh-CN"/>
              </w:rPr>
              <w:t>7</w:t>
            </w:r>
          </w:p>
        </w:tc>
        <w:tc>
          <w:tcPr>
            <w:tcW w:w="1131" w:type="dxa"/>
            <w:vMerge w:val="restart"/>
            <w:shd w:val="clear" w:color="auto" w:fill="auto"/>
            <w:vAlign w:val="center"/>
          </w:tcPr>
          <w:p w14:paraId="6B4C35D4">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氨水</w:t>
            </w:r>
          </w:p>
        </w:tc>
        <w:tc>
          <w:tcPr>
            <w:tcW w:w="2158" w:type="dxa"/>
            <w:vMerge w:val="restart"/>
            <w:vAlign w:val="center"/>
          </w:tcPr>
          <w:p w14:paraId="1DBAFE8B">
            <w:pPr>
              <w:pStyle w:val="14"/>
              <w:bidi w:val="0"/>
              <w:jc w:val="center"/>
              <w:rPr>
                <w:rFonts w:hint="eastAsia"/>
                <w:lang w:val="en-US" w:eastAsia="zh-CN"/>
              </w:rPr>
            </w:pPr>
            <w:r>
              <w:rPr>
                <w:rFonts w:hint="eastAsia"/>
                <w:lang w:val="en-US" w:eastAsia="zh-CN"/>
              </w:rPr>
              <w:t>≤75mm</w:t>
            </w:r>
          </w:p>
        </w:tc>
        <w:tc>
          <w:tcPr>
            <w:tcW w:w="658" w:type="dxa"/>
            <w:vMerge w:val="restart"/>
            <w:vAlign w:val="center"/>
          </w:tcPr>
          <w:p w14:paraId="70A85250">
            <w:pPr>
              <w:pStyle w:val="14"/>
              <w:bidi w:val="0"/>
              <w:jc w:val="center"/>
              <w:rPr>
                <w:rFonts w:hint="eastAsia"/>
                <w:lang w:val="en-US" w:eastAsia="zh-CN"/>
              </w:rPr>
            </w:pPr>
            <w:r>
              <w:rPr>
                <w:rFonts w:hint="eastAsia"/>
                <w:lang w:val="en-US" w:eastAsia="zh-CN"/>
              </w:rPr>
              <w:t>是</w:t>
            </w:r>
          </w:p>
        </w:tc>
        <w:tc>
          <w:tcPr>
            <w:tcW w:w="2158" w:type="dxa"/>
            <w:vAlign w:val="center"/>
          </w:tcPr>
          <w:p w14:paraId="6D00C081">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1710" w:type="dxa"/>
            <w:vAlign w:val="center"/>
          </w:tcPr>
          <w:p w14:paraId="17318B74">
            <w:pPr>
              <w:pStyle w:val="14"/>
              <w:bidi w:val="0"/>
              <w:jc w:val="left"/>
              <w:rPr>
                <w:rFonts w:hint="eastAsia"/>
                <w:lang w:val="en-US" w:eastAsia="zh-CN"/>
              </w:rPr>
            </w:pPr>
            <w:r>
              <w:rPr>
                <w:lang w:val="en-US" w:eastAsia="zh-CN"/>
              </w:rPr>
              <w:t>5.00×10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20E0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continue"/>
            <w:vAlign w:val="center"/>
          </w:tcPr>
          <w:p w14:paraId="5992C35B">
            <w:pPr>
              <w:pStyle w:val="14"/>
              <w:bidi w:val="0"/>
              <w:jc w:val="center"/>
            </w:pPr>
          </w:p>
        </w:tc>
        <w:tc>
          <w:tcPr>
            <w:tcW w:w="1131" w:type="dxa"/>
            <w:vMerge w:val="continue"/>
            <w:shd w:val="clear" w:color="auto" w:fill="auto"/>
            <w:vAlign w:val="center"/>
          </w:tcPr>
          <w:p w14:paraId="1B0F53F1">
            <w:pPr>
              <w:pStyle w:val="14"/>
              <w:bidi w:val="0"/>
              <w:jc w:val="center"/>
            </w:pPr>
          </w:p>
        </w:tc>
        <w:tc>
          <w:tcPr>
            <w:tcW w:w="2158" w:type="dxa"/>
            <w:vMerge w:val="continue"/>
            <w:vAlign w:val="center"/>
          </w:tcPr>
          <w:p w14:paraId="0E1274E2">
            <w:pPr>
              <w:pStyle w:val="14"/>
              <w:bidi w:val="0"/>
              <w:jc w:val="center"/>
            </w:pPr>
          </w:p>
        </w:tc>
        <w:tc>
          <w:tcPr>
            <w:tcW w:w="658" w:type="dxa"/>
            <w:vMerge w:val="continue"/>
            <w:vAlign w:val="center"/>
          </w:tcPr>
          <w:p w14:paraId="69FA08C6">
            <w:pPr>
              <w:pStyle w:val="14"/>
              <w:bidi w:val="0"/>
              <w:jc w:val="center"/>
            </w:pPr>
          </w:p>
        </w:tc>
        <w:tc>
          <w:tcPr>
            <w:tcW w:w="2158" w:type="dxa"/>
            <w:vAlign w:val="center"/>
          </w:tcPr>
          <w:p w14:paraId="460A37BB">
            <w:pPr>
              <w:pStyle w:val="14"/>
              <w:bidi w:val="0"/>
              <w:jc w:val="left"/>
              <w:rPr>
                <w:rFonts w:hint="eastAsia"/>
                <w:lang w:val="en-US" w:eastAsia="zh-CN"/>
              </w:rPr>
            </w:pPr>
            <w:r>
              <w:rPr>
                <w:rFonts w:hint="eastAsia"/>
                <w:lang w:val="en-US" w:eastAsia="zh-CN"/>
              </w:rPr>
              <w:t>全管径泄漏</w:t>
            </w:r>
          </w:p>
        </w:tc>
        <w:tc>
          <w:tcPr>
            <w:tcW w:w="1710" w:type="dxa"/>
            <w:vAlign w:val="center"/>
          </w:tcPr>
          <w:p w14:paraId="17907A3B">
            <w:pPr>
              <w:pStyle w:val="14"/>
              <w:bidi w:val="0"/>
              <w:jc w:val="left"/>
              <w:rPr>
                <w:rFonts w:hint="eastAsia"/>
                <w:lang w:val="en-US" w:eastAsia="zh-CN"/>
              </w:rPr>
            </w:pPr>
            <w:r>
              <w:rPr>
                <w:lang w:val="en-US" w:eastAsia="zh-CN"/>
              </w:rPr>
              <w:t>1.00×10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7A94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restart"/>
            <w:vAlign w:val="center"/>
          </w:tcPr>
          <w:p w14:paraId="3FC55A9B">
            <w:pPr>
              <w:pStyle w:val="14"/>
              <w:bidi w:val="0"/>
              <w:jc w:val="center"/>
              <w:rPr>
                <w:rFonts w:hint="default"/>
                <w:lang w:val="en-US" w:eastAsia="zh-CN"/>
              </w:rPr>
            </w:pPr>
            <w:r>
              <w:rPr>
                <w:rFonts w:hint="eastAsia"/>
                <w:lang w:val="en-US" w:eastAsia="zh-CN"/>
              </w:rPr>
              <w:t>8</w:t>
            </w:r>
          </w:p>
        </w:tc>
        <w:tc>
          <w:tcPr>
            <w:tcW w:w="1131" w:type="dxa"/>
            <w:vMerge w:val="restart"/>
            <w:shd w:val="clear" w:color="auto" w:fill="auto"/>
            <w:vAlign w:val="center"/>
          </w:tcPr>
          <w:p w14:paraId="1E183DBC">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氨水</w:t>
            </w:r>
          </w:p>
        </w:tc>
        <w:tc>
          <w:tcPr>
            <w:tcW w:w="2158" w:type="dxa"/>
            <w:vMerge w:val="restart"/>
            <w:vAlign w:val="center"/>
          </w:tcPr>
          <w:p w14:paraId="68B49722">
            <w:pPr>
              <w:pStyle w:val="14"/>
              <w:bidi w:val="0"/>
              <w:jc w:val="center"/>
              <w:rPr>
                <w:rFonts w:hint="eastAsia"/>
                <w:lang w:val="en-US" w:eastAsia="zh-CN"/>
              </w:rPr>
            </w:pPr>
            <w:r>
              <w:rPr>
                <w:rFonts w:hint="eastAsia"/>
                <w:lang w:val="en-US" w:eastAsia="zh-CN"/>
              </w:rPr>
              <w:t>75mm≤内径≤150mm</w:t>
            </w:r>
          </w:p>
        </w:tc>
        <w:tc>
          <w:tcPr>
            <w:tcW w:w="658" w:type="dxa"/>
            <w:vMerge w:val="restart"/>
            <w:vAlign w:val="center"/>
          </w:tcPr>
          <w:p w14:paraId="57459217">
            <w:pPr>
              <w:pStyle w:val="14"/>
              <w:bidi w:val="0"/>
              <w:jc w:val="center"/>
              <w:rPr>
                <w:rFonts w:hint="eastAsia"/>
                <w:lang w:val="en-US" w:eastAsia="zh-CN"/>
              </w:rPr>
            </w:pPr>
            <w:r>
              <w:rPr>
                <w:rFonts w:hint="eastAsia"/>
                <w:lang w:val="en-US" w:eastAsia="zh-CN"/>
              </w:rPr>
              <w:t>是</w:t>
            </w:r>
          </w:p>
        </w:tc>
        <w:tc>
          <w:tcPr>
            <w:tcW w:w="2158" w:type="dxa"/>
            <w:vAlign w:val="center"/>
          </w:tcPr>
          <w:p w14:paraId="243880D2">
            <w:pPr>
              <w:pStyle w:val="14"/>
              <w:bidi w:val="0"/>
              <w:jc w:val="left"/>
              <w:rPr>
                <w:rFonts w:hint="eastAsia"/>
                <w:lang w:val="en-US" w:eastAsia="zh-CN"/>
              </w:rPr>
            </w:pPr>
            <w:r>
              <w:rPr>
                <w:rFonts w:hint="eastAsia"/>
                <w:lang w:val="en-US" w:eastAsia="zh-CN"/>
              </w:rPr>
              <w:t>泄漏孔径为</w:t>
            </w:r>
            <w:r>
              <w:rPr>
                <w:lang w:val="en-US" w:eastAsia="zh-CN"/>
              </w:rPr>
              <w:t>10%</w:t>
            </w:r>
            <w:r>
              <w:rPr>
                <w:rFonts w:hint="eastAsia"/>
                <w:lang w:val="en-US" w:eastAsia="zh-CN"/>
              </w:rPr>
              <w:t>孔径</w:t>
            </w:r>
          </w:p>
        </w:tc>
        <w:tc>
          <w:tcPr>
            <w:tcW w:w="1710" w:type="dxa"/>
            <w:vAlign w:val="center"/>
          </w:tcPr>
          <w:p w14:paraId="5F001C12">
            <w:pPr>
              <w:pStyle w:val="14"/>
              <w:bidi w:val="0"/>
              <w:jc w:val="left"/>
              <w:rPr>
                <w:rFonts w:hint="eastAsia"/>
                <w:lang w:val="en-US" w:eastAsia="zh-CN"/>
              </w:rPr>
            </w:pPr>
            <w:r>
              <w:rPr>
                <w:lang w:val="en-US" w:eastAsia="zh-CN"/>
              </w:rPr>
              <w:t>2.00×10</w:t>
            </w:r>
            <w:r>
              <w:rPr>
                <w:vertAlign w:val="superscript"/>
                <w:lang w:val="en-US" w:eastAsia="zh-CN"/>
              </w:rPr>
              <w:t>-6</w:t>
            </w:r>
            <w:r>
              <w:rPr>
                <w:lang w:val="en-US" w:eastAsia="zh-CN"/>
              </w:rPr>
              <w:t>/</w:t>
            </w:r>
            <w:r>
              <w:rPr>
                <w:rFonts w:hint="eastAsia"/>
                <w:lang w:val="en-US" w:eastAsia="zh-CN"/>
              </w:rPr>
              <w:t>（</w:t>
            </w:r>
            <w:r>
              <w:rPr>
                <w:lang w:val="en-US" w:eastAsia="zh-CN"/>
              </w:rPr>
              <w:t>m·a</w:t>
            </w:r>
            <w:r>
              <w:rPr>
                <w:rFonts w:hint="eastAsia"/>
                <w:lang w:val="en-US" w:eastAsia="zh-CN"/>
              </w:rPr>
              <w:t>）</w:t>
            </w:r>
          </w:p>
        </w:tc>
      </w:tr>
      <w:tr w14:paraId="08A9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31" w:hRule="atLeast"/>
          <w:jc w:val="center"/>
        </w:trPr>
        <w:tc>
          <w:tcPr>
            <w:tcW w:w="721" w:type="dxa"/>
            <w:vMerge w:val="continue"/>
            <w:vAlign w:val="center"/>
          </w:tcPr>
          <w:p w14:paraId="045C59D3">
            <w:pPr>
              <w:pStyle w:val="14"/>
              <w:bidi w:val="0"/>
              <w:jc w:val="center"/>
            </w:pPr>
          </w:p>
        </w:tc>
        <w:tc>
          <w:tcPr>
            <w:tcW w:w="1131" w:type="dxa"/>
            <w:vMerge w:val="continue"/>
            <w:shd w:val="clear" w:color="auto" w:fill="auto"/>
            <w:vAlign w:val="center"/>
          </w:tcPr>
          <w:p w14:paraId="5B9578F0">
            <w:pPr>
              <w:pStyle w:val="14"/>
              <w:bidi w:val="0"/>
              <w:jc w:val="center"/>
            </w:pPr>
          </w:p>
        </w:tc>
        <w:tc>
          <w:tcPr>
            <w:tcW w:w="2158" w:type="dxa"/>
            <w:vMerge w:val="continue"/>
            <w:vAlign w:val="center"/>
          </w:tcPr>
          <w:p w14:paraId="68E13F7D">
            <w:pPr>
              <w:pStyle w:val="14"/>
              <w:bidi w:val="0"/>
              <w:jc w:val="center"/>
            </w:pPr>
          </w:p>
        </w:tc>
        <w:tc>
          <w:tcPr>
            <w:tcW w:w="658" w:type="dxa"/>
            <w:vMerge w:val="continue"/>
            <w:vAlign w:val="center"/>
          </w:tcPr>
          <w:p w14:paraId="370AC93A">
            <w:pPr>
              <w:pStyle w:val="14"/>
              <w:bidi w:val="0"/>
              <w:jc w:val="center"/>
            </w:pPr>
          </w:p>
        </w:tc>
        <w:tc>
          <w:tcPr>
            <w:tcW w:w="2158" w:type="dxa"/>
            <w:vAlign w:val="center"/>
          </w:tcPr>
          <w:p w14:paraId="58E8956F">
            <w:pPr>
              <w:pStyle w:val="14"/>
              <w:bidi w:val="0"/>
              <w:jc w:val="left"/>
              <w:rPr>
                <w:rFonts w:hint="eastAsia"/>
                <w:lang w:val="en-US" w:eastAsia="zh-CN"/>
              </w:rPr>
            </w:pPr>
            <w:r>
              <w:rPr>
                <w:rFonts w:hint="eastAsia"/>
                <w:lang w:val="en-US" w:eastAsia="zh-CN"/>
              </w:rPr>
              <w:t>全管径泄漏</w:t>
            </w:r>
          </w:p>
        </w:tc>
        <w:tc>
          <w:tcPr>
            <w:tcW w:w="1710" w:type="dxa"/>
            <w:vAlign w:val="center"/>
          </w:tcPr>
          <w:p w14:paraId="06AFEEA7">
            <w:pPr>
              <w:pStyle w:val="14"/>
              <w:bidi w:val="0"/>
              <w:jc w:val="left"/>
              <w:rPr>
                <w:rFonts w:hint="eastAsia"/>
                <w:lang w:val="en-US" w:eastAsia="zh-CN"/>
              </w:rPr>
            </w:pPr>
            <w:r>
              <w:rPr>
                <w:lang w:val="en-US" w:eastAsia="zh-CN"/>
              </w:rPr>
              <w:t>3.00×10</w:t>
            </w:r>
            <w:r>
              <w:rPr>
                <w:vertAlign w:val="superscript"/>
                <w:lang w:val="en-US" w:eastAsia="zh-CN"/>
              </w:rPr>
              <w:t>-7</w:t>
            </w:r>
            <w:r>
              <w:rPr>
                <w:lang w:val="en-US" w:eastAsia="zh-CN"/>
              </w:rPr>
              <w:t>/</w:t>
            </w:r>
            <w:r>
              <w:rPr>
                <w:rFonts w:hint="eastAsia"/>
                <w:lang w:val="en-US" w:eastAsia="zh-CN"/>
              </w:rPr>
              <w:t>（</w:t>
            </w:r>
            <w:r>
              <w:rPr>
                <w:lang w:val="en-US" w:eastAsia="zh-CN"/>
              </w:rPr>
              <w:t>m·a</w:t>
            </w:r>
            <w:r>
              <w:rPr>
                <w:rFonts w:hint="eastAsia"/>
                <w:lang w:val="en-US" w:eastAsia="zh-CN"/>
              </w:rPr>
              <w:t>）</w:t>
            </w:r>
          </w:p>
        </w:tc>
      </w:tr>
      <w:tr w14:paraId="1CC4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21" w:type="dxa"/>
            <w:vAlign w:val="center"/>
          </w:tcPr>
          <w:p w14:paraId="2EE00BD2">
            <w:pPr>
              <w:pStyle w:val="14"/>
              <w:bidi w:val="0"/>
              <w:jc w:val="center"/>
              <w:rPr>
                <w:rFonts w:hint="default"/>
                <w:lang w:val="en-US" w:eastAsia="zh-CN"/>
              </w:rPr>
            </w:pPr>
            <w:r>
              <w:rPr>
                <w:rFonts w:hint="eastAsia"/>
                <w:lang w:val="en-US" w:eastAsia="zh-CN"/>
              </w:rPr>
              <w:t>9</w:t>
            </w:r>
          </w:p>
        </w:tc>
        <w:tc>
          <w:tcPr>
            <w:tcW w:w="1131" w:type="dxa"/>
            <w:shd w:val="clear" w:color="auto" w:fill="auto"/>
            <w:vAlign w:val="center"/>
          </w:tcPr>
          <w:p w14:paraId="396577CB">
            <w:pPr>
              <w:pStyle w:val="14"/>
              <w:bidi w:val="0"/>
              <w:jc w:val="center"/>
              <w:rPr>
                <w:rFonts w:hint="eastAsia" w:ascii="Times New Roman" w:hAnsi="Times New Roman" w:eastAsia="宋体" w:cs="Times New Roman"/>
                <w:kern w:val="0"/>
                <w:sz w:val="21"/>
                <w:szCs w:val="20"/>
                <w:lang w:val="en-US" w:eastAsia="zh-CN" w:bidi="ar-SA"/>
              </w:rPr>
            </w:pPr>
            <w:r>
              <w:rPr>
                <w:rFonts w:hint="eastAsia"/>
                <w:lang w:val="en-US" w:eastAsia="zh-CN"/>
              </w:rPr>
              <w:t>氨水</w:t>
            </w:r>
          </w:p>
        </w:tc>
        <w:tc>
          <w:tcPr>
            <w:tcW w:w="2158" w:type="dxa"/>
            <w:vAlign w:val="center"/>
          </w:tcPr>
          <w:p w14:paraId="245F9F1A">
            <w:pPr>
              <w:pStyle w:val="14"/>
              <w:bidi w:val="0"/>
              <w:jc w:val="center"/>
              <w:rPr>
                <w:rFonts w:hint="eastAsia"/>
                <w:lang w:val="en-US" w:eastAsia="zh-CN"/>
              </w:rPr>
            </w:pPr>
            <w:r>
              <w:rPr>
                <w:rFonts w:hint="eastAsia"/>
                <w:lang w:val="en-US" w:eastAsia="zh-CN"/>
              </w:rPr>
              <w:t>内径＞150mm</w:t>
            </w:r>
          </w:p>
        </w:tc>
        <w:tc>
          <w:tcPr>
            <w:tcW w:w="658" w:type="dxa"/>
            <w:vAlign w:val="center"/>
          </w:tcPr>
          <w:p w14:paraId="5BB64275">
            <w:pPr>
              <w:pStyle w:val="14"/>
              <w:bidi w:val="0"/>
              <w:jc w:val="center"/>
              <w:rPr>
                <w:rFonts w:hint="eastAsia"/>
                <w:lang w:val="en-US" w:eastAsia="zh-CN"/>
              </w:rPr>
            </w:pPr>
            <w:r>
              <w:rPr>
                <w:rFonts w:hint="eastAsia"/>
                <w:lang w:val="en-US" w:eastAsia="zh-CN"/>
              </w:rPr>
              <w:t>否</w:t>
            </w:r>
          </w:p>
        </w:tc>
        <w:tc>
          <w:tcPr>
            <w:tcW w:w="2158" w:type="dxa"/>
            <w:vAlign w:val="center"/>
          </w:tcPr>
          <w:p w14:paraId="5DBA005E">
            <w:pPr>
              <w:pStyle w:val="14"/>
              <w:bidi w:val="0"/>
              <w:jc w:val="center"/>
              <w:rPr>
                <w:rFonts w:hint="default"/>
                <w:lang w:val="en-US" w:eastAsia="zh-CN"/>
              </w:rPr>
            </w:pPr>
            <w:r>
              <w:rPr>
                <w:rFonts w:hint="eastAsia"/>
                <w:lang w:val="en-US" w:eastAsia="zh-CN"/>
              </w:rPr>
              <w:t>/</w:t>
            </w:r>
          </w:p>
        </w:tc>
        <w:tc>
          <w:tcPr>
            <w:tcW w:w="1710" w:type="dxa"/>
            <w:vAlign w:val="center"/>
          </w:tcPr>
          <w:p w14:paraId="3A87C844">
            <w:pPr>
              <w:pStyle w:val="14"/>
              <w:bidi w:val="0"/>
              <w:jc w:val="center"/>
              <w:rPr>
                <w:rFonts w:hint="default"/>
                <w:lang w:val="en-US" w:eastAsia="zh-CN"/>
              </w:rPr>
            </w:pPr>
            <w:r>
              <w:rPr>
                <w:rFonts w:hint="eastAsia"/>
                <w:lang w:val="en-US" w:eastAsia="zh-CN"/>
              </w:rPr>
              <w:t>/</w:t>
            </w:r>
          </w:p>
        </w:tc>
      </w:tr>
    </w:tbl>
    <w:p w14:paraId="605EC810">
      <w:pPr>
        <w:pStyle w:val="14"/>
        <w:bidi w:val="0"/>
        <w:rPr>
          <w:rFonts w:hint="eastAsia"/>
          <w:lang w:val="en-US" w:eastAsia="zh-CN"/>
        </w:rPr>
      </w:pPr>
    </w:p>
    <w:p w14:paraId="0E767747">
      <w:pPr>
        <w:ind w:firstLine="480" w:firstLineChars="200"/>
        <w:rPr>
          <w:rFonts w:hint="eastAsia"/>
          <w:lang w:val="en-US" w:eastAsia="zh-CN"/>
        </w:rPr>
      </w:pPr>
      <w:r>
        <w:rPr>
          <w:rFonts w:hint="eastAsia"/>
          <w:lang w:val="en-US" w:eastAsia="zh-CN"/>
        </w:rPr>
        <w:t>综上，由于氨水储罐和液氨储罐周围设有围堰及紧急泄氨装置，发生泄漏较容易发现，而输送管线泄漏后可能直接挥发，未及时发现，故本项目液氨最大可信事件为液氨管线管径≤75mm，以内径≤75mm的管道泄漏孔径为10%孔径的事件，发生泄漏频率约为5×10</w:t>
      </w:r>
      <w:r>
        <w:rPr>
          <w:rFonts w:hint="eastAsia"/>
          <w:vertAlign w:val="superscript"/>
          <w:lang w:val="en-US" w:eastAsia="zh-CN"/>
        </w:rPr>
        <w:t>-6</w:t>
      </w:r>
      <w:r>
        <w:rPr>
          <w:rFonts w:hint="eastAsia"/>
          <w:lang w:val="en-US" w:eastAsia="zh-CN"/>
        </w:rPr>
        <w:t>/a；氨水最大可信事件为氨水管线管径为管径≤75mm，以内径≤75mm的管道泄漏孔径为10%孔径的事件，发生泄漏频率约为5×10</w:t>
      </w:r>
      <w:r>
        <w:rPr>
          <w:rFonts w:hint="eastAsia"/>
          <w:vertAlign w:val="superscript"/>
          <w:lang w:val="en-US" w:eastAsia="zh-CN"/>
        </w:rPr>
        <w:t>-6</w:t>
      </w:r>
      <w:r>
        <w:rPr>
          <w:rFonts w:hint="eastAsia"/>
          <w:lang w:val="en-US" w:eastAsia="zh-CN"/>
        </w:rPr>
        <w:t>/a。</w:t>
      </w:r>
    </w:p>
    <w:p w14:paraId="1B074219">
      <w:pPr>
        <w:pStyle w:val="4"/>
        <w:bidi w:val="0"/>
        <w:rPr>
          <w:rFonts w:hint="eastAsia"/>
          <w:lang w:val="en-US" w:eastAsia="zh-CN"/>
        </w:rPr>
      </w:pPr>
      <w:r>
        <w:rPr>
          <w:rFonts w:hint="eastAsia"/>
          <w:lang w:val="en-US" w:eastAsia="zh-CN"/>
        </w:rPr>
        <w:t>5.1.4地下水环境风险事故情形分析</w:t>
      </w:r>
    </w:p>
    <w:p w14:paraId="3E95E487">
      <w:pPr>
        <w:ind w:firstLine="480" w:firstLineChars="200"/>
        <w:rPr>
          <w:rFonts w:hint="eastAsia"/>
          <w:lang w:val="en-US" w:eastAsia="zh-CN"/>
        </w:rPr>
      </w:pPr>
      <w:r>
        <w:rPr>
          <w:rFonts w:hint="eastAsia"/>
          <w:lang w:val="en-US" w:eastAsia="zh-CN"/>
        </w:rPr>
        <w:t>根据本项目废水分析章节，本项目生活污水经三级化粪池处理后进入园区污水管网。软水器制备纯水后产生少量浓水属于清净下水，直接排入园区雨水管网。球罐储存过程冷却降温用水，15%蒸发损耗，其余在球罐下方汇集，经管道输送返回防晒循环水池内循环回用，不外排。吸氨器冷却用水进入凉水塔冷却，凉水塔的水蒸发损耗2%，其余水经过冷却后循环回用于吸氨器冷却用水，并相应地补充蒸发损耗的水量。本项目尾气吸收塔喷淋用水均进入吸氨器回用于项目氨水生产，不外排。初期雨水在初期雨水池内进行暂存，交由有资质的污水处理单位安排槽罐车清运处置。本项目地下水环境风险事故情形设定如下：本项目生活污水地下污水管道因老化、出现裂痕等问题发生泄漏，未能及时处理情况下，污水进入地下水会对地下水环境造成污染。</w:t>
      </w:r>
    </w:p>
    <w:p w14:paraId="3B7E01A9">
      <w:pPr>
        <w:ind w:firstLine="480" w:firstLineChars="200"/>
        <w:rPr>
          <w:rFonts w:hint="eastAsia"/>
          <w:lang w:val="en-US" w:eastAsia="zh-CN"/>
        </w:rPr>
      </w:pPr>
      <w:r>
        <w:rPr>
          <w:rFonts w:hint="eastAsia"/>
          <w:lang w:val="en-US" w:eastAsia="zh-CN"/>
        </w:rPr>
        <w:t>综上所述，本项目风险事故情形主要为液氨管线、氨水管线泄漏对大气环境产生影响；火灾事故产生的消防废水对地表水、地下水环境产生影响。</w:t>
      </w:r>
    </w:p>
    <w:p w14:paraId="359372AB">
      <w:pPr>
        <w:pStyle w:val="15"/>
        <w:bidi w:val="0"/>
        <w:rPr>
          <w:rFonts w:hint="eastAsia"/>
          <w:lang w:val="en-US" w:eastAsia="zh-CN"/>
        </w:rPr>
      </w:pPr>
      <w:r>
        <w:rPr>
          <w:rFonts w:hint="eastAsia"/>
          <w:lang w:val="en-US" w:eastAsia="zh-CN"/>
        </w:rPr>
        <w:t>表5-4 本项目风险事故情形设定</w:t>
      </w:r>
    </w:p>
    <w:tbl>
      <w:tblPr>
        <w:tblStyle w:val="11"/>
        <w:tblW w:w="79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60"/>
        <w:gridCol w:w="1604"/>
        <w:gridCol w:w="757"/>
        <w:gridCol w:w="1123"/>
        <w:gridCol w:w="1252"/>
        <w:gridCol w:w="1172"/>
        <w:gridCol w:w="1409"/>
      </w:tblGrid>
      <w:tr w14:paraId="7454BF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11" w:hRule="atLeast"/>
          <w:jc w:val="center"/>
        </w:trPr>
        <w:tc>
          <w:tcPr>
            <w:tcW w:w="660" w:type="dxa"/>
            <w:tcBorders>
              <w:tl2br w:val="nil"/>
              <w:tr2bl w:val="nil"/>
            </w:tcBorders>
            <w:vAlign w:val="center"/>
          </w:tcPr>
          <w:p w14:paraId="19C8D3D3">
            <w:pPr>
              <w:pStyle w:val="14"/>
              <w:bidi w:val="0"/>
              <w:jc w:val="center"/>
              <w:rPr>
                <w:rFonts w:hint="eastAsia"/>
                <w:b/>
                <w:bCs/>
                <w:lang w:val="en-US" w:eastAsia="zh-CN"/>
              </w:rPr>
            </w:pPr>
            <w:r>
              <w:rPr>
                <w:rFonts w:hint="eastAsia"/>
                <w:b/>
                <w:bCs/>
                <w:lang w:val="en-US" w:eastAsia="zh-CN"/>
              </w:rPr>
              <w:t>序号</w:t>
            </w:r>
          </w:p>
        </w:tc>
        <w:tc>
          <w:tcPr>
            <w:tcW w:w="1604" w:type="dxa"/>
            <w:tcBorders>
              <w:tl2br w:val="nil"/>
              <w:tr2bl w:val="nil"/>
            </w:tcBorders>
            <w:vAlign w:val="center"/>
          </w:tcPr>
          <w:p w14:paraId="24A32D20">
            <w:pPr>
              <w:pStyle w:val="14"/>
              <w:bidi w:val="0"/>
              <w:jc w:val="center"/>
              <w:rPr>
                <w:rFonts w:hint="eastAsia"/>
                <w:b/>
                <w:bCs/>
                <w:lang w:val="en-US" w:eastAsia="zh-CN"/>
              </w:rPr>
            </w:pPr>
            <w:r>
              <w:rPr>
                <w:rFonts w:hint="eastAsia"/>
                <w:b/>
                <w:bCs/>
                <w:lang w:val="en-US" w:eastAsia="zh-CN"/>
              </w:rPr>
              <w:t>危险单元</w:t>
            </w:r>
          </w:p>
        </w:tc>
        <w:tc>
          <w:tcPr>
            <w:tcW w:w="757" w:type="dxa"/>
            <w:tcBorders>
              <w:tl2br w:val="nil"/>
              <w:tr2bl w:val="nil"/>
            </w:tcBorders>
            <w:vAlign w:val="center"/>
          </w:tcPr>
          <w:p w14:paraId="00BDADC7">
            <w:pPr>
              <w:pStyle w:val="14"/>
              <w:bidi w:val="0"/>
              <w:jc w:val="center"/>
              <w:rPr>
                <w:rFonts w:hint="eastAsia"/>
                <w:b/>
                <w:bCs/>
                <w:lang w:val="en-US" w:eastAsia="zh-CN"/>
              </w:rPr>
            </w:pPr>
            <w:r>
              <w:rPr>
                <w:rFonts w:hint="eastAsia"/>
                <w:b/>
                <w:bCs/>
                <w:lang w:val="en-US" w:eastAsia="zh-CN"/>
              </w:rPr>
              <w:t>风险源</w:t>
            </w:r>
          </w:p>
        </w:tc>
        <w:tc>
          <w:tcPr>
            <w:tcW w:w="1123" w:type="dxa"/>
            <w:tcBorders>
              <w:tl2br w:val="nil"/>
              <w:tr2bl w:val="nil"/>
            </w:tcBorders>
            <w:vAlign w:val="center"/>
          </w:tcPr>
          <w:p w14:paraId="4B7E7896">
            <w:pPr>
              <w:pStyle w:val="14"/>
              <w:bidi w:val="0"/>
              <w:jc w:val="center"/>
              <w:rPr>
                <w:rFonts w:hint="eastAsia"/>
                <w:b/>
                <w:bCs/>
                <w:lang w:val="en-US" w:eastAsia="zh-CN"/>
              </w:rPr>
            </w:pPr>
            <w:r>
              <w:rPr>
                <w:rFonts w:hint="eastAsia"/>
                <w:b/>
                <w:bCs/>
                <w:lang w:val="en-US" w:eastAsia="zh-CN"/>
              </w:rPr>
              <w:t>主要危险物质</w:t>
            </w:r>
          </w:p>
        </w:tc>
        <w:tc>
          <w:tcPr>
            <w:tcW w:w="1252" w:type="dxa"/>
            <w:tcBorders>
              <w:tl2br w:val="nil"/>
              <w:tr2bl w:val="nil"/>
            </w:tcBorders>
            <w:vAlign w:val="center"/>
          </w:tcPr>
          <w:p w14:paraId="21DA68A0">
            <w:pPr>
              <w:pStyle w:val="14"/>
              <w:bidi w:val="0"/>
              <w:jc w:val="center"/>
              <w:rPr>
                <w:rFonts w:hint="eastAsia"/>
                <w:b/>
                <w:bCs/>
                <w:lang w:val="en-US" w:eastAsia="zh-CN"/>
              </w:rPr>
            </w:pPr>
            <w:r>
              <w:rPr>
                <w:rFonts w:hint="eastAsia"/>
                <w:b/>
                <w:bCs/>
                <w:lang w:val="en-US" w:eastAsia="zh-CN"/>
              </w:rPr>
              <w:t>环境风险类型</w:t>
            </w:r>
          </w:p>
        </w:tc>
        <w:tc>
          <w:tcPr>
            <w:tcW w:w="1172" w:type="dxa"/>
            <w:tcBorders>
              <w:tl2br w:val="nil"/>
              <w:tr2bl w:val="nil"/>
            </w:tcBorders>
            <w:vAlign w:val="center"/>
          </w:tcPr>
          <w:p w14:paraId="32E7A103">
            <w:pPr>
              <w:pStyle w:val="14"/>
              <w:bidi w:val="0"/>
              <w:jc w:val="center"/>
              <w:rPr>
                <w:rFonts w:hint="eastAsia"/>
                <w:b/>
                <w:bCs/>
                <w:lang w:val="en-US" w:eastAsia="zh-CN"/>
              </w:rPr>
            </w:pPr>
            <w:r>
              <w:rPr>
                <w:rFonts w:hint="eastAsia"/>
                <w:b/>
                <w:bCs/>
                <w:lang w:val="en-US" w:eastAsia="zh-CN"/>
              </w:rPr>
              <w:t>环境影响途径</w:t>
            </w:r>
          </w:p>
        </w:tc>
        <w:tc>
          <w:tcPr>
            <w:tcW w:w="1409" w:type="dxa"/>
            <w:tcBorders>
              <w:tl2br w:val="nil"/>
              <w:tr2bl w:val="nil"/>
            </w:tcBorders>
            <w:vAlign w:val="center"/>
          </w:tcPr>
          <w:p w14:paraId="578F7CA4">
            <w:pPr>
              <w:pStyle w:val="14"/>
              <w:bidi w:val="0"/>
              <w:jc w:val="center"/>
              <w:rPr>
                <w:rFonts w:hint="eastAsia"/>
                <w:b/>
                <w:bCs/>
                <w:lang w:val="en-US" w:eastAsia="zh-CN"/>
              </w:rPr>
            </w:pPr>
            <w:r>
              <w:rPr>
                <w:rFonts w:hint="eastAsia"/>
                <w:b/>
                <w:bCs/>
                <w:lang w:val="en-US" w:eastAsia="zh-CN"/>
              </w:rPr>
              <w:t>可能受影响的环境敏</w:t>
            </w:r>
          </w:p>
          <w:p w14:paraId="1114EF7A">
            <w:pPr>
              <w:pStyle w:val="14"/>
              <w:bidi w:val="0"/>
              <w:jc w:val="center"/>
              <w:rPr>
                <w:rFonts w:hint="eastAsia"/>
                <w:b/>
                <w:bCs/>
                <w:lang w:val="en-US" w:eastAsia="zh-CN"/>
              </w:rPr>
            </w:pPr>
            <w:r>
              <w:rPr>
                <w:rFonts w:hint="eastAsia"/>
                <w:b/>
                <w:bCs/>
                <w:lang w:val="en-US" w:eastAsia="zh-CN"/>
              </w:rPr>
              <w:t>感目标</w:t>
            </w:r>
          </w:p>
        </w:tc>
      </w:tr>
      <w:tr w14:paraId="257448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03" w:hRule="atLeast"/>
          <w:jc w:val="center"/>
        </w:trPr>
        <w:tc>
          <w:tcPr>
            <w:tcW w:w="660" w:type="dxa"/>
            <w:tcBorders>
              <w:tl2br w:val="nil"/>
              <w:tr2bl w:val="nil"/>
            </w:tcBorders>
            <w:vAlign w:val="center"/>
          </w:tcPr>
          <w:p w14:paraId="4D630D3C">
            <w:pPr>
              <w:pStyle w:val="14"/>
              <w:bidi w:val="0"/>
              <w:jc w:val="center"/>
              <w:rPr>
                <w:lang w:val="en-US" w:eastAsia="zh-CN"/>
              </w:rPr>
            </w:pPr>
            <w:r>
              <w:rPr>
                <w:lang w:val="en-US" w:eastAsia="zh-CN"/>
              </w:rPr>
              <w:t>1</w:t>
            </w:r>
          </w:p>
        </w:tc>
        <w:tc>
          <w:tcPr>
            <w:tcW w:w="1604" w:type="dxa"/>
            <w:vMerge w:val="restart"/>
            <w:tcBorders>
              <w:tl2br w:val="nil"/>
              <w:tr2bl w:val="nil"/>
            </w:tcBorders>
            <w:vAlign w:val="center"/>
          </w:tcPr>
          <w:p w14:paraId="0261CF3D">
            <w:pPr>
              <w:pStyle w:val="14"/>
              <w:bidi w:val="0"/>
              <w:jc w:val="center"/>
              <w:rPr>
                <w:rFonts w:hint="eastAsia"/>
                <w:lang w:val="en-US" w:eastAsia="zh-CN"/>
              </w:rPr>
            </w:pPr>
            <w:r>
              <w:rPr>
                <w:rFonts w:hint="eastAsia"/>
                <w:lang w:val="en-US" w:eastAsia="zh-CN"/>
              </w:rPr>
              <w:t>氨水生产区、液氨充装区、储运单元</w:t>
            </w:r>
          </w:p>
        </w:tc>
        <w:tc>
          <w:tcPr>
            <w:tcW w:w="757" w:type="dxa"/>
            <w:vMerge w:val="restart"/>
            <w:tcBorders>
              <w:tl2br w:val="nil"/>
              <w:tr2bl w:val="nil"/>
            </w:tcBorders>
            <w:vAlign w:val="center"/>
          </w:tcPr>
          <w:p w14:paraId="35D07C3E">
            <w:pPr>
              <w:pStyle w:val="14"/>
              <w:bidi w:val="0"/>
              <w:jc w:val="center"/>
              <w:rPr>
                <w:rFonts w:hint="eastAsia"/>
                <w:lang w:val="en-US" w:eastAsia="zh-CN"/>
              </w:rPr>
            </w:pPr>
            <w:r>
              <w:rPr>
                <w:rFonts w:hint="eastAsia"/>
                <w:lang w:val="en-US" w:eastAsia="zh-CN"/>
              </w:rPr>
              <w:t>连接管</w:t>
            </w:r>
          </w:p>
          <w:p w14:paraId="0E4C4BC9">
            <w:pPr>
              <w:pStyle w:val="14"/>
              <w:bidi w:val="0"/>
              <w:jc w:val="center"/>
              <w:rPr>
                <w:rFonts w:hint="eastAsia"/>
                <w:lang w:val="en-US" w:eastAsia="zh-CN"/>
              </w:rPr>
            </w:pPr>
            <w:r>
              <w:rPr>
                <w:rFonts w:hint="eastAsia"/>
                <w:lang w:val="en-US" w:eastAsia="zh-CN"/>
              </w:rPr>
              <w:t>线</w:t>
            </w:r>
          </w:p>
        </w:tc>
        <w:tc>
          <w:tcPr>
            <w:tcW w:w="1123" w:type="dxa"/>
            <w:tcBorders>
              <w:tl2br w:val="nil"/>
              <w:tr2bl w:val="nil"/>
            </w:tcBorders>
            <w:vAlign w:val="center"/>
          </w:tcPr>
          <w:p w14:paraId="13D04319">
            <w:pPr>
              <w:pStyle w:val="14"/>
              <w:bidi w:val="0"/>
              <w:jc w:val="center"/>
              <w:rPr>
                <w:rFonts w:hint="eastAsia"/>
                <w:lang w:val="en-US" w:eastAsia="zh-CN"/>
              </w:rPr>
            </w:pPr>
            <w:r>
              <w:rPr>
                <w:rFonts w:hint="eastAsia"/>
                <w:lang w:val="en-US" w:eastAsia="zh-CN"/>
              </w:rPr>
              <w:t>液氨、氨水</w:t>
            </w:r>
          </w:p>
        </w:tc>
        <w:tc>
          <w:tcPr>
            <w:tcW w:w="1252" w:type="dxa"/>
            <w:tcBorders>
              <w:tl2br w:val="nil"/>
              <w:tr2bl w:val="nil"/>
            </w:tcBorders>
            <w:vAlign w:val="center"/>
          </w:tcPr>
          <w:p w14:paraId="6FC02D6B">
            <w:pPr>
              <w:pStyle w:val="14"/>
              <w:bidi w:val="0"/>
              <w:jc w:val="center"/>
              <w:rPr>
                <w:rFonts w:hint="eastAsia"/>
                <w:lang w:val="en-US" w:eastAsia="zh-CN"/>
              </w:rPr>
            </w:pPr>
            <w:r>
              <w:rPr>
                <w:rFonts w:hint="eastAsia"/>
                <w:lang w:val="en-US" w:eastAsia="zh-CN"/>
              </w:rPr>
              <w:t>泄漏</w:t>
            </w:r>
          </w:p>
        </w:tc>
        <w:tc>
          <w:tcPr>
            <w:tcW w:w="1172" w:type="dxa"/>
            <w:tcBorders>
              <w:tl2br w:val="nil"/>
              <w:tr2bl w:val="nil"/>
            </w:tcBorders>
            <w:vAlign w:val="center"/>
          </w:tcPr>
          <w:p w14:paraId="71D47783">
            <w:pPr>
              <w:pStyle w:val="14"/>
              <w:bidi w:val="0"/>
              <w:jc w:val="center"/>
              <w:rPr>
                <w:rFonts w:hint="eastAsia"/>
                <w:lang w:val="en-US" w:eastAsia="zh-CN"/>
              </w:rPr>
            </w:pPr>
            <w:r>
              <w:rPr>
                <w:rFonts w:hint="eastAsia"/>
                <w:lang w:val="en-US" w:eastAsia="zh-CN"/>
              </w:rPr>
              <w:t>大气</w:t>
            </w:r>
          </w:p>
        </w:tc>
        <w:tc>
          <w:tcPr>
            <w:tcW w:w="1409" w:type="dxa"/>
            <w:tcBorders>
              <w:tl2br w:val="nil"/>
              <w:tr2bl w:val="nil"/>
            </w:tcBorders>
            <w:vAlign w:val="center"/>
          </w:tcPr>
          <w:p w14:paraId="6F108AD4">
            <w:pPr>
              <w:pStyle w:val="14"/>
              <w:bidi w:val="0"/>
              <w:jc w:val="center"/>
              <w:rPr>
                <w:rFonts w:hint="eastAsia"/>
                <w:lang w:val="en-US" w:eastAsia="zh-CN"/>
              </w:rPr>
            </w:pPr>
            <w:r>
              <w:rPr>
                <w:rFonts w:hint="eastAsia"/>
                <w:lang w:val="en-US" w:eastAsia="zh-CN"/>
              </w:rPr>
              <w:t>居住区</w:t>
            </w:r>
          </w:p>
        </w:tc>
      </w:tr>
      <w:tr w14:paraId="03401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9" w:hRule="atLeast"/>
          <w:jc w:val="center"/>
        </w:trPr>
        <w:tc>
          <w:tcPr>
            <w:tcW w:w="660" w:type="dxa"/>
            <w:tcBorders>
              <w:tl2br w:val="nil"/>
              <w:tr2bl w:val="nil"/>
            </w:tcBorders>
            <w:vAlign w:val="center"/>
          </w:tcPr>
          <w:p w14:paraId="3CC2B280">
            <w:pPr>
              <w:pStyle w:val="14"/>
              <w:bidi w:val="0"/>
              <w:jc w:val="center"/>
              <w:rPr>
                <w:lang w:val="en-US" w:eastAsia="zh-CN"/>
              </w:rPr>
            </w:pPr>
            <w:r>
              <w:rPr>
                <w:lang w:val="en-US" w:eastAsia="zh-CN"/>
              </w:rPr>
              <w:t>2</w:t>
            </w:r>
          </w:p>
        </w:tc>
        <w:tc>
          <w:tcPr>
            <w:tcW w:w="1604" w:type="dxa"/>
            <w:vMerge w:val="continue"/>
            <w:tcBorders>
              <w:tl2br w:val="nil"/>
              <w:tr2bl w:val="nil"/>
            </w:tcBorders>
            <w:vAlign w:val="center"/>
          </w:tcPr>
          <w:p w14:paraId="6ABFCAF1">
            <w:pPr>
              <w:pStyle w:val="14"/>
              <w:bidi w:val="0"/>
              <w:jc w:val="center"/>
            </w:pPr>
          </w:p>
        </w:tc>
        <w:tc>
          <w:tcPr>
            <w:tcW w:w="757" w:type="dxa"/>
            <w:vMerge w:val="continue"/>
            <w:tcBorders>
              <w:tl2br w:val="nil"/>
              <w:tr2bl w:val="nil"/>
            </w:tcBorders>
            <w:vAlign w:val="center"/>
          </w:tcPr>
          <w:p w14:paraId="67701A28">
            <w:pPr>
              <w:pStyle w:val="14"/>
              <w:bidi w:val="0"/>
              <w:jc w:val="center"/>
            </w:pPr>
          </w:p>
        </w:tc>
        <w:tc>
          <w:tcPr>
            <w:tcW w:w="1123" w:type="dxa"/>
            <w:tcBorders>
              <w:tl2br w:val="nil"/>
              <w:tr2bl w:val="nil"/>
            </w:tcBorders>
            <w:vAlign w:val="center"/>
          </w:tcPr>
          <w:p w14:paraId="7E4CAEEC">
            <w:pPr>
              <w:pStyle w:val="14"/>
              <w:bidi w:val="0"/>
              <w:jc w:val="center"/>
              <w:rPr>
                <w:rFonts w:hint="eastAsia"/>
                <w:lang w:val="en-US" w:eastAsia="zh-CN"/>
              </w:rPr>
            </w:pPr>
            <w:r>
              <w:rPr>
                <w:rFonts w:hint="eastAsia"/>
                <w:lang w:val="en-US" w:eastAsia="zh-CN"/>
              </w:rPr>
              <w:t>消防废水</w:t>
            </w:r>
          </w:p>
        </w:tc>
        <w:tc>
          <w:tcPr>
            <w:tcW w:w="1252" w:type="dxa"/>
            <w:tcBorders>
              <w:tl2br w:val="nil"/>
              <w:tr2bl w:val="nil"/>
            </w:tcBorders>
            <w:vAlign w:val="center"/>
          </w:tcPr>
          <w:p w14:paraId="15F62301">
            <w:pPr>
              <w:pStyle w:val="14"/>
              <w:bidi w:val="0"/>
              <w:jc w:val="center"/>
              <w:rPr>
                <w:rFonts w:hint="eastAsia"/>
                <w:lang w:val="en-US" w:eastAsia="zh-CN"/>
              </w:rPr>
            </w:pPr>
            <w:r>
              <w:rPr>
                <w:rFonts w:hint="eastAsia"/>
                <w:lang w:val="en-US" w:eastAsia="zh-CN"/>
              </w:rPr>
              <w:t>火灾引发的伴生/次生污染物排放</w:t>
            </w:r>
          </w:p>
        </w:tc>
        <w:tc>
          <w:tcPr>
            <w:tcW w:w="1172" w:type="dxa"/>
            <w:tcBorders>
              <w:tl2br w:val="nil"/>
              <w:tr2bl w:val="nil"/>
            </w:tcBorders>
            <w:vAlign w:val="center"/>
          </w:tcPr>
          <w:p w14:paraId="7E930592">
            <w:pPr>
              <w:pStyle w:val="14"/>
              <w:bidi w:val="0"/>
              <w:jc w:val="center"/>
              <w:rPr>
                <w:rFonts w:hint="eastAsia"/>
                <w:lang w:val="en-US" w:eastAsia="zh-CN"/>
              </w:rPr>
            </w:pPr>
            <w:r>
              <w:rPr>
                <w:rFonts w:hint="eastAsia"/>
                <w:lang w:val="en-US" w:eastAsia="zh-CN"/>
              </w:rPr>
              <w:t>地表水、地下水</w:t>
            </w:r>
          </w:p>
        </w:tc>
        <w:tc>
          <w:tcPr>
            <w:tcW w:w="1409" w:type="dxa"/>
            <w:tcBorders>
              <w:tl2br w:val="nil"/>
              <w:tr2bl w:val="nil"/>
            </w:tcBorders>
            <w:vAlign w:val="center"/>
          </w:tcPr>
          <w:p w14:paraId="48D494DE">
            <w:pPr>
              <w:pStyle w:val="14"/>
              <w:bidi w:val="0"/>
              <w:jc w:val="center"/>
              <w:rPr>
                <w:rFonts w:hint="eastAsia"/>
                <w:lang w:val="en-US" w:eastAsia="zh-CN"/>
              </w:rPr>
            </w:pPr>
            <w:r>
              <w:rPr>
                <w:rFonts w:hint="eastAsia"/>
                <w:lang w:val="en-US" w:eastAsia="zh-CN"/>
              </w:rPr>
              <w:t>居住区、河流</w:t>
            </w:r>
          </w:p>
        </w:tc>
      </w:tr>
    </w:tbl>
    <w:p w14:paraId="3A65D6B1">
      <w:pPr>
        <w:pStyle w:val="15"/>
        <w:bidi w:val="0"/>
        <w:rPr>
          <w:rFonts w:hint="eastAsia"/>
          <w:lang w:val="en-US" w:eastAsia="zh-CN"/>
        </w:rPr>
      </w:pPr>
    </w:p>
    <w:p w14:paraId="012623F9">
      <w:pPr>
        <w:pStyle w:val="4"/>
        <w:bidi w:val="0"/>
        <w:rPr>
          <w:rFonts w:hint="eastAsia"/>
          <w:lang w:val="en-US" w:eastAsia="zh-CN"/>
        </w:rPr>
      </w:pPr>
      <w:r>
        <w:rPr>
          <w:rFonts w:hint="eastAsia"/>
          <w:lang w:val="en-US" w:eastAsia="zh-CN"/>
        </w:rPr>
        <w:t>5.1.5火灾事故次生污染环境风险分析</w:t>
      </w:r>
    </w:p>
    <w:p w14:paraId="43279BE4">
      <w:pPr>
        <w:ind w:firstLine="480" w:firstLineChars="200"/>
        <w:rPr>
          <w:rFonts w:hint="eastAsia"/>
          <w:lang w:val="en-US" w:eastAsia="zh-CN"/>
        </w:rPr>
      </w:pPr>
      <w:r>
        <w:rPr>
          <w:rFonts w:hint="eastAsia"/>
          <w:lang w:val="en-US" w:eastAsia="zh-CN"/>
        </w:rPr>
        <w:t>本项目生产过程中可能发生的火灾事故主要是危险化学品储罐、管线、生产装置发生物料泄漏后遇火源就会发生火灾爆炸事故。根据建设单位提供的资料可知，液氨气化形成氨气遇火后才易燃，但由于厂区使用的主要为液氨，液氨引燃的温度要达到650℃以上，且厂区的液氨均处在密闭环境内储存和使用，液氨球罐顶部设置有专门的降温措施和防挥发应急措施，减少了与空气接触途径，厂区内不涉及火源的使用，安装有相应防爆设施，在企业设有相应措施的情况下，发生火灾污染的概率较低。</w:t>
      </w:r>
    </w:p>
    <w:p w14:paraId="2E65C573">
      <w:pPr>
        <w:ind w:firstLine="480" w:firstLineChars="200"/>
        <w:rPr>
          <w:rFonts w:hint="eastAsia"/>
          <w:lang w:val="en-US" w:eastAsia="zh-CN"/>
        </w:rPr>
      </w:pPr>
      <w:r>
        <w:rPr>
          <w:rFonts w:hint="eastAsia"/>
          <w:lang w:val="en-US" w:eastAsia="zh-CN"/>
        </w:rPr>
        <w:t>故本项目环境风险类型主要为液氨、氨气和氨水物质泄漏，以及因泄漏引起的事故废水等排放。</w:t>
      </w:r>
    </w:p>
    <w:p w14:paraId="08A4D9A8">
      <w:pPr>
        <w:pStyle w:val="3"/>
        <w:bidi w:val="0"/>
        <w:rPr>
          <w:rFonts w:hint="eastAsia"/>
          <w:lang w:val="en-US" w:eastAsia="zh-CN"/>
        </w:rPr>
      </w:pPr>
      <w:r>
        <w:rPr>
          <w:rFonts w:hint="eastAsia"/>
          <w:lang w:val="en-US" w:eastAsia="zh-CN"/>
        </w:rPr>
        <w:t>5.2源项分析</w:t>
      </w:r>
    </w:p>
    <w:p w14:paraId="1503F6B1">
      <w:pPr>
        <w:ind w:firstLine="480" w:firstLineChars="200"/>
        <w:rPr>
          <w:rFonts w:hint="eastAsia" w:eastAsia="宋体"/>
          <w:lang w:val="en-US" w:eastAsia="zh-CN"/>
        </w:rPr>
      </w:pPr>
      <w:r>
        <w:rPr>
          <w:rFonts w:hint="eastAsia" w:eastAsia="宋体"/>
          <w:lang w:val="en-US" w:eastAsia="zh-CN"/>
        </w:rPr>
        <w:t>一般情况下，设置紧急隔离系统的单元，泄漏时间可设定10min，泄漏液体的蒸发时间可按15~30min计。公司实行</w:t>
      </w:r>
      <w:r>
        <w:rPr>
          <w:rFonts w:hint="eastAsia"/>
          <w:lang w:val="en-US" w:eastAsia="zh-CN"/>
        </w:rPr>
        <w:t>四</w:t>
      </w:r>
      <w:r>
        <w:rPr>
          <w:rFonts w:hint="eastAsia" w:eastAsia="宋体"/>
          <w:lang w:val="en-US" w:eastAsia="zh-CN"/>
        </w:rPr>
        <w:t>班三运转制，昼夜均有工人在厂内工作，考虑到事故发生时，公司应急反应要留有一定的余量，本次评估将物质泄漏时间设定为10min，蒸发时间设定为15~30min。最大可信事故泄漏计算采用《建设项目环境风险评价技术导则》（HJ169－2018）附录F 推荐的事故源强计算方法进行计算。</w:t>
      </w:r>
    </w:p>
    <w:p w14:paraId="69274F39">
      <w:pPr>
        <w:adjustRightInd w:val="0"/>
        <w:snapToGrid w:val="0"/>
        <w:ind w:firstLine="480" w:firstLineChars="200"/>
        <w:rPr>
          <w:rFonts w:hint="eastAsia"/>
        </w:rPr>
      </w:pPr>
      <w:r>
        <w:rPr>
          <w:rFonts w:hint="eastAsia"/>
        </w:rPr>
        <w:t>（1）液体泄漏</w:t>
      </w:r>
    </w:p>
    <w:p w14:paraId="5263FEBF">
      <w:pPr>
        <w:adjustRightInd w:val="0"/>
        <w:snapToGrid w:val="0"/>
        <w:ind w:firstLine="480" w:firstLineChars="200"/>
      </w:pPr>
      <w:r>
        <w:rPr>
          <w:rFonts w:hint="eastAsia"/>
        </w:rPr>
        <w:t>液体泄漏速度Q</w:t>
      </w:r>
      <w:r>
        <w:rPr>
          <w:rFonts w:hint="eastAsia"/>
          <w:vertAlign w:val="subscript"/>
        </w:rPr>
        <w:t>L</w:t>
      </w:r>
      <w:r>
        <w:rPr>
          <w:rFonts w:hint="eastAsia"/>
        </w:rPr>
        <w:t>用伯努利方程计算：</w:t>
      </w:r>
    </w:p>
    <w:p w14:paraId="59DE270E">
      <w:pPr>
        <w:adjustRightInd w:val="0"/>
        <w:snapToGrid w:val="0"/>
        <w:jc w:val="center"/>
      </w:pPr>
      <w:r>
        <w:rPr>
          <w:rFonts w:hint="eastAsia"/>
          <w:position w:val="-30"/>
        </w:rPr>
        <w:object>
          <v:shape id="_x0000_i1030" o:spt="75" type="#_x0000_t75" style="height:43.55pt;width:167.45pt;" o:ole="t" filled="f" o:preferrelative="t" stroked="f" coordsize="21600,21600">
            <v:path/>
            <v:fill on="f" focussize="0,0"/>
            <v:stroke on="f" joinstyle="miter"/>
            <v:imagedata r:id="rId45" o:title=""/>
            <o:lock v:ext="edit" aspectratio="t"/>
            <w10:wrap type="none"/>
            <w10:anchorlock/>
          </v:shape>
          <o:OLEObject Type="Embed" ProgID="Equation.KSEE3" ShapeID="_x0000_i1030" DrawAspect="Content" ObjectID="_1468075730" r:id="rId44">
            <o:LockedField>false</o:LockedField>
          </o:OLEObject>
        </w:object>
      </w:r>
    </w:p>
    <w:p w14:paraId="23DE0CB9">
      <w:pPr>
        <w:adjustRightInd w:val="0"/>
        <w:snapToGrid w:val="0"/>
        <w:ind w:firstLine="480" w:firstLineChars="200"/>
      </w:pPr>
      <w:r>
        <w:rPr>
          <w:rFonts w:hint="eastAsia"/>
        </w:rPr>
        <w:t>式中：Q</w:t>
      </w:r>
      <w:r>
        <w:rPr>
          <w:rFonts w:hint="eastAsia"/>
          <w:vertAlign w:val="subscript"/>
        </w:rPr>
        <w:t>L</w:t>
      </w:r>
      <w:r>
        <w:rPr>
          <w:rFonts w:hint="eastAsia"/>
        </w:rPr>
        <w:t>——液体泄漏速度，kg/s；</w:t>
      </w:r>
    </w:p>
    <w:p w14:paraId="59283ED3">
      <w:pPr>
        <w:adjustRightInd w:val="0"/>
        <w:snapToGrid w:val="0"/>
        <w:ind w:firstLine="1200" w:firstLineChars="500"/>
        <w:rPr>
          <w:color w:val="000000" w:themeColor="text1"/>
          <w14:textFill>
            <w14:solidFill>
              <w14:schemeClr w14:val="tx1"/>
            </w14:solidFill>
          </w14:textFill>
        </w:rPr>
      </w:pPr>
      <w:r>
        <w:rPr>
          <w:rFonts w:hint="eastAsia"/>
        </w:rPr>
        <w:t>C</w:t>
      </w:r>
      <w:r>
        <w:rPr>
          <w:rFonts w:hint="eastAsia"/>
          <w:vertAlign w:val="subscript"/>
        </w:rPr>
        <w:t>d</w:t>
      </w:r>
      <w:r>
        <w:rPr>
          <w:rFonts w:hint="eastAsia"/>
        </w:rPr>
        <w:t>——液体泄漏系数，</w:t>
      </w:r>
      <w:r>
        <w:rPr>
          <w:rFonts w:hint="eastAsia"/>
          <w:color w:val="000000" w:themeColor="text1"/>
          <w14:textFill>
            <w14:solidFill>
              <w14:schemeClr w14:val="tx1"/>
            </w14:solidFill>
          </w14:textFill>
        </w:rPr>
        <w:t>根据HJ169-2018表F.1可知，泄漏系数为0.40~0.65，本次取0.65；</w:t>
      </w:r>
    </w:p>
    <w:p w14:paraId="32F48542">
      <w:pPr>
        <w:adjustRightInd w:val="0"/>
        <w:snapToGrid w:val="0"/>
        <w:ind w:firstLine="1200" w:firstLineChars="500"/>
      </w:pPr>
      <w:r>
        <w:rPr>
          <w:rFonts w:hint="eastAsia"/>
        </w:rPr>
        <w:t>A——裂口面积，m</w:t>
      </w:r>
      <w:r>
        <w:rPr>
          <w:rFonts w:hint="eastAsia"/>
          <w:vertAlign w:val="superscript"/>
        </w:rPr>
        <w:t>2</w:t>
      </w:r>
      <w:r>
        <w:rPr>
          <w:rFonts w:hint="eastAsia"/>
        </w:rPr>
        <w:t>；</w:t>
      </w:r>
    </w:p>
    <w:p w14:paraId="30D7006B">
      <w:pPr>
        <w:adjustRightInd w:val="0"/>
        <w:snapToGrid w:val="0"/>
        <w:ind w:firstLine="1205" w:firstLineChars="500"/>
      </w:pPr>
      <w:r>
        <w:rPr>
          <w:rFonts w:hint="eastAsia"/>
          <w:b/>
          <w:bCs/>
        </w:rPr>
        <w:t>ρ</w:t>
      </w:r>
      <w:r>
        <w:rPr>
          <w:rFonts w:hint="eastAsia"/>
        </w:rPr>
        <w:t>——泄漏液体密度，kg/m</w:t>
      </w:r>
      <w:r>
        <w:rPr>
          <w:rFonts w:hint="eastAsia"/>
          <w:vertAlign w:val="superscript"/>
        </w:rPr>
        <w:t>3</w:t>
      </w:r>
      <w:r>
        <w:rPr>
          <w:rFonts w:hint="eastAsia"/>
        </w:rPr>
        <w:t>；</w:t>
      </w:r>
    </w:p>
    <w:p w14:paraId="3F08E077">
      <w:pPr>
        <w:adjustRightInd w:val="0"/>
        <w:snapToGrid w:val="0"/>
        <w:ind w:firstLine="1200" w:firstLineChars="500"/>
      </w:pPr>
      <w:r>
        <w:rPr>
          <w:rFonts w:hint="eastAsia"/>
        </w:rPr>
        <w:t>P——容器内介质压力，Pa；</w:t>
      </w:r>
    </w:p>
    <w:p w14:paraId="2736DB4D">
      <w:pPr>
        <w:adjustRightInd w:val="0"/>
        <w:snapToGrid w:val="0"/>
        <w:ind w:firstLine="1200" w:firstLineChars="500"/>
      </w:pPr>
      <w:r>
        <w:rPr>
          <w:rFonts w:hint="eastAsia"/>
        </w:rPr>
        <w:t>P</w:t>
      </w:r>
      <w:r>
        <w:rPr>
          <w:rFonts w:hint="eastAsia"/>
          <w:vertAlign w:val="subscript"/>
        </w:rPr>
        <w:t>0</w:t>
      </w:r>
      <w:r>
        <w:rPr>
          <w:rFonts w:hint="eastAsia"/>
        </w:rPr>
        <w:t>——环境压力，Pa；</w:t>
      </w:r>
    </w:p>
    <w:p w14:paraId="711BB104">
      <w:pPr>
        <w:adjustRightInd w:val="0"/>
        <w:snapToGrid w:val="0"/>
        <w:ind w:firstLine="1200" w:firstLineChars="500"/>
      </w:pPr>
      <w:r>
        <w:rPr>
          <w:rFonts w:hint="eastAsia"/>
        </w:rPr>
        <w:t>g——重力加速度，g=9.81m/s</w:t>
      </w:r>
      <w:r>
        <w:rPr>
          <w:rFonts w:hint="eastAsia"/>
          <w:vertAlign w:val="superscript"/>
        </w:rPr>
        <w:t>2</w:t>
      </w:r>
      <w:r>
        <w:rPr>
          <w:rFonts w:hint="eastAsia"/>
        </w:rPr>
        <w:t>；</w:t>
      </w:r>
    </w:p>
    <w:p w14:paraId="2F7BAA44">
      <w:pPr>
        <w:ind w:firstLine="1200" w:firstLineChars="500"/>
        <w:rPr>
          <w:rFonts w:hint="eastAsia" w:eastAsia="宋体"/>
          <w:lang w:val="en-US" w:eastAsia="zh-CN"/>
        </w:rPr>
      </w:pPr>
      <w:r>
        <w:rPr>
          <w:rFonts w:hint="eastAsia"/>
        </w:rPr>
        <w:t>h——裂口之上液位高度，m</w:t>
      </w:r>
      <w:r>
        <w:rPr>
          <w:rFonts w:hint="eastAsia"/>
          <w:lang w:eastAsia="zh-CN"/>
        </w:rPr>
        <w:t>。</w:t>
      </w:r>
    </w:p>
    <w:p w14:paraId="7B938327">
      <w:pPr>
        <w:ind w:firstLine="480" w:firstLineChars="200"/>
        <w:rPr>
          <w:rFonts w:hint="eastAsia"/>
          <w:lang w:val="en-US" w:eastAsia="zh-CN"/>
        </w:rPr>
      </w:pPr>
      <w:r>
        <w:rPr>
          <w:rFonts w:hint="eastAsia"/>
          <w:lang w:val="en-US" w:eastAsia="zh-CN"/>
        </w:rPr>
        <w:t>（2）两相流泄漏</w:t>
      </w:r>
    </w:p>
    <w:p w14:paraId="0C1A9F7D">
      <w:pPr>
        <w:pStyle w:val="14"/>
        <w:bidi w:val="0"/>
        <w:rPr>
          <w:rFonts w:hint="eastAsia"/>
          <w:lang w:val="en-US" w:eastAsia="zh-CN"/>
        </w:rPr>
      </w:pPr>
      <w:r>
        <w:drawing>
          <wp:inline distT="0" distB="0" distL="114300" distR="114300">
            <wp:extent cx="2247900" cy="1753235"/>
            <wp:effectExtent l="0" t="0" r="0" b="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46"/>
                    <a:srcRect b="2610"/>
                    <a:stretch>
                      <a:fillRect/>
                    </a:stretch>
                  </pic:blipFill>
                  <pic:spPr>
                    <a:xfrm>
                      <a:off x="0" y="0"/>
                      <a:ext cx="2247900" cy="1753235"/>
                    </a:xfrm>
                    <a:prstGeom prst="rect">
                      <a:avLst/>
                    </a:prstGeom>
                    <a:noFill/>
                    <a:ln>
                      <a:noFill/>
                    </a:ln>
                  </pic:spPr>
                </pic:pic>
              </a:graphicData>
            </a:graphic>
          </wp:inline>
        </w:drawing>
      </w:r>
    </w:p>
    <w:p w14:paraId="77CAFFD4">
      <w:pPr>
        <w:ind w:firstLine="480" w:firstLineChars="200"/>
        <w:rPr>
          <w:rFonts w:hint="eastAsia"/>
          <w:lang w:val="en-US" w:eastAsia="zh-CN"/>
        </w:rPr>
      </w:pPr>
      <w:r>
        <w:rPr>
          <w:rFonts w:hint="eastAsia"/>
          <w:lang w:val="en-US" w:eastAsia="zh-CN"/>
        </w:rPr>
        <w:t>式中：Q</w:t>
      </w:r>
      <w:r>
        <w:rPr>
          <w:rFonts w:hint="eastAsia"/>
          <w:vertAlign w:val="subscript"/>
          <w:lang w:val="en-US" w:eastAsia="zh-CN"/>
        </w:rPr>
        <w:t>LG</w:t>
      </w:r>
      <w:r>
        <w:rPr>
          <w:rFonts w:hint="eastAsia"/>
          <w:lang w:val="en-US" w:eastAsia="zh-CN"/>
        </w:rPr>
        <w:t>——两相流泄漏速度，kg/s；</w:t>
      </w:r>
    </w:p>
    <w:p w14:paraId="7D3DBE66">
      <w:pPr>
        <w:ind w:firstLine="1200" w:firstLineChars="500"/>
        <w:rPr>
          <w:rFonts w:hint="eastAsia"/>
          <w:lang w:val="en-US" w:eastAsia="zh-CN"/>
        </w:rPr>
      </w:pPr>
      <w:r>
        <w:rPr>
          <w:rFonts w:hint="eastAsia"/>
          <w:lang w:val="en-US" w:eastAsia="zh-CN"/>
        </w:rPr>
        <w:t>C</w:t>
      </w:r>
      <w:r>
        <w:rPr>
          <w:rFonts w:hint="eastAsia"/>
          <w:vertAlign w:val="subscript"/>
          <w:lang w:val="en-US" w:eastAsia="zh-CN"/>
        </w:rPr>
        <w:t>d</w:t>
      </w:r>
      <w:r>
        <w:rPr>
          <w:rFonts w:hint="eastAsia"/>
          <w:lang w:val="en-US" w:eastAsia="zh-CN"/>
        </w:rPr>
        <w:t>——两相流泄漏系数，取0.8；</w:t>
      </w:r>
    </w:p>
    <w:p w14:paraId="5895861A">
      <w:pPr>
        <w:ind w:firstLine="1200" w:firstLineChars="500"/>
        <w:rPr>
          <w:rFonts w:hint="eastAsia"/>
          <w:lang w:val="en-US" w:eastAsia="zh-CN"/>
        </w:rPr>
      </w:pPr>
      <w:r>
        <w:rPr>
          <w:rFonts w:hint="eastAsia"/>
          <w:lang w:val="en-US" w:eastAsia="zh-CN"/>
        </w:rPr>
        <w:t>P</w:t>
      </w:r>
      <w:r>
        <w:rPr>
          <w:rFonts w:hint="eastAsia"/>
          <w:vertAlign w:val="subscript"/>
          <w:lang w:val="en-US" w:eastAsia="zh-CN"/>
        </w:rPr>
        <w:t>C</w:t>
      </w:r>
      <w:r>
        <w:rPr>
          <w:rFonts w:hint="eastAsia"/>
          <w:lang w:val="en-US" w:eastAsia="zh-CN"/>
        </w:rPr>
        <w:t>——临界压力，Pa，取0.55Pa；</w:t>
      </w:r>
    </w:p>
    <w:p w14:paraId="0A32719C">
      <w:pPr>
        <w:ind w:firstLine="1200" w:firstLineChars="500"/>
        <w:rPr>
          <w:rFonts w:hint="eastAsia"/>
          <w:lang w:val="en-US" w:eastAsia="zh-CN"/>
        </w:rPr>
      </w:pPr>
      <w:r>
        <w:rPr>
          <w:rFonts w:hint="eastAsia"/>
          <w:lang w:val="en-US" w:eastAsia="zh-CN"/>
        </w:rPr>
        <w:t>P——操作压力或容器压力，Pa；</w:t>
      </w:r>
    </w:p>
    <w:p w14:paraId="09BA48A9">
      <w:pPr>
        <w:ind w:firstLine="1200" w:firstLineChars="500"/>
        <w:rPr>
          <w:rFonts w:hint="eastAsia"/>
          <w:lang w:val="en-US" w:eastAsia="zh-CN"/>
        </w:rPr>
      </w:pPr>
      <w:r>
        <w:rPr>
          <w:rFonts w:hint="eastAsia"/>
          <w:lang w:val="en-US" w:eastAsia="zh-CN"/>
        </w:rPr>
        <w:t>A——裂口面积，m</w:t>
      </w:r>
      <w:r>
        <w:rPr>
          <w:rFonts w:hint="eastAsia"/>
          <w:vertAlign w:val="superscript"/>
          <w:lang w:val="en-US" w:eastAsia="zh-CN"/>
        </w:rPr>
        <w:t>2</w:t>
      </w:r>
      <w:r>
        <w:rPr>
          <w:rFonts w:hint="eastAsia"/>
          <w:lang w:val="en-US" w:eastAsia="zh-CN"/>
        </w:rPr>
        <w:t>；</w:t>
      </w:r>
    </w:p>
    <w:p w14:paraId="252B5576">
      <w:pPr>
        <w:ind w:firstLine="1200" w:firstLineChars="500"/>
        <w:rPr>
          <w:rFonts w:hint="eastAsia"/>
          <w:lang w:val="en-US" w:eastAsia="zh-CN"/>
        </w:rPr>
      </w:pPr>
      <w:r>
        <w:rPr>
          <w:rFonts w:hint="default" w:ascii="Times New Roman" w:hAnsi="Times New Roman" w:cs="Times New Roman"/>
          <w:lang w:val="en-US" w:eastAsia="zh-CN"/>
        </w:rPr>
        <w:t>ρ</w:t>
      </w:r>
      <w:r>
        <w:rPr>
          <w:rFonts w:hint="eastAsia"/>
          <w:vertAlign w:val="subscript"/>
          <w:lang w:val="en-US" w:eastAsia="zh-CN"/>
        </w:rPr>
        <w:t>m</w:t>
      </w:r>
      <w:r>
        <w:rPr>
          <w:rFonts w:hint="eastAsia"/>
          <w:lang w:val="en-US" w:eastAsia="zh-CN"/>
        </w:rPr>
        <w:t>——两相混合物的平均密度，kg/m</w:t>
      </w:r>
      <w:r>
        <w:rPr>
          <w:rFonts w:hint="eastAsia"/>
          <w:vertAlign w:val="superscript"/>
          <w:lang w:val="en-US" w:eastAsia="zh-CN"/>
        </w:rPr>
        <w:t>3</w:t>
      </w:r>
      <w:r>
        <w:rPr>
          <w:rFonts w:hint="eastAsia"/>
          <w:lang w:val="en-US" w:eastAsia="zh-CN"/>
        </w:rPr>
        <w:t>；</w:t>
      </w:r>
    </w:p>
    <w:p w14:paraId="50BF5100">
      <w:pPr>
        <w:ind w:firstLine="1200" w:firstLineChars="500"/>
        <w:rPr>
          <w:rFonts w:hint="eastAsia"/>
          <w:lang w:val="en-US" w:eastAsia="zh-CN"/>
        </w:rPr>
      </w:pPr>
      <w:r>
        <w:rPr>
          <w:rFonts w:hint="default" w:ascii="Times New Roman" w:hAnsi="Times New Roman" w:cs="Times New Roman"/>
          <w:lang w:val="en-US" w:eastAsia="zh-CN"/>
        </w:rPr>
        <w:t>ρ</w:t>
      </w:r>
      <w:r>
        <w:rPr>
          <w:rFonts w:hint="eastAsia"/>
          <w:vertAlign w:val="subscript"/>
          <w:lang w:val="en-US" w:eastAsia="zh-CN"/>
        </w:rPr>
        <w:t>1</w:t>
      </w:r>
      <w:r>
        <w:rPr>
          <w:rFonts w:hint="eastAsia"/>
          <w:lang w:val="en-US" w:eastAsia="zh-CN"/>
        </w:rPr>
        <w:t>——液体蒸发的蒸气密度，kg/m</w:t>
      </w:r>
      <w:r>
        <w:rPr>
          <w:rFonts w:hint="eastAsia"/>
          <w:vertAlign w:val="superscript"/>
          <w:lang w:val="en-US" w:eastAsia="zh-CN"/>
        </w:rPr>
        <w:t>3</w:t>
      </w:r>
      <w:r>
        <w:rPr>
          <w:rFonts w:hint="eastAsia"/>
          <w:lang w:val="en-US" w:eastAsia="zh-CN"/>
        </w:rPr>
        <w:t>；</w:t>
      </w:r>
    </w:p>
    <w:p w14:paraId="1E17C3F1">
      <w:pPr>
        <w:ind w:firstLine="1200" w:firstLineChars="500"/>
        <w:rPr>
          <w:rFonts w:hint="eastAsia"/>
          <w:lang w:val="en-US" w:eastAsia="zh-CN"/>
        </w:rPr>
      </w:pPr>
      <w:r>
        <w:rPr>
          <w:rFonts w:hint="default" w:ascii="Times New Roman" w:hAnsi="Times New Roman" w:cs="Times New Roman"/>
          <w:lang w:val="en-US" w:eastAsia="zh-CN"/>
        </w:rPr>
        <w:t>ρ</w:t>
      </w:r>
      <w:r>
        <w:rPr>
          <w:rFonts w:hint="eastAsia"/>
          <w:vertAlign w:val="subscript"/>
          <w:lang w:val="en-US" w:eastAsia="zh-CN"/>
        </w:rPr>
        <w:t>2</w:t>
      </w:r>
      <w:r>
        <w:rPr>
          <w:rFonts w:hint="eastAsia"/>
          <w:lang w:val="en-US" w:eastAsia="zh-CN"/>
        </w:rPr>
        <w:t>——液体密度，kg/m</w:t>
      </w:r>
      <w:r>
        <w:rPr>
          <w:rFonts w:hint="eastAsia"/>
          <w:vertAlign w:val="superscript"/>
          <w:lang w:val="en-US" w:eastAsia="zh-CN"/>
        </w:rPr>
        <w:t>3</w:t>
      </w:r>
      <w:r>
        <w:rPr>
          <w:rFonts w:hint="eastAsia"/>
          <w:lang w:val="en-US" w:eastAsia="zh-CN"/>
        </w:rPr>
        <w:t>；</w:t>
      </w:r>
    </w:p>
    <w:p w14:paraId="618EB14A">
      <w:pPr>
        <w:ind w:firstLine="1200" w:firstLineChars="500"/>
        <w:rPr>
          <w:rFonts w:hint="eastAsia"/>
          <w:lang w:val="en-US" w:eastAsia="zh-CN"/>
        </w:rPr>
      </w:pPr>
      <w:r>
        <w:rPr>
          <w:rFonts w:hint="eastAsia"/>
          <w:lang w:val="en-US" w:eastAsia="zh-CN"/>
        </w:rPr>
        <w:t>F</w:t>
      </w:r>
      <w:r>
        <w:rPr>
          <w:rFonts w:hint="eastAsia"/>
          <w:vertAlign w:val="subscript"/>
          <w:lang w:val="en-US" w:eastAsia="zh-CN"/>
        </w:rPr>
        <w:t>V</w:t>
      </w:r>
      <w:r>
        <w:rPr>
          <w:rFonts w:hint="eastAsia"/>
          <w:lang w:val="en-US" w:eastAsia="zh-CN"/>
        </w:rPr>
        <w:t>——蒸发的液体占液体总量的比例；</w:t>
      </w:r>
    </w:p>
    <w:p w14:paraId="64AB5A01">
      <w:pPr>
        <w:ind w:firstLine="1200" w:firstLineChars="500"/>
        <w:rPr>
          <w:rFonts w:hint="eastAsia"/>
          <w:lang w:val="en-US" w:eastAsia="zh-CN"/>
        </w:rPr>
      </w:pPr>
      <w:r>
        <w:rPr>
          <w:rFonts w:hint="eastAsia"/>
          <w:lang w:val="en-US" w:eastAsia="zh-CN"/>
        </w:rPr>
        <w:t>C</w:t>
      </w:r>
      <w:r>
        <w:rPr>
          <w:rFonts w:hint="eastAsia"/>
          <w:vertAlign w:val="subscript"/>
          <w:lang w:val="en-US" w:eastAsia="zh-CN"/>
        </w:rPr>
        <w:t>p</w:t>
      </w:r>
      <w:r>
        <w:rPr>
          <w:rFonts w:hint="eastAsia"/>
          <w:lang w:val="en-US" w:eastAsia="zh-CN"/>
        </w:rPr>
        <w:t>——两相混合物的定压比热，J/(kg·K)；</w:t>
      </w:r>
    </w:p>
    <w:p w14:paraId="73C6D701">
      <w:pPr>
        <w:ind w:firstLine="1200" w:firstLineChars="500"/>
        <w:rPr>
          <w:rFonts w:hint="eastAsia"/>
          <w:lang w:val="en-US" w:eastAsia="zh-CN"/>
        </w:rPr>
      </w:pPr>
      <w:r>
        <w:rPr>
          <w:rFonts w:hint="eastAsia"/>
          <w:lang w:val="en-US" w:eastAsia="zh-CN"/>
        </w:rPr>
        <w:t>T</w:t>
      </w:r>
      <w:r>
        <w:rPr>
          <w:rFonts w:hint="eastAsia"/>
          <w:vertAlign w:val="subscript"/>
          <w:lang w:val="en-US" w:eastAsia="zh-CN"/>
        </w:rPr>
        <w:t>LG</w:t>
      </w:r>
      <w:r>
        <w:rPr>
          <w:rFonts w:hint="eastAsia"/>
          <w:lang w:val="en-US" w:eastAsia="zh-CN"/>
        </w:rPr>
        <w:t>——两相混合物的温度，K；</w:t>
      </w:r>
    </w:p>
    <w:p w14:paraId="726876A6">
      <w:pPr>
        <w:ind w:firstLine="1200" w:firstLineChars="500"/>
        <w:rPr>
          <w:rFonts w:hint="eastAsia"/>
          <w:lang w:val="en-US" w:eastAsia="zh-CN"/>
        </w:rPr>
      </w:pPr>
      <w:r>
        <w:rPr>
          <w:rFonts w:hint="eastAsia"/>
          <w:lang w:val="en-US" w:eastAsia="zh-CN"/>
        </w:rPr>
        <w:t>T</w:t>
      </w:r>
      <w:r>
        <w:rPr>
          <w:rFonts w:hint="eastAsia"/>
          <w:vertAlign w:val="subscript"/>
          <w:lang w:val="en-US" w:eastAsia="zh-CN"/>
        </w:rPr>
        <w:t>C</w:t>
      </w:r>
      <w:r>
        <w:rPr>
          <w:rFonts w:hint="eastAsia"/>
          <w:lang w:val="en-US" w:eastAsia="zh-CN"/>
        </w:rPr>
        <w:t>——液体在临界压力下的沸点，K；</w:t>
      </w:r>
    </w:p>
    <w:p w14:paraId="6CFF6288">
      <w:pPr>
        <w:ind w:firstLine="1200" w:firstLineChars="500"/>
        <w:rPr>
          <w:rFonts w:hint="eastAsia"/>
          <w:lang w:val="en-US" w:eastAsia="zh-CN"/>
        </w:rPr>
      </w:pPr>
      <w:r>
        <w:rPr>
          <w:rFonts w:hint="eastAsia"/>
          <w:lang w:val="en-US" w:eastAsia="zh-CN"/>
        </w:rPr>
        <w:t>H——液体的气化热，J/kg。</w:t>
      </w:r>
    </w:p>
    <w:p w14:paraId="5A6167F6">
      <w:pPr>
        <w:ind w:firstLine="480" w:firstLineChars="200"/>
        <w:rPr>
          <w:rFonts w:hint="eastAsia"/>
          <w:lang w:val="en-US" w:eastAsia="zh-CN"/>
        </w:rPr>
      </w:pPr>
      <w:r>
        <w:rPr>
          <w:rFonts w:hint="eastAsia"/>
          <w:lang w:val="en-US" w:eastAsia="zh-CN"/>
        </w:rPr>
        <w:t>当F</w:t>
      </w:r>
      <w:r>
        <w:rPr>
          <w:rFonts w:hint="eastAsia"/>
          <w:vertAlign w:val="subscript"/>
          <w:lang w:val="en-US" w:eastAsia="zh-CN"/>
        </w:rPr>
        <w:t>V</w:t>
      </w:r>
      <w:r>
        <w:rPr>
          <w:rFonts w:hint="eastAsia"/>
          <w:lang w:val="en-US" w:eastAsia="zh-CN"/>
        </w:rPr>
        <w:t>＞1 时，标明液体将全部蒸发成气体，此时应按气体泄漏计算；如果 F</w:t>
      </w:r>
      <w:r>
        <w:rPr>
          <w:rFonts w:hint="eastAsia"/>
          <w:vertAlign w:val="subscript"/>
          <w:lang w:val="en-US" w:eastAsia="zh-CN"/>
        </w:rPr>
        <w:t>V</w:t>
      </w:r>
      <w:r>
        <w:rPr>
          <w:rFonts w:hint="eastAsia"/>
          <w:lang w:val="en-US" w:eastAsia="zh-CN"/>
        </w:rPr>
        <w:t>很小，则可近似地按液体泄漏公式计算。</w:t>
      </w:r>
    </w:p>
    <w:p w14:paraId="26FFB792">
      <w:pPr>
        <w:ind w:firstLine="480" w:firstLineChars="200"/>
        <w:rPr>
          <w:rFonts w:hint="eastAsia"/>
          <w:lang w:val="en-US" w:eastAsia="zh-CN"/>
        </w:rPr>
      </w:pPr>
      <w:r>
        <w:rPr>
          <w:rFonts w:hint="eastAsia"/>
          <w:lang w:val="en-US" w:eastAsia="zh-CN"/>
        </w:rPr>
        <w:t>（3）泄漏液体蒸发速率</w:t>
      </w:r>
    </w:p>
    <w:p w14:paraId="1B579D82">
      <w:pPr>
        <w:ind w:firstLine="480" w:firstLineChars="200"/>
        <w:rPr>
          <w:rFonts w:hint="eastAsia"/>
          <w:lang w:val="en-US" w:eastAsia="zh-CN"/>
        </w:rPr>
      </w:pPr>
      <w:r>
        <w:rPr>
          <w:rFonts w:hint="eastAsia"/>
          <w:lang w:val="en-US" w:eastAsia="zh-CN"/>
        </w:rPr>
        <w:t>泄漏液体的蒸发分为闪蒸蒸发、热量蒸发和质量蒸发三种，其中蒸发总量为这三种蒸发之和。</w:t>
      </w:r>
    </w:p>
    <w:p w14:paraId="5A358916">
      <w:pPr>
        <w:ind w:firstLine="480" w:firstLineChars="200"/>
        <w:rPr>
          <w:rFonts w:hint="eastAsia"/>
          <w:lang w:val="en-US" w:eastAsia="zh-CN"/>
        </w:rPr>
      </w:pPr>
      <w:r>
        <w:rPr>
          <w:rFonts w:hint="eastAsia"/>
          <w:lang w:val="en-US" w:eastAsia="zh-CN"/>
        </w:rPr>
        <w:t>①闪蒸蒸发估算</w:t>
      </w:r>
    </w:p>
    <w:p w14:paraId="0CF76C8A">
      <w:pPr>
        <w:ind w:firstLine="480" w:firstLineChars="200"/>
        <w:rPr>
          <w:rFonts w:hint="eastAsia"/>
          <w:lang w:val="en-US" w:eastAsia="zh-CN"/>
        </w:rPr>
      </w:pPr>
      <w:r>
        <w:rPr>
          <w:rFonts w:hint="eastAsia"/>
          <w:lang w:val="en-US" w:eastAsia="zh-CN"/>
        </w:rPr>
        <w:t>液体中闪蒸部分：</w:t>
      </w:r>
    </w:p>
    <w:p w14:paraId="5A846D6E">
      <w:pPr>
        <w:ind w:firstLine="480" w:firstLineChars="200"/>
        <w:jc w:val="center"/>
        <w:rPr>
          <w:rFonts w:hint="eastAsia"/>
          <w:lang w:val="en-US" w:eastAsia="zh-CN"/>
        </w:rPr>
      </w:pPr>
      <w:r>
        <w:drawing>
          <wp:inline distT="0" distB="0" distL="114300" distR="114300">
            <wp:extent cx="1800225" cy="657225"/>
            <wp:effectExtent l="0" t="0" r="9525" b="9525"/>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47"/>
                    <a:stretch>
                      <a:fillRect/>
                    </a:stretch>
                  </pic:blipFill>
                  <pic:spPr>
                    <a:xfrm>
                      <a:off x="0" y="0"/>
                      <a:ext cx="1800225" cy="657225"/>
                    </a:xfrm>
                    <a:prstGeom prst="rect">
                      <a:avLst/>
                    </a:prstGeom>
                    <a:noFill/>
                    <a:ln>
                      <a:noFill/>
                    </a:ln>
                  </pic:spPr>
                </pic:pic>
              </a:graphicData>
            </a:graphic>
          </wp:inline>
        </w:drawing>
      </w:r>
    </w:p>
    <w:p w14:paraId="13D288AA">
      <w:pPr>
        <w:ind w:firstLine="480" w:firstLineChars="200"/>
        <w:rPr>
          <w:rFonts w:hint="eastAsia"/>
          <w:lang w:val="en-US" w:eastAsia="zh-CN"/>
        </w:rPr>
      </w:pPr>
      <w:r>
        <w:rPr>
          <w:rFonts w:hint="eastAsia"/>
          <w:lang w:val="en-US" w:eastAsia="zh-CN"/>
        </w:rPr>
        <w:t>过热液体闪蒸蒸发速率可按下式估算：</w:t>
      </w:r>
    </w:p>
    <w:p w14:paraId="2B2E6B4D">
      <w:pPr>
        <w:jc w:val="center"/>
        <w:rPr>
          <w:rFonts w:hint="eastAsia"/>
          <w:lang w:val="en-US" w:eastAsia="zh-CN"/>
        </w:rPr>
      </w:pPr>
      <w:r>
        <w:drawing>
          <wp:inline distT="0" distB="0" distL="114300" distR="114300">
            <wp:extent cx="1409700" cy="352425"/>
            <wp:effectExtent l="0" t="0" r="0" b="952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48"/>
                    <a:stretch>
                      <a:fillRect/>
                    </a:stretch>
                  </pic:blipFill>
                  <pic:spPr>
                    <a:xfrm>
                      <a:off x="0" y="0"/>
                      <a:ext cx="1409700" cy="352425"/>
                    </a:xfrm>
                    <a:prstGeom prst="rect">
                      <a:avLst/>
                    </a:prstGeom>
                    <a:noFill/>
                    <a:ln>
                      <a:noFill/>
                    </a:ln>
                  </pic:spPr>
                </pic:pic>
              </a:graphicData>
            </a:graphic>
          </wp:inline>
        </w:drawing>
      </w:r>
    </w:p>
    <w:p w14:paraId="246D5BDF">
      <w:pPr>
        <w:ind w:firstLine="480" w:firstLineChars="200"/>
        <w:rPr>
          <w:rFonts w:hint="eastAsia"/>
          <w:lang w:val="en-US" w:eastAsia="zh-CN"/>
        </w:rPr>
      </w:pPr>
      <w:r>
        <w:rPr>
          <w:rFonts w:hint="eastAsia"/>
          <w:lang w:val="en-US" w:eastAsia="zh-CN"/>
        </w:rPr>
        <w:t>式中：F</w:t>
      </w:r>
      <w:r>
        <w:rPr>
          <w:rFonts w:hint="eastAsia"/>
          <w:vertAlign w:val="subscript"/>
          <w:lang w:val="en-US" w:eastAsia="zh-CN"/>
        </w:rPr>
        <w:t>v</w:t>
      </w:r>
      <w:r>
        <w:rPr>
          <w:rFonts w:hint="eastAsia"/>
          <w:lang w:val="en-US" w:eastAsia="zh-CN"/>
        </w:rPr>
        <w:t>——泄漏液体的闪蒸比例；</w:t>
      </w:r>
    </w:p>
    <w:p w14:paraId="1BD88143">
      <w:pPr>
        <w:ind w:firstLine="1200" w:firstLineChars="500"/>
        <w:rPr>
          <w:rFonts w:hint="eastAsia"/>
          <w:lang w:val="en-US" w:eastAsia="zh-CN"/>
        </w:rPr>
      </w:pPr>
      <w:r>
        <w:rPr>
          <w:rFonts w:hint="eastAsia"/>
          <w:lang w:val="en-US" w:eastAsia="zh-CN"/>
        </w:rPr>
        <w:t>T</w:t>
      </w:r>
      <w:r>
        <w:rPr>
          <w:rFonts w:hint="eastAsia"/>
          <w:vertAlign w:val="subscript"/>
          <w:lang w:val="en-US" w:eastAsia="zh-CN"/>
        </w:rPr>
        <w:t>T</w:t>
      </w:r>
      <w:r>
        <w:rPr>
          <w:rFonts w:hint="eastAsia"/>
          <w:lang w:val="en-US" w:eastAsia="zh-CN"/>
        </w:rPr>
        <w:t>——储存温度，K；</w:t>
      </w:r>
    </w:p>
    <w:p w14:paraId="36CB14C5">
      <w:pPr>
        <w:ind w:firstLine="1200" w:firstLineChars="500"/>
        <w:rPr>
          <w:rFonts w:hint="eastAsia"/>
          <w:lang w:val="en-US" w:eastAsia="zh-CN"/>
        </w:rPr>
      </w:pPr>
      <w:r>
        <w:rPr>
          <w:rFonts w:hint="eastAsia"/>
          <w:lang w:val="en-US" w:eastAsia="zh-CN"/>
        </w:rPr>
        <w:t>T</w:t>
      </w:r>
      <w:r>
        <w:rPr>
          <w:rFonts w:hint="eastAsia"/>
          <w:vertAlign w:val="subscript"/>
          <w:lang w:val="en-US" w:eastAsia="zh-CN"/>
        </w:rPr>
        <w:t>b</w:t>
      </w:r>
      <w:r>
        <w:rPr>
          <w:rFonts w:hint="eastAsia"/>
          <w:lang w:val="en-US" w:eastAsia="zh-CN"/>
        </w:rPr>
        <w:t>——泄漏液体的沸点，K；</w:t>
      </w:r>
    </w:p>
    <w:p w14:paraId="16A2A25F">
      <w:pPr>
        <w:ind w:firstLine="1200" w:firstLineChars="500"/>
        <w:rPr>
          <w:rFonts w:hint="eastAsia"/>
          <w:lang w:val="en-US" w:eastAsia="zh-CN"/>
        </w:rPr>
      </w:pPr>
      <w:r>
        <w:rPr>
          <w:rFonts w:hint="eastAsia"/>
          <w:lang w:val="en-US" w:eastAsia="zh-CN"/>
        </w:rPr>
        <w:t>H</w:t>
      </w:r>
      <w:r>
        <w:rPr>
          <w:rFonts w:hint="eastAsia"/>
          <w:vertAlign w:val="subscript"/>
          <w:lang w:val="en-US" w:eastAsia="zh-CN"/>
        </w:rPr>
        <w:t>v</w:t>
      </w:r>
      <w:r>
        <w:rPr>
          <w:rFonts w:hint="eastAsia"/>
          <w:lang w:val="en-US" w:eastAsia="zh-CN"/>
        </w:rPr>
        <w:t>——泄漏液体的蒸发热，J/kg；</w:t>
      </w:r>
    </w:p>
    <w:p w14:paraId="7EB79593">
      <w:pPr>
        <w:ind w:firstLine="1200" w:firstLineChars="500"/>
        <w:rPr>
          <w:rFonts w:hint="eastAsia"/>
          <w:lang w:val="en-US" w:eastAsia="zh-CN"/>
        </w:rPr>
      </w:pPr>
      <w:r>
        <w:rPr>
          <w:rFonts w:hint="eastAsia"/>
          <w:lang w:val="en-US" w:eastAsia="zh-CN"/>
        </w:rPr>
        <w:t>C</w:t>
      </w:r>
      <w:r>
        <w:rPr>
          <w:rFonts w:hint="eastAsia"/>
          <w:vertAlign w:val="subscript"/>
          <w:lang w:val="en-US" w:eastAsia="zh-CN"/>
        </w:rPr>
        <w:t>p</w:t>
      </w:r>
      <w:r>
        <w:rPr>
          <w:rFonts w:hint="eastAsia"/>
          <w:lang w:val="en-US" w:eastAsia="zh-CN"/>
        </w:rPr>
        <w:t>——泄漏液体的定压比热容，J/(kg·K)；</w:t>
      </w:r>
    </w:p>
    <w:p w14:paraId="2701C475">
      <w:pPr>
        <w:ind w:firstLine="1200" w:firstLineChars="500"/>
        <w:rPr>
          <w:rFonts w:hint="eastAsia"/>
          <w:lang w:val="en-US" w:eastAsia="zh-CN"/>
        </w:rPr>
      </w:pPr>
      <w:r>
        <w:rPr>
          <w:rFonts w:hint="eastAsia"/>
          <w:lang w:val="en-US" w:eastAsia="zh-CN"/>
        </w:rPr>
        <w:t>Q</w:t>
      </w:r>
      <w:r>
        <w:rPr>
          <w:rFonts w:hint="eastAsia"/>
          <w:vertAlign w:val="subscript"/>
          <w:lang w:val="en-US" w:eastAsia="zh-CN"/>
        </w:rPr>
        <w:t>1</w:t>
      </w:r>
      <w:r>
        <w:rPr>
          <w:rFonts w:hint="eastAsia"/>
          <w:lang w:val="en-US" w:eastAsia="zh-CN"/>
        </w:rPr>
        <w:t>——过热液体闪蒸蒸发速率，kg/s；</w:t>
      </w:r>
    </w:p>
    <w:p w14:paraId="7DDC81B6">
      <w:pPr>
        <w:ind w:firstLine="1200" w:firstLineChars="500"/>
        <w:rPr>
          <w:rFonts w:hint="eastAsia"/>
          <w:lang w:val="en-US" w:eastAsia="zh-CN"/>
        </w:rPr>
      </w:pPr>
      <w:r>
        <w:rPr>
          <w:rFonts w:hint="eastAsia"/>
          <w:lang w:val="en-US" w:eastAsia="zh-CN"/>
        </w:rPr>
        <w:t>Q</w:t>
      </w:r>
      <w:r>
        <w:rPr>
          <w:rFonts w:hint="eastAsia"/>
          <w:vertAlign w:val="subscript"/>
          <w:lang w:val="en-US" w:eastAsia="zh-CN"/>
        </w:rPr>
        <w:t>L</w:t>
      </w:r>
      <w:r>
        <w:rPr>
          <w:rFonts w:hint="eastAsia"/>
          <w:lang w:val="en-US" w:eastAsia="zh-CN"/>
        </w:rPr>
        <w:t>——物质泄漏速率，kg/s。</w:t>
      </w:r>
    </w:p>
    <w:p w14:paraId="4FED75CC">
      <w:pPr>
        <w:ind w:firstLine="480" w:firstLineChars="200"/>
        <w:rPr>
          <w:rFonts w:hint="eastAsia"/>
          <w:lang w:val="en-US" w:eastAsia="zh-CN"/>
        </w:rPr>
      </w:pPr>
      <w:r>
        <w:rPr>
          <w:rFonts w:hint="eastAsia"/>
          <w:lang w:val="en-US" w:eastAsia="zh-CN"/>
        </w:rPr>
        <w:t>②热量蒸发估算</w:t>
      </w:r>
    </w:p>
    <w:p w14:paraId="16CB4189">
      <w:pPr>
        <w:ind w:firstLine="480" w:firstLineChars="200"/>
        <w:rPr>
          <w:rFonts w:hint="eastAsia"/>
          <w:lang w:val="en-US" w:eastAsia="zh-CN"/>
        </w:rPr>
      </w:pPr>
      <w:r>
        <w:rPr>
          <w:rFonts w:hint="eastAsia"/>
          <w:lang w:val="en-US" w:eastAsia="zh-CN"/>
        </w:rPr>
        <w:t>当液体闪蒸不完全，有一部分液体在地面形成液池，并吸收地面热量而汽化，其蒸发速率按下式计算，并应考虑对流传热系数。</w:t>
      </w:r>
    </w:p>
    <w:p w14:paraId="0DEE4F8A">
      <w:pPr>
        <w:jc w:val="center"/>
        <w:rPr>
          <w:rFonts w:hint="eastAsia"/>
          <w:lang w:val="en-US" w:eastAsia="zh-CN"/>
        </w:rPr>
      </w:pPr>
      <w:r>
        <w:drawing>
          <wp:inline distT="0" distB="0" distL="114300" distR="114300">
            <wp:extent cx="1952625" cy="638175"/>
            <wp:effectExtent l="0" t="0" r="9525" b="9525"/>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49"/>
                    <a:stretch>
                      <a:fillRect/>
                    </a:stretch>
                  </pic:blipFill>
                  <pic:spPr>
                    <a:xfrm>
                      <a:off x="0" y="0"/>
                      <a:ext cx="1952625" cy="638175"/>
                    </a:xfrm>
                    <a:prstGeom prst="rect">
                      <a:avLst/>
                    </a:prstGeom>
                    <a:noFill/>
                    <a:ln>
                      <a:noFill/>
                    </a:ln>
                  </pic:spPr>
                </pic:pic>
              </a:graphicData>
            </a:graphic>
          </wp:inline>
        </w:drawing>
      </w:r>
    </w:p>
    <w:p w14:paraId="663343AC">
      <w:pPr>
        <w:ind w:firstLine="480" w:firstLineChars="200"/>
        <w:rPr>
          <w:rFonts w:hint="eastAsia"/>
          <w:lang w:val="en-US" w:eastAsia="zh-CN"/>
        </w:rPr>
      </w:pPr>
      <w:r>
        <w:rPr>
          <w:rFonts w:hint="eastAsia"/>
          <w:lang w:val="en-US" w:eastAsia="zh-CN"/>
        </w:rPr>
        <w:t>式中：Q</w:t>
      </w:r>
      <w:r>
        <w:rPr>
          <w:rFonts w:hint="eastAsia"/>
          <w:vertAlign w:val="subscript"/>
          <w:lang w:val="en-US" w:eastAsia="zh-CN"/>
        </w:rPr>
        <w:t>2</w:t>
      </w:r>
      <w:r>
        <w:rPr>
          <w:rFonts w:hint="eastAsia"/>
          <w:lang w:val="en-US" w:eastAsia="zh-CN"/>
        </w:rPr>
        <w:t>——热量蒸发速率，kg/s；</w:t>
      </w:r>
    </w:p>
    <w:p w14:paraId="1CE072E6">
      <w:pPr>
        <w:ind w:firstLine="1200" w:firstLineChars="500"/>
        <w:rPr>
          <w:rFonts w:hint="eastAsia"/>
          <w:lang w:val="en-US" w:eastAsia="zh-CN"/>
        </w:rPr>
      </w:pPr>
      <w:r>
        <w:rPr>
          <w:rFonts w:hint="eastAsia"/>
          <w:lang w:val="en-US" w:eastAsia="zh-CN"/>
        </w:rPr>
        <w:t>T</w:t>
      </w:r>
      <w:r>
        <w:rPr>
          <w:rFonts w:hint="eastAsia"/>
          <w:vertAlign w:val="subscript"/>
          <w:lang w:val="en-US" w:eastAsia="zh-CN"/>
        </w:rPr>
        <w:t>0</w:t>
      </w:r>
      <w:r>
        <w:rPr>
          <w:rFonts w:hint="eastAsia"/>
          <w:lang w:val="en-US" w:eastAsia="zh-CN"/>
        </w:rPr>
        <w:t>——环境温度，K；</w:t>
      </w:r>
    </w:p>
    <w:p w14:paraId="6E5CBCCB">
      <w:pPr>
        <w:ind w:firstLine="1200" w:firstLineChars="500"/>
        <w:rPr>
          <w:rFonts w:hint="eastAsia"/>
          <w:lang w:val="en-US" w:eastAsia="zh-CN"/>
        </w:rPr>
      </w:pPr>
      <w:r>
        <w:rPr>
          <w:rFonts w:hint="eastAsia"/>
          <w:lang w:val="en-US" w:eastAsia="zh-CN"/>
        </w:rPr>
        <w:t>T</w:t>
      </w:r>
      <w:r>
        <w:rPr>
          <w:rFonts w:hint="eastAsia"/>
          <w:vertAlign w:val="subscript"/>
          <w:lang w:val="en-US" w:eastAsia="zh-CN"/>
        </w:rPr>
        <w:t>b</w:t>
      </w:r>
      <w:r>
        <w:rPr>
          <w:rFonts w:hint="eastAsia"/>
          <w:lang w:val="en-US" w:eastAsia="zh-CN"/>
        </w:rPr>
        <w:t>——泄漏液体沸点，K；</w:t>
      </w:r>
    </w:p>
    <w:p w14:paraId="444C8AA6">
      <w:pPr>
        <w:ind w:firstLine="1200" w:firstLineChars="500"/>
        <w:rPr>
          <w:rFonts w:hint="eastAsia"/>
          <w:lang w:val="en-US" w:eastAsia="zh-CN"/>
        </w:rPr>
      </w:pPr>
      <w:r>
        <w:rPr>
          <w:rFonts w:hint="eastAsia"/>
          <w:lang w:val="en-US" w:eastAsia="zh-CN"/>
        </w:rPr>
        <w:t>H——液体汽化热，J/kg；</w:t>
      </w:r>
    </w:p>
    <w:p w14:paraId="319A657A">
      <w:pPr>
        <w:ind w:firstLine="1200" w:firstLineChars="500"/>
        <w:rPr>
          <w:rFonts w:hint="eastAsia"/>
          <w:lang w:val="en-US" w:eastAsia="zh-CN"/>
        </w:rPr>
      </w:pPr>
      <w:r>
        <w:rPr>
          <w:rFonts w:hint="eastAsia"/>
          <w:lang w:val="en-US" w:eastAsia="zh-CN"/>
        </w:rPr>
        <w:t>t——蒸发时间，s；</w:t>
      </w:r>
    </w:p>
    <w:p w14:paraId="15D37A69">
      <w:pPr>
        <w:ind w:firstLine="1200" w:firstLineChars="500"/>
        <w:rPr>
          <w:rFonts w:hint="eastAsia"/>
          <w:lang w:val="en-US" w:eastAsia="zh-CN"/>
        </w:rPr>
      </w:pPr>
      <w:r>
        <w:rPr>
          <w:rFonts w:hint="eastAsia"/>
          <w:lang w:val="en-US" w:eastAsia="zh-CN"/>
        </w:rPr>
        <w:t>λ——表面热导系数，（取值见表F.2），W/(m·K)；</w:t>
      </w:r>
    </w:p>
    <w:p w14:paraId="7A75C88B">
      <w:pPr>
        <w:ind w:firstLine="1200" w:firstLineChars="500"/>
        <w:rPr>
          <w:rFonts w:hint="eastAsia"/>
          <w:lang w:val="en-US" w:eastAsia="zh-CN"/>
        </w:rPr>
      </w:pPr>
      <w:r>
        <w:rPr>
          <w:rFonts w:hint="eastAsia"/>
          <w:lang w:val="en-US" w:eastAsia="zh-CN"/>
        </w:rPr>
        <w:t>S——液池面积，m</w:t>
      </w:r>
      <w:r>
        <w:rPr>
          <w:rFonts w:hint="eastAsia"/>
          <w:vertAlign w:val="superscript"/>
          <w:lang w:val="en-US" w:eastAsia="zh-CN"/>
        </w:rPr>
        <w:t>2</w:t>
      </w:r>
      <w:r>
        <w:rPr>
          <w:rFonts w:hint="eastAsia"/>
          <w:lang w:val="en-US" w:eastAsia="zh-CN"/>
        </w:rPr>
        <w:t>；</w:t>
      </w:r>
    </w:p>
    <w:p w14:paraId="4DE7D5BB">
      <w:pPr>
        <w:ind w:firstLine="1200" w:firstLineChars="500"/>
        <w:rPr>
          <w:rFonts w:hint="eastAsia"/>
          <w:lang w:val="en-US" w:eastAsia="zh-CN"/>
        </w:rPr>
      </w:pPr>
      <w:r>
        <w:rPr>
          <w:rFonts w:hint="default" w:ascii="Times New Roman" w:hAnsi="Times New Roman" w:cs="Times New Roman"/>
          <w:lang w:val="en-US" w:eastAsia="zh-CN"/>
        </w:rPr>
        <w:t>α</w:t>
      </w:r>
      <w:r>
        <w:rPr>
          <w:rFonts w:hint="eastAsia"/>
          <w:lang w:val="en-US" w:eastAsia="zh-CN"/>
        </w:rPr>
        <w:t>——表面热扩散系数，（取值见表F.2），m</w:t>
      </w:r>
      <w:r>
        <w:rPr>
          <w:rFonts w:hint="eastAsia"/>
          <w:vertAlign w:val="superscript"/>
          <w:lang w:val="en-US" w:eastAsia="zh-CN"/>
        </w:rPr>
        <w:t>2</w:t>
      </w:r>
      <w:r>
        <w:rPr>
          <w:rFonts w:hint="eastAsia"/>
          <w:lang w:val="en-US" w:eastAsia="zh-CN"/>
        </w:rPr>
        <w:t>/s。</w:t>
      </w:r>
    </w:p>
    <w:p w14:paraId="0E91EFAA">
      <w:pPr>
        <w:ind w:firstLine="480" w:firstLineChars="200"/>
        <w:rPr>
          <w:rFonts w:hint="eastAsia"/>
          <w:lang w:val="en-US" w:eastAsia="zh-CN"/>
        </w:rPr>
      </w:pPr>
      <w:r>
        <w:rPr>
          <w:rFonts w:hint="eastAsia"/>
          <w:lang w:val="en-US" w:eastAsia="zh-CN"/>
        </w:rPr>
        <w:t>③质量蒸发估算</w:t>
      </w:r>
    </w:p>
    <w:p w14:paraId="00547738">
      <w:pPr>
        <w:ind w:firstLine="480" w:firstLineChars="200"/>
        <w:rPr>
          <w:rFonts w:hint="eastAsia"/>
          <w:lang w:val="en-US" w:eastAsia="zh-CN"/>
        </w:rPr>
      </w:pPr>
      <w:r>
        <w:rPr>
          <w:rFonts w:hint="eastAsia"/>
          <w:lang w:val="en-US" w:eastAsia="zh-CN"/>
        </w:rPr>
        <w:t>当热量蒸发结束后，转由液池表面气流运动使液体蒸发，称之为质量蒸发。其蒸发速率按下式计算：</w:t>
      </w:r>
    </w:p>
    <w:p w14:paraId="7A423DDA">
      <w:pPr>
        <w:jc w:val="center"/>
        <w:rPr>
          <w:rFonts w:hint="eastAsia"/>
          <w:lang w:val="en-US" w:eastAsia="zh-CN"/>
        </w:rPr>
      </w:pPr>
      <w:r>
        <w:drawing>
          <wp:inline distT="0" distB="0" distL="114300" distR="114300">
            <wp:extent cx="1905000" cy="638175"/>
            <wp:effectExtent l="0" t="0" r="0" b="9525"/>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50"/>
                    <a:stretch>
                      <a:fillRect/>
                    </a:stretch>
                  </pic:blipFill>
                  <pic:spPr>
                    <a:xfrm>
                      <a:off x="0" y="0"/>
                      <a:ext cx="1905000" cy="638175"/>
                    </a:xfrm>
                    <a:prstGeom prst="rect">
                      <a:avLst/>
                    </a:prstGeom>
                    <a:noFill/>
                    <a:ln>
                      <a:noFill/>
                    </a:ln>
                  </pic:spPr>
                </pic:pic>
              </a:graphicData>
            </a:graphic>
          </wp:inline>
        </w:drawing>
      </w:r>
    </w:p>
    <w:p w14:paraId="20D0DB7B">
      <w:pPr>
        <w:ind w:firstLine="480" w:firstLineChars="200"/>
        <w:rPr>
          <w:rFonts w:hint="eastAsia"/>
          <w:lang w:val="en-US" w:eastAsia="zh-CN"/>
        </w:rPr>
      </w:pPr>
      <w:r>
        <w:rPr>
          <w:rFonts w:hint="eastAsia"/>
          <w:lang w:val="en-US" w:eastAsia="zh-CN"/>
        </w:rPr>
        <w:t>式中：Q</w:t>
      </w:r>
      <w:r>
        <w:rPr>
          <w:rFonts w:hint="eastAsia"/>
          <w:vertAlign w:val="subscript"/>
          <w:lang w:val="en-US" w:eastAsia="zh-CN"/>
        </w:rPr>
        <w:t>3</w:t>
      </w:r>
      <w:r>
        <w:rPr>
          <w:rFonts w:hint="eastAsia"/>
          <w:lang w:val="en-US" w:eastAsia="zh-CN"/>
        </w:rPr>
        <w:t>——质量蒸发速率，kg/s；</w:t>
      </w:r>
    </w:p>
    <w:p w14:paraId="3DA89D6A">
      <w:pPr>
        <w:ind w:firstLine="1200" w:firstLineChars="500"/>
        <w:rPr>
          <w:rFonts w:hint="eastAsia"/>
          <w:lang w:val="en-US" w:eastAsia="zh-CN"/>
        </w:rPr>
      </w:pPr>
      <w:r>
        <w:rPr>
          <w:rFonts w:hint="eastAsia"/>
          <w:lang w:val="en-US" w:eastAsia="zh-CN"/>
        </w:rPr>
        <w:t>p——液体表面蒸气压，Pa；</w:t>
      </w:r>
    </w:p>
    <w:p w14:paraId="1B3CD2E0">
      <w:pPr>
        <w:ind w:firstLine="1200" w:firstLineChars="500"/>
        <w:rPr>
          <w:rFonts w:hint="eastAsia"/>
          <w:lang w:val="en-US" w:eastAsia="zh-CN"/>
        </w:rPr>
      </w:pPr>
      <w:r>
        <w:rPr>
          <w:rFonts w:hint="eastAsia"/>
          <w:lang w:val="en-US" w:eastAsia="zh-CN"/>
        </w:rPr>
        <w:t>R——气体常数，J/(mol·K)；</w:t>
      </w:r>
    </w:p>
    <w:p w14:paraId="2F72CA29">
      <w:pPr>
        <w:ind w:firstLine="1200" w:firstLineChars="500"/>
        <w:rPr>
          <w:rFonts w:hint="eastAsia"/>
          <w:lang w:val="en-US" w:eastAsia="zh-CN"/>
        </w:rPr>
      </w:pPr>
      <w:r>
        <w:rPr>
          <w:rFonts w:hint="eastAsia"/>
          <w:lang w:val="en-US" w:eastAsia="zh-CN"/>
        </w:rPr>
        <w:t>T0——环境温度，K；</w:t>
      </w:r>
    </w:p>
    <w:p w14:paraId="1A9C9D91">
      <w:pPr>
        <w:ind w:firstLine="1200" w:firstLineChars="500"/>
        <w:rPr>
          <w:rFonts w:hint="eastAsia"/>
          <w:lang w:val="en-US" w:eastAsia="zh-CN"/>
        </w:rPr>
      </w:pPr>
      <w:r>
        <w:rPr>
          <w:rFonts w:hint="eastAsia"/>
          <w:lang w:val="en-US" w:eastAsia="zh-CN"/>
        </w:rPr>
        <w:t>M——物质的摩尔质量，kg/mol；</w:t>
      </w:r>
    </w:p>
    <w:p w14:paraId="53514176">
      <w:pPr>
        <w:ind w:firstLine="1200" w:firstLineChars="500"/>
        <w:rPr>
          <w:rFonts w:hint="eastAsia"/>
          <w:lang w:val="en-US" w:eastAsia="zh-CN"/>
        </w:rPr>
      </w:pPr>
      <w:r>
        <w:rPr>
          <w:rFonts w:hint="eastAsia"/>
          <w:lang w:val="en-US" w:eastAsia="zh-CN"/>
        </w:rPr>
        <w:t>u——风速，m/s；</w:t>
      </w:r>
    </w:p>
    <w:p w14:paraId="518FE8A5">
      <w:pPr>
        <w:ind w:firstLine="1200" w:firstLineChars="500"/>
        <w:rPr>
          <w:rFonts w:hint="eastAsia"/>
          <w:lang w:val="en-US" w:eastAsia="zh-CN"/>
        </w:rPr>
      </w:pPr>
      <w:r>
        <w:rPr>
          <w:rFonts w:hint="eastAsia"/>
          <w:lang w:val="en-US" w:eastAsia="zh-CN"/>
        </w:rPr>
        <w:t>r——液池半径，m；</w:t>
      </w:r>
    </w:p>
    <w:p w14:paraId="17777BF7">
      <w:pPr>
        <w:ind w:firstLine="1200" w:firstLineChars="500"/>
        <w:rPr>
          <w:rFonts w:hint="eastAsia"/>
          <w:lang w:val="en-US" w:eastAsia="zh-CN"/>
        </w:rPr>
      </w:pPr>
      <w:r>
        <w:rPr>
          <w:rFonts w:hint="default" w:ascii="Times New Roman" w:hAnsi="Times New Roman" w:cs="Times New Roman"/>
          <w:lang w:val="en-US" w:eastAsia="zh-CN"/>
        </w:rPr>
        <w:t>α</w:t>
      </w:r>
      <w:r>
        <w:rPr>
          <w:rFonts w:hint="eastAsia"/>
          <w:lang w:val="en-US" w:eastAsia="zh-CN"/>
        </w:rPr>
        <w:t>，n——大气稳定度系数，取值见表F.3。</w:t>
      </w:r>
    </w:p>
    <w:p w14:paraId="2A8A6935">
      <w:pPr>
        <w:ind w:firstLine="480" w:firstLineChars="200"/>
        <w:rPr>
          <w:rFonts w:hint="eastAsia"/>
          <w:lang w:val="en-US" w:eastAsia="zh-CN"/>
        </w:rPr>
      </w:pPr>
      <w:r>
        <w:rPr>
          <w:rFonts w:hint="eastAsia"/>
          <w:lang w:val="en-US" w:eastAsia="zh-CN"/>
        </w:rPr>
        <w:t>④液体蒸发总量的计算</w:t>
      </w:r>
    </w:p>
    <w:p w14:paraId="054CD5C7">
      <w:pPr>
        <w:ind w:firstLine="480" w:firstLineChars="200"/>
        <w:rPr>
          <w:rFonts w:hint="eastAsia"/>
          <w:lang w:val="en-US" w:eastAsia="zh-CN"/>
        </w:rPr>
      </w:pPr>
      <w:r>
        <w:rPr>
          <w:rFonts w:hint="eastAsia"/>
          <w:lang w:val="en-US" w:eastAsia="zh-CN"/>
        </w:rPr>
        <w:t>液体蒸发总量按下式计算：</w:t>
      </w:r>
    </w:p>
    <w:p w14:paraId="4196E0C6">
      <w:pPr>
        <w:jc w:val="center"/>
        <w:rPr>
          <w:rFonts w:hint="eastAsia"/>
          <w:lang w:val="en-US" w:eastAsia="zh-CN"/>
        </w:rPr>
      </w:pPr>
      <w:r>
        <w:drawing>
          <wp:inline distT="0" distB="0" distL="114300" distR="114300">
            <wp:extent cx="2181225" cy="419100"/>
            <wp:effectExtent l="0" t="0" r="9525" b="0"/>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51"/>
                    <a:stretch>
                      <a:fillRect/>
                    </a:stretch>
                  </pic:blipFill>
                  <pic:spPr>
                    <a:xfrm>
                      <a:off x="0" y="0"/>
                      <a:ext cx="2181225" cy="419100"/>
                    </a:xfrm>
                    <a:prstGeom prst="rect">
                      <a:avLst/>
                    </a:prstGeom>
                    <a:noFill/>
                    <a:ln>
                      <a:noFill/>
                    </a:ln>
                  </pic:spPr>
                </pic:pic>
              </a:graphicData>
            </a:graphic>
          </wp:inline>
        </w:drawing>
      </w:r>
    </w:p>
    <w:p w14:paraId="4992387E">
      <w:pPr>
        <w:ind w:firstLine="480" w:firstLineChars="200"/>
        <w:rPr>
          <w:rFonts w:hint="eastAsia"/>
          <w:lang w:val="en-US" w:eastAsia="zh-CN"/>
        </w:rPr>
      </w:pPr>
      <w:r>
        <w:rPr>
          <w:rFonts w:hint="eastAsia"/>
          <w:lang w:val="en-US" w:eastAsia="zh-CN"/>
        </w:rPr>
        <w:t>式中：W</w:t>
      </w:r>
      <w:r>
        <w:rPr>
          <w:rFonts w:hint="eastAsia"/>
          <w:vertAlign w:val="subscript"/>
          <w:lang w:val="en-US" w:eastAsia="zh-CN"/>
        </w:rPr>
        <w:t>p</w:t>
      </w:r>
      <w:r>
        <w:rPr>
          <w:rFonts w:hint="eastAsia"/>
          <w:lang w:val="en-US" w:eastAsia="zh-CN"/>
        </w:rPr>
        <w:t>——液体蒸发总量，kg；</w:t>
      </w:r>
    </w:p>
    <w:p w14:paraId="726DC6FF">
      <w:pPr>
        <w:ind w:firstLine="1200" w:firstLineChars="500"/>
        <w:rPr>
          <w:rFonts w:hint="eastAsia"/>
          <w:lang w:val="en-US" w:eastAsia="zh-CN"/>
        </w:rPr>
      </w:pPr>
      <w:r>
        <w:rPr>
          <w:rFonts w:hint="eastAsia"/>
          <w:lang w:val="en-US" w:eastAsia="zh-CN"/>
        </w:rPr>
        <w:t>Q</w:t>
      </w:r>
      <w:r>
        <w:rPr>
          <w:rFonts w:hint="eastAsia"/>
          <w:vertAlign w:val="subscript"/>
          <w:lang w:val="en-US" w:eastAsia="zh-CN"/>
        </w:rPr>
        <w:t>1</w:t>
      </w:r>
      <w:r>
        <w:rPr>
          <w:rFonts w:hint="eastAsia"/>
          <w:lang w:val="en-US" w:eastAsia="zh-CN"/>
        </w:rPr>
        <w:t>——闪蒸液体蒸发速率，kg/s；</w:t>
      </w:r>
    </w:p>
    <w:p w14:paraId="444708CD">
      <w:pPr>
        <w:ind w:firstLine="1200" w:firstLineChars="500"/>
        <w:rPr>
          <w:rFonts w:hint="eastAsia"/>
          <w:lang w:val="en-US" w:eastAsia="zh-CN"/>
        </w:rPr>
      </w:pPr>
      <w:r>
        <w:rPr>
          <w:rFonts w:hint="eastAsia"/>
          <w:lang w:val="en-US" w:eastAsia="zh-CN"/>
        </w:rPr>
        <w:t>Q</w:t>
      </w:r>
      <w:r>
        <w:rPr>
          <w:rFonts w:hint="eastAsia"/>
          <w:vertAlign w:val="subscript"/>
          <w:lang w:val="en-US" w:eastAsia="zh-CN"/>
        </w:rPr>
        <w:t>2</w:t>
      </w:r>
      <w:r>
        <w:rPr>
          <w:rFonts w:hint="eastAsia"/>
          <w:lang w:val="en-US" w:eastAsia="zh-CN"/>
        </w:rPr>
        <w:t>——热量蒸发速率，kg/s；</w:t>
      </w:r>
    </w:p>
    <w:p w14:paraId="720A8D06">
      <w:pPr>
        <w:ind w:firstLine="1200" w:firstLineChars="500"/>
        <w:rPr>
          <w:rFonts w:hint="eastAsia"/>
          <w:lang w:val="en-US" w:eastAsia="zh-CN"/>
        </w:rPr>
      </w:pPr>
      <w:r>
        <w:rPr>
          <w:rFonts w:hint="eastAsia"/>
          <w:lang w:val="en-US" w:eastAsia="zh-CN"/>
        </w:rPr>
        <w:t>Q</w:t>
      </w:r>
      <w:r>
        <w:rPr>
          <w:rFonts w:hint="eastAsia"/>
          <w:vertAlign w:val="subscript"/>
          <w:lang w:val="en-US" w:eastAsia="zh-CN"/>
        </w:rPr>
        <w:t>3</w:t>
      </w:r>
      <w:r>
        <w:rPr>
          <w:rFonts w:hint="eastAsia"/>
          <w:lang w:val="en-US" w:eastAsia="zh-CN"/>
        </w:rPr>
        <w:t>——质量蒸发速率，kg/s；</w:t>
      </w:r>
    </w:p>
    <w:p w14:paraId="79EAD2D9">
      <w:pPr>
        <w:ind w:firstLine="1200" w:firstLineChars="500"/>
        <w:rPr>
          <w:rFonts w:hint="eastAsia"/>
          <w:lang w:val="en-US" w:eastAsia="zh-CN"/>
        </w:rPr>
      </w:pPr>
      <w:r>
        <w:rPr>
          <w:rFonts w:hint="eastAsia"/>
          <w:lang w:val="en-US" w:eastAsia="zh-CN"/>
        </w:rPr>
        <w:t>t</w:t>
      </w:r>
      <w:r>
        <w:rPr>
          <w:rFonts w:hint="eastAsia"/>
          <w:vertAlign w:val="subscript"/>
          <w:lang w:val="en-US" w:eastAsia="zh-CN"/>
        </w:rPr>
        <w:t>1</w:t>
      </w:r>
      <w:r>
        <w:rPr>
          <w:rFonts w:hint="eastAsia"/>
          <w:lang w:val="en-US" w:eastAsia="zh-CN"/>
        </w:rPr>
        <w:t>——闪蒸蒸发时间，s；</w:t>
      </w:r>
    </w:p>
    <w:p w14:paraId="197F6BA8">
      <w:pPr>
        <w:ind w:firstLine="1200" w:firstLineChars="500"/>
        <w:rPr>
          <w:rFonts w:hint="eastAsia"/>
          <w:lang w:val="en-US" w:eastAsia="zh-CN"/>
        </w:rPr>
      </w:pPr>
      <w:r>
        <w:rPr>
          <w:rFonts w:hint="eastAsia"/>
          <w:lang w:val="en-US" w:eastAsia="zh-CN"/>
        </w:rPr>
        <w:t>t</w:t>
      </w:r>
      <w:r>
        <w:rPr>
          <w:rFonts w:hint="eastAsia"/>
          <w:vertAlign w:val="subscript"/>
          <w:lang w:val="en-US" w:eastAsia="zh-CN"/>
        </w:rPr>
        <w:t>2</w:t>
      </w:r>
      <w:r>
        <w:rPr>
          <w:rFonts w:hint="eastAsia"/>
          <w:lang w:val="en-US" w:eastAsia="zh-CN"/>
        </w:rPr>
        <w:t>——热量蒸发时间，s；</w:t>
      </w:r>
    </w:p>
    <w:p w14:paraId="7CB4AD5E">
      <w:pPr>
        <w:ind w:firstLine="1200" w:firstLineChars="500"/>
        <w:rPr>
          <w:rFonts w:hint="eastAsia"/>
          <w:lang w:val="en-US" w:eastAsia="zh-CN"/>
        </w:rPr>
      </w:pPr>
      <w:r>
        <w:rPr>
          <w:rFonts w:hint="eastAsia"/>
          <w:lang w:val="en-US" w:eastAsia="zh-CN"/>
        </w:rPr>
        <w:t>t</w:t>
      </w:r>
      <w:r>
        <w:rPr>
          <w:rFonts w:hint="eastAsia"/>
          <w:vertAlign w:val="subscript"/>
          <w:lang w:val="en-US" w:eastAsia="zh-CN"/>
        </w:rPr>
        <w:t>3</w:t>
      </w:r>
      <w:r>
        <w:rPr>
          <w:rFonts w:hint="eastAsia"/>
          <w:lang w:val="en-US" w:eastAsia="zh-CN"/>
        </w:rPr>
        <w:t>——从液体泄漏到全部清理完毕的时间，s。</w:t>
      </w:r>
    </w:p>
    <w:p w14:paraId="14BBCE2C">
      <w:pPr>
        <w:pStyle w:val="4"/>
        <w:bidi w:val="0"/>
        <w:rPr>
          <w:rFonts w:hint="eastAsia"/>
          <w:lang w:val="en-US" w:eastAsia="zh-CN"/>
        </w:rPr>
      </w:pPr>
      <w:r>
        <w:rPr>
          <w:rFonts w:hint="eastAsia"/>
          <w:lang w:val="en-US" w:eastAsia="zh-CN"/>
        </w:rPr>
        <w:t>5.2.1液氨泄漏源强估算</w:t>
      </w:r>
    </w:p>
    <w:p w14:paraId="49CBC5C5">
      <w:pPr>
        <w:ind w:firstLine="480" w:firstLineChars="200"/>
        <w:rPr>
          <w:rFonts w:hint="eastAsia"/>
          <w:lang w:val="en-US" w:eastAsia="zh-CN"/>
        </w:rPr>
      </w:pPr>
      <w:r>
        <w:rPr>
          <w:rFonts w:hint="eastAsia"/>
          <w:lang w:val="en-US" w:eastAsia="zh-CN"/>
        </w:rPr>
        <w:t>本项目最大可信事件为液氨管线（温度33℃，压强1.2MPa）管径≤75mm，以内径≤75mm的管道泄漏孔径为管道10%孔径的事件，因此裂口面积取最大计算，约为0.00004418m</w:t>
      </w:r>
      <w:r>
        <w:rPr>
          <w:rFonts w:hint="eastAsia"/>
          <w:vertAlign w:val="superscript"/>
          <w:lang w:val="en-US" w:eastAsia="zh-CN"/>
        </w:rPr>
        <w:t>2</w:t>
      </w:r>
      <w:r>
        <w:rPr>
          <w:rFonts w:hint="eastAsia"/>
          <w:lang w:val="en-US" w:eastAsia="zh-CN"/>
        </w:rPr>
        <w:t>，本项目为二级评价，采用最不利气象条件进行后果预测，泄漏源强估算结果见截图和下表。</w:t>
      </w:r>
    </w:p>
    <w:p w14:paraId="3C917538">
      <w:pPr>
        <w:pStyle w:val="15"/>
        <w:bidi w:val="0"/>
        <w:rPr>
          <w:rFonts w:hint="eastAsia"/>
          <w:lang w:val="en-US" w:eastAsia="zh-CN"/>
        </w:rPr>
      </w:pPr>
      <w:r>
        <w:rPr>
          <w:rFonts w:hint="eastAsia"/>
          <w:lang w:val="en-US" w:eastAsia="zh-CN"/>
        </w:rPr>
        <w:t>表5-5 液氨气液两相混合物泄漏源强</w:t>
      </w:r>
    </w:p>
    <w:tbl>
      <w:tblPr>
        <w:tblStyle w:val="11"/>
        <w:tblW w:w="853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811"/>
        <w:gridCol w:w="624"/>
        <w:gridCol w:w="848"/>
        <w:gridCol w:w="768"/>
        <w:gridCol w:w="960"/>
        <w:gridCol w:w="1016"/>
        <w:gridCol w:w="624"/>
        <w:gridCol w:w="1297"/>
        <w:gridCol w:w="512"/>
        <w:gridCol w:w="1071"/>
      </w:tblGrid>
      <w:tr w14:paraId="3D1D53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11" w:type="dxa"/>
            <w:tcBorders>
              <w:tl2br w:val="nil"/>
              <w:tr2bl w:val="nil"/>
            </w:tcBorders>
            <w:vAlign w:val="center"/>
          </w:tcPr>
          <w:p w14:paraId="6582AEB3">
            <w:pPr>
              <w:pStyle w:val="14"/>
              <w:bidi w:val="0"/>
              <w:rPr>
                <w:b/>
                <w:bCs/>
                <w:lang w:val="en-US" w:eastAsia="zh-CN"/>
              </w:rPr>
            </w:pPr>
            <w:r>
              <w:rPr>
                <w:b/>
                <w:bCs/>
                <w:lang w:val="en-US" w:eastAsia="zh-CN"/>
              </w:rPr>
              <w:t>T</w:t>
            </w:r>
            <w:r>
              <w:rPr>
                <w:b/>
                <w:bCs/>
                <w:vertAlign w:val="subscript"/>
                <w:lang w:val="en-US" w:eastAsia="zh-CN"/>
              </w:rPr>
              <w:t>LG</w:t>
            </w:r>
          </w:p>
          <w:p w14:paraId="191F7F92">
            <w:pPr>
              <w:pStyle w:val="14"/>
              <w:bidi w:val="0"/>
              <w:rPr>
                <w:b/>
                <w:bCs/>
                <w:lang w:val="en-US" w:eastAsia="zh-CN"/>
              </w:rPr>
            </w:pPr>
            <w:r>
              <w:rPr>
                <w:b/>
                <w:bCs/>
                <w:lang w:val="en-US" w:eastAsia="zh-CN"/>
              </w:rPr>
              <w:t>℃</w:t>
            </w:r>
          </w:p>
        </w:tc>
        <w:tc>
          <w:tcPr>
            <w:tcW w:w="624" w:type="dxa"/>
            <w:tcBorders>
              <w:tl2br w:val="nil"/>
              <w:tr2bl w:val="nil"/>
            </w:tcBorders>
            <w:vAlign w:val="center"/>
          </w:tcPr>
          <w:p w14:paraId="52F25BE9">
            <w:pPr>
              <w:pStyle w:val="14"/>
              <w:bidi w:val="0"/>
              <w:rPr>
                <w:b/>
                <w:bCs/>
                <w:lang w:val="en-US" w:eastAsia="zh-CN"/>
              </w:rPr>
            </w:pPr>
            <w:r>
              <w:rPr>
                <w:b/>
                <w:bCs/>
                <w:lang w:val="en-US" w:eastAsia="zh-CN"/>
              </w:rPr>
              <w:t>F</w:t>
            </w:r>
            <w:r>
              <w:rPr>
                <w:b/>
                <w:bCs/>
                <w:vertAlign w:val="subscript"/>
                <w:lang w:val="en-US" w:eastAsia="zh-CN"/>
              </w:rPr>
              <w:t>V</w:t>
            </w:r>
          </w:p>
        </w:tc>
        <w:tc>
          <w:tcPr>
            <w:tcW w:w="848" w:type="dxa"/>
            <w:tcBorders>
              <w:tl2br w:val="nil"/>
              <w:tr2bl w:val="nil"/>
            </w:tcBorders>
            <w:vAlign w:val="center"/>
          </w:tcPr>
          <w:p w14:paraId="33E02D56">
            <w:pPr>
              <w:pStyle w:val="14"/>
              <w:bidi w:val="0"/>
              <w:rPr>
                <w:b/>
                <w:bCs/>
                <w:vertAlign w:val="subscript"/>
                <w:lang w:val="en-US" w:eastAsia="zh-CN"/>
              </w:rPr>
            </w:pPr>
            <w:r>
              <w:rPr>
                <w:b/>
                <w:bCs/>
                <w:lang w:val="en-US" w:eastAsia="zh-CN"/>
              </w:rPr>
              <w:t>ρ</w:t>
            </w:r>
            <w:r>
              <w:rPr>
                <w:b/>
                <w:bCs/>
                <w:vertAlign w:val="subscript"/>
                <w:lang w:val="en-US" w:eastAsia="zh-CN"/>
              </w:rPr>
              <w:t>m</w:t>
            </w:r>
          </w:p>
          <w:p w14:paraId="695DEF74">
            <w:pPr>
              <w:pStyle w:val="14"/>
              <w:bidi w:val="0"/>
              <w:rPr>
                <w:b/>
                <w:bCs/>
                <w:lang w:val="en-US" w:eastAsia="zh-CN"/>
              </w:rPr>
            </w:pPr>
            <w:r>
              <w:rPr>
                <w:b/>
                <w:bCs/>
                <w:lang w:val="en-US" w:eastAsia="zh-CN"/>
              </w:rPr>
              <w:t>kg/m</w:t>
            </w:r>
            <w:r>
              <w:rPr>
                <w:b/>
                <w:bCs/>
                <w:vertAlign w:val="superscript"/>
                <w:lang w:val="en-US" w:eastAsia="zh-CN"/>
              </w:rPr>
              <w:t>3</w:t>
            </w:r>
          </w:p>
        </w:tc>
        <w:tc>
          <w:tcPr>
            <w:tcW w:w="768" w:type="dxa"/>
            <w:tcBorders>
              <w:tl2br w:val="nil"/>
              <w:tr2bl w:val="nil"/>
            </w:tcBorders>
            <w:vAlign w:val="center"/>
          </w:tcPr>
          <w:p w14:paraId="14A1E134">
            <w:pPr>
              <w:pStyle w:val="14"/>
              <w:bidi w:val="0"/>
              <w:rPr>
                <w:b/>
                <w:bCs/>
                <w:vertAlign w:val="subscript"/>
                <w:lang w:val="en-US" w:eastAsia="zh-CN"/>
              </w:rPr>
            </w:pPr>
            <w:r>
              <w:rPr>
                <w:b/>
                <w:bCs/>
                <w:lang w:val="en-US" w:eastAsia="zh-CN"/>
              </w:rPr>
              <w:t>ρ</w:t>
            </w:r>
            <w:r>
              <w:rPr>
                <w:b/>
                <w:bCs/>
                <w:vertAlign w:val="subscript"/>
                <w:lang w:val="en-US" w:eastAsia="zh-CN"/>
              </w:rPr>
              <w:t>2</w:t>
            </w:r>
          </w:p>
          <w:p w14:paraId="721B3D24">
            <w:pPr>
              <w:pStyle w:val="14"/>
              <w:bidi w:val="0"/>
              <w:rPr>
                <w:b/>
                <w:bCs/>
                <w:lang w:val="en-US" w:eastAsia="zh-CN"/>
              </w:rPr>
            </w:pPr>
            <w:r>
              <w:rPr>
                <w:b/>
                <w:bCs/>
                <w:lang w:val="en-US" w:eastAsia="zh-CN"/>
              </w:rPr>
              <w:t>kg/m</w:t>
            </w:r>
            <w:r>
              <w:rPr>
                <w:b/>
                <w:bCs/>
                <w:vertAlign w:val="superscript"/>
                <w:lang w:val="en-US" w:eastAsia="zh-CN"/>
              </w:rPr>
              <w:t>3</w:t>
            </w:r>
          </w:p>
        </w:tc>
        <w:tc>
          <w:tcPr>
            <w:tcW w:w="960" w:type="dxa"/>
            <w:tcBorders>
              <w:tl2br w:val="nil"/>
              <w:tr2bl w:val="nil"/>
            </w:tcBorders>
            <w:vAlign w:val="center"/>
          </w:tcPr>
          <w:p w14:paraId="0BDB1B73">
            <w:pPr>
              <w:pStyle w:val="14"/>
              <w:bidi w:val="0"/>
              <w:rPr>
                <w:b/>
                <w:bCs/>
                <w:vertAlign w:val="subscript"/>
                <w:lang w:val="en-US" w:eastAsia="zh-CN"/>
              </w:rPr>
            </w:pPr>
            <w:r>
              <w:rPr>
                <w:b/>
                <w:bCs/>
                <w:lang w:val="en-US" w:eastAsia="zh-CN"/>
              </w:rPr>
              <w:t>ρ</w:t>
            </w:r>
            <w:r>
              <w:rPr>
                <w:b/>
                <w:bCs/>
                <w:vertAlign w:val="subscript"/>
                <w:lang w:val="en-US" w:eastAsia="zh-CN"/>
              </w:rPr>
              <w:t>1</w:t>
            </w:r>
          </w:p>
          <w:p w14:paraId="4B599002">
            <w:pPr>
              <w:pStyle w:val="14"/>
              <w:bidi w:val="0"/>
              <w:rPr>
                <w:b/>
                <w:bCs/>
                <w:lang w:val="en-US" w:eastAsia="zh-CN"/>
              </w:rPr>
            </w:pPr>
            <w:r>
              <w:rPr>
                <w:b/>
                <w:bCs/>
                <w:lang w:val="en-US" w:eastAsia="zh-CN"/>
              </w:rPr>
              <w:t>kg/m</w:t>
            </w:r>
            <w:r>
              <w:rPr>
                <w:b/>
                <w:bCs/>
                <w:vertAlign w:val="superscript"/>
                <w:lang w:val="en-US" w:eastAsia="zh-CN"/>
              </w:rPr>
              <w:t>3</w:t>
            </w:r>
          </w:p>
        </w:tc>
        <w:tc>
          <w:tcPr>
            <w:tcW w:w="1016" w:type="dxa"/>
            <w:tcBorders>
              <w:tl2br w:val="nil"/>
              <w:tr2bl w:val="nil"/>
            </w:tcBorders>
            <w:vAlign w:val="center"/>
          </w:tcPr>
          <w:p w14:paraId="11B995B2">
            <w:pPr>
              <w:pStyle w:val="14"/>
              <w:bidi w:val="0"/>
              <w:rPr>
                <w:b/>
                <w:bCs/>
                <w:lang w:val="en-US" w:eastAsia="zh-CN"/>
              </w:rPr>
            </w:pPr>
            <w:r>
              <w:rPr>
                <w:b/>
                <w:bCs/>
                <w:lang w:val="en-US" w:eastAsia="zh-CN"/>
              </w:rPr>
              <w:t>P</w:t>
            </w:r>
          </w:p>
          <w:p w14:paraId="381B4C17">
            <w:pPr>
              <w:pStyle w:val="14"/>
              <w:bidi w:val="0"/>
              <w:rPr>
                <w:b/>
                <w:bCs/>
                <w:lang w:val="en-US" w:eastAsia="zh-CN"/>
              </w:rPr>
            </w:pPr>
            <w:r>
              <w:rPr>
                <w:b/>
                <w:bCs/>
                <w:lang w:val="en-US" w:eastAsia="zh-CN"/>
              </w:rPr>
              <w:t>Pa</w:t>
            </w:r>
          </w:p>
        </w:tc>
        <w:tc>
          <w:tcPr>
            <w:tcW w:w="624" w:type="dxa"/>
            <w:tcBorders>
              <w:tl2br w:val="nil"/>
              <w:tr2bl w:val="nil"/>
            </w:tcBorders>
            <w:vAlign w:val="center"/>
          </w:tcPr>
          <w:p w14:paraId="56D6897D">
            <w:pPr>
              <w:pStyle w:val="14"/>
              <w:bidi w:val="0"/>
              <w:rPr>
                <w:b/>
                <w:bCs/>
                <w:lang w:val="en-US" w:eastAsia="zh-CN"/>
              </w:rPr>
            </w:pPr>
            <w:r>
              <w:rPr>
                <w:b/>
                <w:bCs/>
                <w:lang w:val="en-US" w:eastAsia="zh-CN"/>
              </w:rPr>
              <w:t>P</w:t>
            </w:r>
            <w:r>
              <w:rPr>
                <w:b/>
                <w:bCs/>
                <w:vertAlign w:val="subscript"/>
                <w:lang w:val="en-US" w:eastAsia="zh-CN"/>
              </w:rPr>
              <w:t>C</w:t>
            </w:r>
          </w:p>
          <w:p w14:paraId="5C13196C">
            <w:pPr>
              <w:pStyle w:val="14"/>
              <w:bidi w:val="0"/>
              <w:rPr>
                <w:b/>
                <w:bCs/>
                <w:lang w:val="en-US" w:eastAsia="zh-CN"/>
              </w:rPr>
            </w:pPr>
            <w:r>
              <w:rPr>
                <w:b/>
                <w:bCs/>
                <w:lang w:val="en-US" w:eastAsia="zh-CN"/>
              </w:rPr>
              <w:t>Pa</w:t>
            </w:r>
          </w:p>
        </w:tc>
        <w:tc>
          <w:tcPr>
            <w:tcW w:w="1297" w:type="dxa"/>
            <w:tcBorders>
              <w:tl2br w:val="nil"/>
              <w:tr2bl w:val="nil"/>
            </w:tcBorders>
            <w:vAlign w:val="center"/>
          </w:tcPr>
          <w:p w14:paraId="6F7E60EE">
            <w:pPr>
              <w:pStyle w:val="14"/>
              <w:bidi w:val="0"/>
              <w:rPr>
                <w:b/>
                <w:bCs/>
                <w:lang w:val="en-US" w:eastAsia="zh-CN"/>
              </w:rPr>
            </w:pPr>
            <w:r>
              <w:rPr>
                <w:b/>
                <w:bCs/>
                <w:lang w:val="en-US" w:eastAsia="zh-CN"/>
              </w:rPr>
              <w:t>A</w:t>
            </w:r>
          </w:p>
          <w:p w14:paraId="59D20563">
            <w:pPr>
              <w:pStyle w:val="14"/>
              <w:bidi w:val="0"/>
              <w:rPr>
                <w:b/>
                <w:bCs/>
                <w:lang w:val="en-US" w:eastAsia="zh-CN"/>
              </w:rPr>
            </w:pPr>
            <w:r>
              <w:rPr>
                <w:b/>
                <w:bCs/>
                <w:lang w:val="en-US" w:eastAsia="zh-CN"/>
              </w:rPr>
              <w:t>m</w:t>
            </w:r>
            <w:r>
              <w:rPr>
                <w:b/>
                <w:bCs/>
                <w:vertAlign w:val="superscript"/>
                <w:lang w:val="en-US" w:eastAsia="zh-CN"/>
              </w:rPr>
              <w:t>2</w:t>
            </w:r>
          </w:p>
        </w:tc>
        <w:tc>
          <w:tcPr>
            <w:tcW w:w="512" w:type="dxa"/>
            <w:tcBorders>
              <w:tl2br w:val="nil"/>
              <w:tr2bl w:val="nil"/>
            </w:tcBorders>
            <w:vAlign w:val="center"/>
          </w:tcPr>
          <w:p w14:paraId="75AC0124">
            <w:pPr>
              <w:pStyle w:val="14"/>
              <w:bidi w:val="0"/>
              <w:rPr>
                <w:b/>
                <w:bCs/>
                <w:lang w:val="en-US" w:eastAsia="zh-CN"/>
              </w:rPr>
            </w:pPr>
            <w:r>
              <w:rPr>
                <w:b/>
                <w:bCs/>
                <w:lang w:val="en-US" w:eastAsia="zh-CN"/>
              </w:rPr>
              <w:t>C</w:t>
            </w:r>
            <w:r>
              <w:rPr>
                <w:b/>
                <w:bCs/>
                <w:vertAlign w:val="subscript"/>
                <w:lang w:val="en-US" w:eastAsia="zh-CN"/>
              </w:rPr>
              <w:t>d</w:t>
            </w:r>
          </w:p>
        </w:tc>
        <w:tc>
          <w:tcPr>
            <w:tcW w:w="1071" w:type="dxa"/>
            <w:tcBorders>
              <w:tl2br w:val="nil"/>
              <w:tr2bl w:val="nil"/>
            </w:tcBorders>
            <w:vAlign w:val="center"/>
          </w:tcPr>
          <w:p w14:paraId="5A1EC898">
            <w:pPr>
              <w:pStyle w:val="14"/>
              <w:bidi w:val="0"/>
              <w:rPr>
                <w:b/>
                <w:bCs/>
                <w:lang w:val="en-US" w:eastAsia="zh-CN"/>
              </w:rPr>
            </w:pPr>
            <w:r>
              <w:rPr>
                <w:b/>
                <w:bCs/>
                <w:lang w:val="en-US" w:eastAsia="zh-CN"/>
              </w:rPr>
              <w:t>Q</w:t>
            </w:r>
            <w:r>
              <w:rPr>
                <w:b/>
                <w:bCs/>
                <w:vertAlign w:val="subscript"/>
                <w:lang w:val="en-US" w:eastAsia="zh-CN"/>
              </w:rPr>
              <w:t>LG</w:t>
            </w:r>
          </w:p>
          <w:p w14:paraId="6E8C6EE1">
            <w:pPr>
              <w:pStyle w:val="14"/>
              <w:bidi w:val="0"/>
              <w:rPr>
                <w:b/>
                <w:bCs/>
                <w:lang w:val="en-US" w:eastAsia="zh-CN"/>
              </w:rPr>
            </w:pPr>
            <w:r>
              <w:rPr>
                <w:b/>
                <w:bCs/>
                <w:lang w:val="en-US" w:eastAsia="zh-CN"/>
              </w:rPr>
              <w:t>kg/s</w:t>
            </w:r>
          </w:p>
        </w:tc>
      </w:tr>
      <w:tr w14:paraId="08D4C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11" w:type="dxa"/>
            <w:tcBorders>
              <w:tl2br w:val="nil"/>
              <w:tr2bl w:val="nil"/>
            </w:tcBorders>
            <w:vAlign w:val="center"/>
          </w:tcPr>
          <w:p w14:paraId="75A66573">
            <w:pPr>
              <w:pStyle w:val="14"/>
              <w:bidi w:val="0"/>
              <w:rPr>
                <w:lang w:val="en-US" w:eastAsia="zh-CN"/>
              </w:rPr>
            </w:pPr>
            <w:r>
              <w:rPr>
                <w:lang w:val="en-US" w:eastAsia="zh-CN"/>
              </w:rPr>
              <w:t>-33.35</w:t>
            </w:r>
          </w:p>
        </w:tc>
        <w:tc>
          <w:tcPr>
            <w:tcW w:w="624" w:type="dxa"/>
            <w:tcBorders>
              <w:tl2br w:val="nil"/>
              <w:tr2bl w:val="nil"/>
            </w:tcBorders>
            <w:vAlign w:val="center"/>
          </w:tcPr>
          <w:p w14:paraId="31B57159">
            <w:pPr>
              <w:pStyle w:val="14"/>
              <w:bidi w:val="0"/>
              <w:rPr>
                <w:lang w:val="en-US" w:eastAsia="zh-CN"/>
              </w:rPr>
            </w:pPr>
            <w:r>
              <w:rPr>
                <w:lang w:val="en-US" w:eastAsia="zh-CN"/>
              </w:rPr>
              <w:t>0.79</w:t>
            </w:r>
          </w:p>
        </w:tc>
        <w:tc>
          <w:tcPr>
            <w:tcW w:w="848" w:type="dxa"/>
            <w:tcBorders>
              <w:tl2br w:val="nil"/>
              <w:tr2bl w:val="nil"/>
            </w:tcBorders>
            <w:vAlign w:val="center"/>
          </w:tcPr>
          <w:p w14:paraId="75C755ED">
            <w:pPr>
              <w:pStyle w:val="14"/>
              <w:bidi w:val="0"/>
              <w:rPr>
                <w:lang w:val="en-US" w:eastAsia="zh-CN"/>
              </w:rPr>
            </w:pPr>
            <w:r>
              <w:rPr>
                <w:lang w:val="en-US" w:eastAsia="zh-CN"/>
              </w:rPr>
              <w:t>4.1443</w:t>
            </w:r>
          </w:p>
        </w:tc>
        <w:tc>
          <w:tcPr>
            <w:tcW w:w="768" w:type="dxa"/>
            <w:tcBorders>
              <w:tl2br w:val="nil"/>
              <w:tr2bl w:val="nil"/>
            </w:tcBorders>
            <w:vAlign w:val="center"/>
          </w:tcPr>
          <w:p w14:paraId="236DA2E8">
            <w:pPr>
              <w:pStyle w:val="14"/>
              <w:bidi w:val="0"/>
              <w:rPr>
                <w:lang w:val="en-US" w:eastAsia="zh-CN"/>
              </w:rPr>
            </w:pPr>
            <w:r>
              <w:rPr>
                <w:lang w:val="en-US" w:eastAsia="zh-CN"/>
              </w:rPr>
              <w:t>682.8</w:t>
            </w:r>
          </w:p>
        </w:tc>
        <w:tc>
          <w:tcPr>
            <w:tcW w:w="960" w:type="dxa"/>
            <w:tcBorders>
              <w:tl2br w:val="nil"/>
              <w:tr2bl w:val="nil"/>
            </w:tcBorders>
            <w:vAlign w:val="center"/>
          </w:tcPr>
          <w:p w14:paraId="2795C793">
            <w:pPr>
              <w:pStyle w:val="14"/>
              <w:bidi w:val="0"/>
              <w:rPr>
                <w:lang w:val="en-US" w:eastAsia="zh-CN"/>
              </w:rPr>
            </w:pPr>
            <w:r>
              <w:rPr>
                <w:lang w:val="en-US" w:eastAsia="zh-CN"/>
              </w:rPr>
              <w:t>0.86548</w:t>
            </w:r>
          </w:p>
        </w:tc>
        <w:tc>
          <w:tcPr>
            <w:tcW w:w="1016" w:type="dxa"/>
            <w:tcBorders>
              <w:tl2br w:val="nil"/>
              <w:tr2bl w:val="nil"/>
            </w:tcBorders>
            <w:vAlign w:val="center"/>
          </w:tcPr>
          <w:p w14:paraId="2F415D2C">
            <w:pPr>
              <w:pStyle w:val="14"/>
              <w:bidi w:val="0"/>
              <w:rPr>
                <w:lang w:val="en-US" w:eastAsia="zh-CN"/>
              </w:rPr>
            </w:pPr>
            <w:r>
              <w:rPr>
                <w:lang w:val="en-US" w:eastAsia="zh-CN"/>
              </w:rPr>
              <w:t>1200000</w:t>
            </w:r>
          </w:p>
        </w:tc>
        <w:tc>
          <w:tcPr>
            <w:tcW w:w="624" w:type="dxa"/>
            <w:tcBorders>
              <w:tl2br w:val="nil"/>
              <w:tr2bl w:val="nil"/>
            </w:tcBorders>
            <w:vAlign w:val="center"/>
          </w:tcPr>
          <w:p w14:paraId="164D7E7F">
            <w:pPr>
              <w:pStyle w:val="14"/>
              <w:bidi w:val="0"/>
              <w:rPr>
                <w:lang w:val="en-US" w:eastAsia="zh-CN"/>
              </w:rPr>
            </w:pPr>
            <w:r>
              <w:rPr>
                <w:lang w:val="en-US" w:eastAsia="zh-CN"/>
              </w:rPr>
              <w:t>0.55</w:t>
            </w:r>
          </w:p>
        </w:tc>
        <w:tc>
          <w:tcPr>
            <w:tcW w:w="1297" w:type="dxa"/>
            <w:tcBorders>
              <w:tl2br w:val="nil"/>
              <w:tr2bl w:val="nil"/>
            </w:tcBorders>
            <w:vAlign w:val="center"/>
          </w:tcPr>
          <w:p w14:paraId="413A99A6">
            <w:pPr>
              <w:pStyle w:val="14"/>
              <w:bidi w:val="0"/>
              <w:rPr>
                <w:rFonts w:hint="default"/>
                <w:lang w:val="en-US" w:eastAsia="zh-CN"/>
              </w:rPr>
            </w:pPr>
            <w:r>
              <w:rPr>
                <w:lang w:val="en-US" w:eastAsia="zh-CN"/>
              </w:rPr>
              <w:t>0.0000</w:t>
            </w:r>
            <w:r>
              <w:rPr>
                <w:rFonts w:hint="eastAsia"/>
                <w:lang w:val="en-US" w:eastAsia="zh-CN"/>
              </w:rPr>
              <w:t>4418</w:t>
            </w:r>
          </w:p>
        </w:tc>
        <w:tc>
          <w:tcPr>
            <w:tcW w:w="512" w:type="dxa"/>
            <w:tcBorders>
              <w:tl2br w:val="nil"/>
              <w:tr2bl w:val="nil"/>
            </w:tcBorders>
            <w:vAlign w:val="center"/>
          </w:tcPr>
          <w:p w14:paraId="7C3C5106">
            <w:pPr>
              <w:pStyle w:val="14"/>
              <w:bidi w:val="0"/>
              <w:rPr>
                <w:lang w:val="en-US" w:eastAsia="zh-CN"/>
              </w:rPr>
            </w:pPr>
            <w:r>
              <w:rPr>
                <w:lang w:val="en-US" w:eastAsia="zh-CN"/>
              </w:rPr>
              <w:t>0.8</w:t>
            </w:r>
          </w:p>
        </w:tc>
        <w:tc>
          <w:tcPr>
            <w:tcW w:w="1071" w:type="dxa"/>
            <w:tcBorders>
              <w:tl2br w:val="nil"/>
              <w:tr2bl w:val="nil"/>
            </w:tcBorders>
            <w:vAlign w:val="center"/>
          </w:tcPr>
          <w:p w14:paraId="3123EC39">
            <w:pPr>
              <w:pStyle w:val="14"/>
              <w:bidi w:val="0"/>
              <w:rPr>
                <w:rFonts w:hint="default"/>
                <w:lang w:val="en-US" w:eastAsia="zh-CN"/>
              </w:rPr>
            </w:pPr>
            <w:r>
              <w:rPr>
                <w:lang w:val="en-US" w:eastAsia="zh-CN"/>
              </w:rPr>
              <w:t>0.</w:t>
            </w:r>
            <w:r>
              <w:rPr>
                <w:rFonts w:hint="eastAsia"/>
                <w:lang w:val="en-US" w:eastAsia="zh-CN"/>
              </w:rPr>
              <w:t>10666</w:t>
            </w:r>
          </w:p>
        </w:tc>
      </w:tr>
    </w:tbl>
    <w:p w14:paraId="3E856F46">
      <w:pPr>
        <w:pStyle w:val="15"/>
        <w:bidi w:val="0"/>
        <w:rPr>
          <w:rFonts w:hint="eastAsia"/>
          <w:lang w:val="en-US" w:eastAsia="zh-CN"/>
        </w:rPr>
      </w:pPr>
    </w:p>
    <w:p w14:paraId="13D1D414">
      <w:pPr>
        <w:ind w:firstLine="480" w:firstLineChars="200"/>
        <w:rPr>
          <w:rFonts w:hint="eastAsia"/>
          <w:lang w:val="en-US" w:eastAsia="zh-CN"/>
        </w:rPr>
      </w:pPr>
      <w:r>
        <w:rPr>
          <w:rFonts w:hint="eastAsia"/>
          <w:lang w:val="en-US" w:eastAsia="zh-CN"/>
        </w:rPr>
        <w:t>根据预测软件中风险源强估算采用两相流计算公式计算，液氨两相混合物泄漏速度为0.10666kg/s，物质泄漏时间设定为10min，则泄漏量为3839.76kg。</w:t>
      </w:r>
    </w:p>
    <w:p w14:paraId="5EBE8DFF">
      <w:pPr>
        <w:pStyle w:val="14"/>
        <w:bidi w:val="0"/>
        <w:rPr>
          <w:rFonts w:hint="eastAsia"/>
          <w:lang w:val="en-US" w:eastAsia="zh-CN"/>
        </w:rPr>
      </w:pPr>
      <w:r>
        <w:drawing>
          <wp:inline distT="0" distB="0" distL="114300" distR="114300">
            <wp:extent cx="5273040" cy="3278505"/>
            <wp:effectExtent l="0" t="0" r="3810" b="17145"/>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52"/>
                    <a:stretch>
                      <a:fillRect/>
                    </a:stretch>
                  </pic:blipFill>
                  <pic:spPr>
                    <a:xfrm>
                      <a:off x="0" y="0"/>
                      <a:ext cx="5273040" cy="3278505"/>
                    </a:xfrm>
                    <a:prstGeom prst="rect">
                      <a:avLst/>
                    </a:prstGeom>
                    <a:noFill/>
                    <a:ln>
                      <a:noFill/>
                    </a:ln>
                  </pic:spPr>
                </pic:pic>
              </a:graphicData>
            </a:graphic>
          </wp:inline>
        </w:drawing>
      </w:r>
      <w:r>
        <w:drawing>
          <wp:inline distT="0" distB="0" distL="114300" distR="114300">
            <wp:extent cx="5272405" cy="3407410"/>
            <wp:effectExtent l="0" t="0" r="4445" b="254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53"/>
                    <a:stretch>
                      <a:fillRect/>
                    </a:stretch>
                  </pic:blipFill>
                  <pic:spPr>
                    <a:xfrm>
                      <a:off x="0" y="0"/>
                      <a:ext cx="5272405" cy="3407410"/>
                    </a:xfrm>
                    <a:prstGeom prst="rect">
                      <a:avLst/>
                    </a:prstGeom>
                    <a:noFill/>
                    <a:ln>
                      <a:noFill/>
                    </a:ln>
                  </pic:spPr>
                </pic:pic>
              </a:graphicData>
            </a:graphic>
          </wp:inline>
        </w:drawing>
      </w:r>
    </w:p>
    <w:p w14:paraId="78E82490">
      <w:pPr>
        <w:pStyle w:val="16"/>
        <w:bidi w:val="0"/>
        <w:rPr>
          <w:rFonts w:hint="eastAsia"/>
          <w:lang w:val="en-US" w:eastAsia="zh-CN"/>
        </w:rPr>
      </w:pPr>
      <w:r>
        <w:rPr>
          <w:rFonts w:hint="eastAsia"/>
          <w:lang w:val="en-US" w:eastAsia="zh-CN"/>
        </w:rPr>
        <w:t>图5-1 液氨泄漏源强估算结果截图</w:t>
      </w:r>
    </w:p>
    <w:p w14:paraId="6F8837A7">
      <w:pPr>
        <w:ind w:firstLine="480" w:firstLineChars="200"/>
        <w:rPr>
          <w:rFonts w:hint="eastAsia"/>
          <w:lang w:val="en-US" w:eastAsia="zh-CN"/>
        </w:rPr>
      </w:pPr>
      <w:r>
        <w:rPr>
          <w:rFonts w:hint="eastAsia"/>
          <w:lang w:val="en-US" w:eastAsia="zh-CN"/>
        </w:rPr>
        <w:t>由于液氨是液态的氨，其沸点为-33.5℃，液氨管线温度及外环境温度均大于其沸点温度，需同时考虑闪蒸蒸发、热量蒸发、质量蒸发。</w:t>
      </w:r>
    </w:p>
    <w:p w14:paraId="0307B509">
      <w:pPr>
        <w:ind w:firstLine="480" w:firstLineChars="200"/>
        <w:rPr>
          <w:rFonts w:hint="eastAsia"/>
          <w:lang w:val="en-US" w:eastAsia="zh-CN"/>
        </w:rPr>
      </w:pPr>
      <w:r>
        <w:rPr>
          <w:rFonts w:hint="eastAsia"/>
          <w:lang w:val="en-US" w:eastAsia="zh-CN"/>
        </w:rPr>
        <w:t>液氨泄漏，液体蒸发速率计算结果见下表。</w:t>
      </w:r>
    </w:p>
    <w:p w14:paraId="4CF3A31F">
      <w:pPr>
        <w:pStyle w:val="15"/>
        <w:bidi w:val="0"/>
        <w:rPr>
          <w:rFonts w:hint="eastAsia"/>
          <w:lang w:val="en-US" w:eastAsia="zh-CN"/>
        </w:rPr>
      </w:pPr>
      <w:r>
        <w:rPr>
          <w:rFonts w:hint="eastAsia"/>
          <w:lang w:val="en-US" w:eastAsia="zh-CN"/>
        </w:rPr>
        <w:t>表5-5 液氨闪蒸蒸发（Q</w:t>
      </w:r>
      <w:r>
        <w:rPr>
          <w:rFonts w:hint="eastAsia"/>
          <w:vertAlign w:val="subscript"/>
          <w:lang w:val="en-US" w:eastAsia="zh-CN"/>
        </w:rPr>
        <w:t>1</w:t>
      </w:r>
      <w:r>
        <w:rPr>
          <w:rFonts w:hint="eastAsia"/>
          <w:lang w:val="en-US" w:eastAsia="zh-CN"/>
        </w:rPr>
        <w:t>）估算一览表</w:t>
      </w:r>
    </w:p>
    <w:tbl>
      <w:tblPr>
        <w:tblStyle w:val="11"/>
        <w:tblW w:w="928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2"/>
        <w:gridCol w:w="1388"/>
        <w:gridCol w:w="987"/>
        <w:gridCol w:w="987"/>
        <w:gridCol w:w="1172"/>
        <w:gridCol w:w="857"/>
        <w:gridCol w:w="1172"/>
        <w:gridCol w:w="1718"/>
      </w:tblGrid>
      <w:tr w14:paraId="3AEF1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02" w:type="dxa"/>
            <w:tcBorders>
              <w:tl2br w:val="nil"/>
              <w:tr2bl w:val="nil"/>
            </w:tcBorders>
            <w:vAlign w:val="center"/>
          </w:tcPr>
          <w:p w14:paraId="12B3E597">
            <w:pPr>
              <w:pStyle w:val="14"/>
              <w:bidi w:val="0"/>
              <w:rPr>
                <w:rFonts w:hint="eastAsia"/>
                <w:b/>
                <w:bCs/>
                <w:lang w:val="en-US" w:eastAsia="zh-CN"/>
              </w:rPr>
            </w:pPr>
            <w:r>
              <w:rPr>
                <w:rFonts w:hint="eastAsia"/>
                <w:b/>
                <w:bCs/>
                <w:lang w:val="en-US" w:eastAsia="zh-CN"/>
              </w:rPr>
              <w:t>物质</w:t>
            </w:r>
          </w:p>
        </w:tc>
        <w:tc>
          <w:tcPr>
            <w:tcW w:w="1388" w:type="dxa"/>
            <w:tcBorders>
              <w:tl2br w:val="nil"/>
              <w:tr2bl w:val="nil"/>
            </w:tcBorders>
            <w:vAlign w:val="center"/>
          </w:tcPr>
          <w:p w14:paraId="4F08D317">
            <w:pPr>
              <w:pStyle w:val="14"/>
              <w:bidi w:val="0"/>
              <w:rPr>
                <w:b/>
                <w:bCs/>
                <w:lang w:val="en-US" w:eastAsia="zh-CN"/>
              </w:rPr>
            </w:pPr>
            <w:r>
              <w:rPr>
                <w:b/>
                <w:bCs/>
                <w:lang w:val="en-US" w:eastAsia="zh-CN"/>
              </w:rPr>
              <w:t>C</w:t>
            </w:r>
            <w:r>
              <w:rPr>
                <w:b/>
                <w:bCs/>
                <w:vertAlign w:val="subscript"/>
                <w:lang w:val="en-US" w:eastAsia="zh-CN"/>
              </w:rPr>
              <w:t>p</w:t>
            </w:r>
            <w:r>
              <w:rPr>
                <w:b/>
                <w:bCs/>
                <w:lang w:val="en-US" w:eastAsia="zh-CN"/>
              </w:rPr>
              <w:t>(J/(kg·K))</w:t>
            </w:r>
          </w:p>
        </w:tc>
        <w:tc>
          <w:tcPr>
            <w:tcW w:w="987" w:type="dxa"/>
            <w:tcBorders>
              <w:tl2br w:val="nil"/>
              <w:tr2bl w:val="nil"/>
            </w:tcBorders>
            <w:vAlign w:val="center"/>
          </w:tcPr>
          <w:p w14:paraId="65D2E48E">
            <w:pPr>
              <w:pStyle w:val="14"/>
              <w:bidi w:val="0"/>
              <w:rPr>
                <w:b/>
                <w:bCs/>
                <w:lang w:val="en-US" w:eastAsia="zh-CN"/>
              </w:rPr>
            </w:pPr>
            <w:r>
              <w:rPr>
                <w:b/>
                <w:bCs/>
                <w:lang w:val="en-US" w:eastAsia="zh-CN"/>
              </w:rPr>
              <w:t>T</w:t>
            </w:r>
            <w:r>
              <w:rPr>
                <w:b/>
                <w:bCs/>
                <w:vertAlign w:val="subscript"/>
                <w:lang w:val="en-US" w:eastAsia="zh-CN"/>
              </w:rPr>
              <w:t>T</w:t>
            </w:r>
            <w:r>
              <w:rPr>
                <w:b/>
                <w:bCs/>
                <w:lang w:val="en-US" w:eastAsia="zh-CN"/>
              </w:rPr>
              <w:t>(K)</w:t>
            </w:r>
          </w:p>
        </w:tc>
        <w:tc>
          <w:tcPr>
            <w:tcW w:w="987" w:type="dxa"/>
            <w:tcBorders>
              <w:tl2br w:val="nil"/>
              <w:tr2bl w:val="nil"/>
            </w:tcBorders>
            <w:vAlign w:val="center"/>
          </w:tcPr>
          <w:p w14:paraId="7EAF5D3A">
            <w:pPr>
              <w:pStyle w:val="14"/>
              <w:bidi w:val="0"/>
              <w:rPr>
                <w:b/>
                <w:bCs/>
                <w:lang w:val="en-US" w:eastAsia="zh-CN"/>
              </w:rPr>
            </w:pPr>
            <w:r>
              <w:rPr>
                <w:b/>
                <w:bCs/>
                <w:lang w:val="en-US" w:eastAsia="zh-CN"/>
              </w:rPr>
              <w:t>T</w:t>
            </w:r>
            <w:r>
              <w:rPr>
                <w:b/>
                <w:bCs/>
                <w:vertAlign w:val="subscript"/>
                <w:lang w:val="en-US" w:eastAsia="zh-CN"/>
              </w:rPr>
              <w:t>b</w:t>
            </w:r>
            <w:r>
              <w:rPr>
                <w:b/>
                <w:bCs/>
                <w:lang w:val="en-US" w:eastAsia="zh-CN"/>
              </w:rPr>
              <w:t>(K)</w:t>
            </w:r>
          </w:p>
        </w:tc>
        <w:tc>
          <w:tcPr>
            <w:tcW w:w="1172" w:type="dxa"/>
            <w:tcBorders>
              <w:tl2br w:val="nil"/>
              <w:tr2bl w:val="nil"/>
            </w:tcBorders>
            <w:vAlign w:val="center"/>
          </w:tcPr>
          <w:p w14:paraId="2FF8D51D">
            <w:pPr>
              <w:pStyle w:val="14"/>
              <w:bidi w:val="0"/>
              <w:rPr>
                <w:b/>
                <w:bCs/>
                <w:lang w:val="en-US" w:eastAsia="zh-CN"/>
              </w:rPr>
            </w:pPr>
            <w:r>
              <w:rPr>
                <w:b/>
                <w:bCs/>
                <w:lang w:val="en-US" w:eastAsia="zh-CN"/>
              </w:rPr>
              <w:t>H</w:t>
            </w:r>
            <w:r>
              <w:rPr>
                <w:b/>
                <w:bCs/>
                <w:vertAlign w:val="subscript"/>
                <w:lang w:val="en-US" w:eastAsia="zh-CN"/>
              </w:rPr>
              <w:t>v</w:t>
            </w:r>
            <w:r>
              <w:rPr>
                <w:b/>
                <w:bCs/>
                <w:lang w:val="en-US" w:eastAsia="zh-CN"/>
              </w:rPr>
              <w:t>(J/kg)</w:t>
            </w:r>
          </w:p>
        </w:tc>
        <w:tc>
          <w:tcPr>
            <w:tcW w:w="857" w:type="dxa"/>
            <w:tcBorders>
              <w:tl2br w:val="nil"/>
              <w:tr2bl w:val="nil"/>
            </w:tcBorders>
            <w:vAlign w:val="center"/>
          </w:tcPr>
          <w:p w14:paraId="3AC8D51F">
            <w:pPr>
              <w:pStyle w:val="14"/>
              <w:bidi w:val="0"/>
              <w:rPr>
                <w:b/>
                <w:bCs/>
                <w:lang w:val="en-US" w:eastAsia="zh-CN"/>
              </w:rPr>
            </w:pPr>
            <w:r>
              <w:rPr>
                <w:b/>
                <w:bCs/>
                <w:lang w:val="en-US" w:eastAsia="zh-CN"/>
              </w:rPr>
              <w:t>F</w:t>
            </w:r>
            <w:r>
              <w:rPr>
                <w:b/>
                <w:bCs/>
                <w:vertAlign w:val="subscript"/>
                <w:lang w:val="en-US" w:eastAsia="zh-CN"/>
              </w:rPr>
              <w:t>v</w:t>
            </w:r>
          </w:p>
        </w:tc>
        <w:tc>
          <w:tcPr>
            <w:tcW w:w="1172" w:type="dxa"/>
            <w:tcBorders>
              <w:tl2br w:val="nil"/>
              <w:tr2bl w:val="nil"/>
            </w:tcBorders>
            <w:vAlign w:val="center"/>
          </w:tcPr>
          <w:p w14:paraId="40E11E4D">
            <w:pPr>
              <w:pStyle w:val="14"/>
              <w:bidi w:val="0"/>
              <w:rPr>
                <w:b/>
                <w:bCs/>
                <w:lang w:val="en-US" w:eastAsia="zh-CN"/>
              </w:rPr>
            </w:pPr>
            <w:r>
              <w:rPr>
                <w:b/>
                <w:bCs/>
                <w:lang w:val="en-US" w:eastAsia="zh-CN"/>
              </w:rPr>
              <w:t>Q</w:t>
            </w:r>
            <w:r>
              <w:rPr>
                <w:b/>
                <w:bCs/>
                <w:vertAlign w:val="subscript"/>
                <w:lang w:val="en-US" w:eastAsia="zh-CN"/>
              </w:rPr>
              <w:t>L</w:t>
            </w:r>
            <w:r>
              <w:rPr>
                <w:b/>
                <w:bCs/>
                <w:lang w:val="en-US" w:eastAsia="zh-CN"/>
              </w:rPr>
              <w:t>(kg/s)</w:t>
            </w:r>
          </w:p>
        </w:tc>
        <w:tc>
          <w:tcPr>
            <w:tcW w:w="1718" w:type="dxa"/>
            <w:tcBorders>
              <w:tl2br w:val="nil"/>
              <w:tr2bl w:val="nil"/>
            </w:tcBorders>
            <w:vAlign w:val="center"/>
          </w:tcPr>
          <w:p w14:paraId="20722341">
            <w:pPr>
              <w:pStyle w:val="14"/>
              <w:bidi w:val="0"/>
              <w:rPr>
                <w:b/>
                <w:bCs/>
                <w:lang w:val="en-US" w:eastAsia="zh-CN"/>
              </w:rPr>
            </w:pPr>
            <w:r>
              <w:rPr>
                <w:b/>
                <w:bCs/>
                <w:lang w:val="en-US" w:eastAsia="zh-CN"/>
              </w:rPr>
              <w:t>Q</w:t>
            </w:r>
            <w:r>
              <w:rPr>
                <w:b/>
                <w:bCs/>
                <w:vertAlign w:val="subscript"/>
                <w:lang w:val="en-US" w:eastAsia="zh-CN"/>
              </w:rPr>
              <w:t>1</w:t>
            </w:r>
            <w:r>
              <w:rPr>
                <w:b/>
                <w:bCs/>
                <w:lang w:val="en-US" w:eastAsia="zh-CN"/>
              </w:rPr>
              <w:t>(kg/s)</w:t>
            </w:r>
          </w:p>
        </w:tc>
      </w:tr>
      <w:tr w14:paraId="178C7F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02" w:type="dxa"/>
            <w:tcBorders>
              <w:tl2br w:val="nil"/>
              <w:tr2bl w:val="nil"/>
            </w:tcBorders>
            <w:vAlign w:val="center"/>
          </w:tcPr>
          <w:p w14:paraId="0A8FC708">
            <w:pPr>
              <w:pStyle w:val="14"/>
              <w:bidi w:val="0"/>
              <w:rPr>
                <w:rFonts w:hint="eastAsia"/>
                <w:lang w:val="en-US" w:eastAsia="zh-CN"/>
              </w:rPr>
            </w:pPr>
            <w:r>
              <w:rPr>
                <w:rFonts w:hint="eastAsia"/>
                <w:lang w:val="en-US" w:eastAsia="zh-CN"/>
              </w:rPr>
              <w:t>液氨</w:t>
            </w:r>
          </w:p>
        </w:tc>
        <w:tc>
          <w:tcPr>
            <w:tcW w:w="1388" w:type="dxa"/>
            <w:tcBorders>
              <w:tl2br w:val="nil"/>
              <w:tr2bl w:val="nil"/>
            </w:tcBorders>
            <w:vAlign w:val="center"/>
          </w:tcPr>
          <w:p w14:paraId="73A65DF7">
            <w:pPr>
              <w:pStyle w:val="14"/>
              <w:bidi w:val="0"/>
              <w:rPr>
                <w:lang w:val="en-US" w:eastAsia="zh-CN"/>
              </w:rPr>
            </w:pPr>
            <w:r>
              <w:rPr>
                <w:lang w:val="en-US" w:eastAsia="zh-CN"/>
              </w:rPr>
              <w:t>2987.75</w:t>
            </w:r>
          </w:p>
        </w:tc>
        <w:tc>
          <w:tcPr>
            <w:tcW w:w="987" w:type="dxa"/>
            <w:tcBorders>
              <w:tl2br w:val="nil"/>
              <w:tr2bl w:val="nil"/>
            </w:tcBorders>
            <w:vAlign w:val="center"/>
          </w:tcPr>
          <w:p w14:paraId="659B7478">
            <w:pPr>
              <w:pStyle w:val="14"/>
              <w:bidi w:val="0"/>
              <w:rPr>
                <w:lang w:val="en-US" w:eastAsia="zh-CN"/>
              </w:rPr>
            </w:pPr>
            <w:r>
              <w:rPr>
                <w:lang w:val="en-US" w:eastAsia="zh-CN"/>
              </w:rPr>
              <w:t>306.15</w:t>
            </w:r>
          </w:p>
        </w:tc>
        <w:tc>
          <w:tcPr>
            <w:tcW w:w="987" w:type="dxa"/>
            <w:tcBorders>
              <w:tl2br w:val="nil"/>
              <w:tr2bl w:val="nil"/>
            </w:tcBorders>
            <w:vAlign w:val="center"/>
          </w:tcPr>
          <w:p w14:paraId="0005DF35">
            <w:pPr>
              <w:pStyle w:val="14"/>
              <w:bidi w:val="0"/>
              <w:rPr>
                <w:lang w:val="en-US" w:eastAsia="zh-CN"/>
              </w:rPr>
            </w:pPr>
            <w:r>
              <w:rPr>
                <w:lang w:val="en-US" w:eastAsia="zh-CN"/>
              </w:rPr>
              <w:t>239.65</w:t>
            </w:r>
          </w:p>
        </w:tc>
        <w:tc>
          <w:tcPr>
            <w:tcW w:w="1172" w:type="dxa"/>
            <w:tcBorders>
              <w:tl2br w:val="nil"/>
              <w:tr2bl w:val="nil"/>
            </w:tcBorders>
            <w:vAlign w:val="center"/>
          </w:tcPr>
          <w:p w14:paraId="60488DED">
            <w:pPr>
              <w:pStyle w:val="14"/>
              <w:bidi w:val="0"/>
              <w:rPr>
                <w:lang w:val="en-US" w:eastAsia="zh-CN"/>
              </w:rPr>
            </w:pPr>
            <w:r>
              <w:rPr>
                <w:lang w:val="en-US" w:eastAsia="zh-CN"/>
              </w:rPr>
              <w:t>1132400</w:t>
            </w:r>
          </w:p>
        </w:tc>
        <w:tc>
          <w:tcPr>
            <w:tcW w:w="857" w:type="dxa"/>
            <w:tcBorders>
              <w:tl2br w:val="nil"/>
              <w:tr2bl w:val="nil"/>
            </w:tcBorders>
            <w:vAlign w:val="center"/>
          </w:tcPr>
          <w:p w14:paraId="210BED16">
            <w:pPr>
              <w:pStyle w:val="14"/>
              <w:bidi w:val="0"/>
              <w:rPr>
                <w:rFonts w:hint="default"/>
                <w:lang w:val="en-US" w:eastAsia="zh-CN"/>
              </w:rPr>
            </w:pPr>
            <w:r>
              <w:rPr>
                <w:lang w:val="en-US" w:eastAsia="zh-CN"/>
              </w:rPr>
              <w:t>0.</w:t>
            </w:r>
            <w:r>
              <w:rPr>
                <w:rFonts w:hint="eastAsia"/>
                <w:lang w:val="en-US" w:eastAsia="zh-CN"/>
              </w:rPr>
              <w:t>17</w:t>
            </w:r>
          </w:p>
        </w:tc>
        <w:tc>
          <w:tcPr>
            <w:tcW w:w="1172" w:type="dxa"/>
            <w:tcBorders>
              <w:tl2br w:val="nil"/>
              <w:tr2bl w:val="nil"/>
            </w:tcBorders>
            <w:vAlign w:val="center"/>
          </w:tcPr>
          <w:p w14:paraId="55E5B272">
            <w:pPr>
              <w:pStyle w:val="14"/>
              <w:bidi w:val="0"/>
              <w:rPr>
                <w:rFonts w:hint="default"/>
                <w:lang w:val="en-US" w:eastAsia="zh-CN"/>
              </w:rPr>
            </w:pPr>
            <w:r>
              <w:rPr>
                <w:lang w:val="en-US" w:eastAsia="zh-CN"/>
              </w:rPr>
              <w:t>0.</w:t>
            </w:r>
            <w:r>
              <w:rPr>
                <w:rFonts w:hint="eastAsia"/>
                <w:lang w:val="en-US" w:eastAsia="zh-CN"/>
              </w:rPr>
              <w:t>10666</w:t>
            </w:r>
          </w:p>
        </w:tc>
        <w:tc>
          <w:tcPr>
            <w:tcW w:w="1718" w:type="dxa"/>
            <w:tcBorders>
              <w:tl2br w:val="nil"/>
              <w:tr2bl w:val="nil"/>
            </w:tcBorders>
            <w:vAlign w:val="center"/>
          </w:tcPr>
          <w:p w14:paraId="4B3D1696">
            <w:pPr>
              <w:pStyle w:val="14"/>
              <w:bidi w:val="0"/>
              <w:rPr>
                <w:rFonts w:hint="default"/>
                <w:lang w:val="en-US" w:eastAsia="zh-CN"/>
              </w:rPr>
            </w:pPr>
            <w:r>
              <w:rPr>
                <w:lang w:val="en-US" w:eastAsia="zh-CN"/>
              </w:rPr>
              <w:t>0.0</w:t>
            </w:r>
            <w:r>
              <w:rPr>
                <w:rFonts w:hint="eastAsia"/>
                <w:lang w:val="en-US" w:eastAsia="zh-CN"/>
              </w:rPr>
              <w:t>224</w:t>
            </w:r>
          </w:p>
        </w:tc>
      </w:tr>
      <w:tr w14:paraId="458DE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283" w:type="dxa"/>
            <w:gridSpan w:val="8"/>
            <w:tcBorders>
              <w:tl2br w:val="nil"/>
              <w:tr2bl w:val="nil"/>
            </w:tcBorders>
            <w:vAlign w:val="center"/>
          </w:tcPr>
          <w:p w14:paraId="5B83C733">
            <w:pPr>
              <w:pStyle w:val="14"/>
              <w:bidi w:val="0"/>
              <w:rPr>
                <w:rFonts w:hint="eastAsia"/>
                <w:lang w:val="en-US" w:eastAsia="zh-CN"/>
              </w:rPr>
            </w:pPr>
            <w:r>
              <w:rPr>
                <w:rFonts w:hint="eastAsia"/>
                <w:lang w:val="en-US" w:eastAsia="zh-CN"/>
              </w:rPr>
              <w:t>注：根据《化学化工物性数据手册 无机卷 增订版》，</w:t>
            </w:r>
            <w:r>
              <w:rPr>
                <w:lang w:val="en-US" w:eastAsia="zh-CN"/>
              </w:rPr>
              <w:t>33</w:t>
            </w:r>
            <w:r>
              <w:rPr>
                <w:rFonts w:hint="eastAsia"/>
                <w:lang w:val="en-US" w:eastAsia="zh-CN"/>
              </w:rPr>
              <w:t>℃、</w:t>
            </w:r>
            <w:r>
              <w:rPr>
                <w:lang w:val="en-US" w:eastAsia="zh-CN"/>
              </w:rPr>
              <w:t>1.2MPa</w:t>
            </w:r>
            <w:r>
              <w:rPr>
                <w:rFonts w:hint="eastAsia"/>
                <w:lang w:val="en-US" w:eastAsia="zh-CN"/>
              </w:rPr>
              <w:t>下液氨的</w:t>
            </w:r>
            <w:r>
              <w:rPr>
                <w:lang w:val="en-US" w:eastAsia="zh-CN"/>
              </w:rPr>
              <w:t>C</w:t>
            </w:r>
            <w:r>
              <w:rPr>
                <w:vertAlign w:val="subscript"/>
                <w:lang w:val="en-US" w:eastAsia="zh-CN"/>
              </w:rPr>
              <w:t>p</w:t>
            </w:r>
            <w:r>
              <w:rPr>
                <w:rFonts w:hint="eastAsia"/>
                <w:lang w:val="en-US" w:eastAsia="zh-CN"/>
              </w:rPr>
              <w:t>参考取</w:t>
            </w:r>
            <w:r>
              <w:rPr>
                <w:lang w:val="en-US" w:eastAsia="zh-CN"/>
              </w:rPr>
              <w:t>1.0MPa</w:t>
            </w:r>
            <w:r>
              <w:rPr>
                <w:rFonts w:hint="eastAsia"/>
                <w:lang w:val="en-US" w:eastAsia="zh-CN"/>
              </w:rPr>
              <w:t>下</w:t>
            </w:r>
            <w:r>
              <w:rPr>
                <w:lang w:val="en-US" w:eastAsia="zh-CN"/>
              </w:rPr>
              <w:t>300K</w:t>
            </w:r>
            <w:r>
              <w:rPr>
                <w:rFonts w:hint="eastAsia"/>
                <w:lang w:val="en-US" w:eastAsia="zh-CN"/>
              </w:rPr>
              <w:t>对应的比热容</w:t>
            </w:r>
            <w:r>
              <w:rPr>
                <w:lang w:val="en-US" w:eastAsia="zh-CN"/>
              </w:rPr>
              <w:t>3084J/(kg·K)</w:t>
            </w:r>
            <w:r>
              <w:rPr>
                <w:rFonts w:hint="eastAsia"/>
                <w:lang w:val="en-US" w:eastAsia="zh-CN"/>
              </w:rPr>
              <w:t>与</w:t>
            </w:r>
            <w:r>
              <w:rPr>
                <w:lang w:val="en-US" w:eastAsia="zh-CN"/>
              </w:rPr>
              <w:t>320K</w:t>
            </w:r>
            <w:r>
              <w:rPr>
                <w:rFonts w:hint="eastAsia"/>
                <w:lang w:val="en-US" w:eastAsia="zh-CN"/>
              </w:rPr>
              <w:t>对应的比热容</w:t>
            </w:r>
            <w:r>
              <w:rPr>
                <w:lang w:val="en-US" w:eastAsia="zh-CN"/>
              </w:rPr>
              <w:t>2771J/(kg·K)</w:t>
            </w:r>
            <w:r>
              <w:rPr>
                <w:rFonts w:hint="eastAsia"/>
                <w:lang w:val="en-US" w:eastAsia="zh-CN"/>
              </w:rPr>
              <w:t>的内插值，</w:t>
            </w:r>
            <w:r>
              <w:rPr>
                <w:lang w:val="en-US" w:eastAsia="zh-CN"/>
              </w:rPr>
              <w:t>Hv=1.1324</w:t>
            </w:r>
            <w:r>
              <w:rPr>
                <w:rFonts w:hint="eastAsia"/>
                <w:lang w:val="en-US" w:eastAsia="zh-CN"/>
              </w:rPr>
              <w:t>×</w:t>
            </w:r>
            <w:r>
              <w:rPr>
                <w:lang w:val="en-US" w:eastAsia="zh-CN"/>
              </w:rPr>
              <w:t>10</w:t>
            </w:r>
            <w:r>
              <w:rPr>
                <w:vertAlign w:val="superscript"/>
                <w:lang w:val="en-US" w:eastAsia="zh-CN"/>
              </w:rPr>
              <w:t>6</w:t>
            </w:r>
            <w:r>
              <w:rPr>
                <w:lang w:val="en-US" w:eastAsia="zh-CN"/>
              </w:rPr>
              <w:t>J/kg</w:t>
            </w:r>
            <w:r>
              <w:rPr>
                <w:rFonts w:hint="eastAsia"/>
                <w:lang w:val="en-US" w:eastAsia="zh-CN"/>
              </w:rPr>
              <w:t>。</w:t>
            </w:r>
          </w:p>
        </w:tc>
      </w:tr>
    </w:tbl>
    <w:p w14:paraId="30745B22">
      <w:pPr>
        <w:pStyle w:val="14"/>
        <w:bidi w:val="0"/>
      </w:pPr>
    </w:p>
    <w:p w14:paraId="29CB7C58">
      <w:pPr>
        <w:pStyle w:val="15"/>
        <w:bidi w:val="0"/>
        <w:rPr>
          <w:lang w:val="en-US" w:eastAsia="zh-CN"/>
        </w:rPr>
      </w:pPr>
      <w:r>
        <w:t>表5-6 液氨热量蒸发（Q</w:t>
      </w:r>
      <w:r>
        <w:rPr>
          <w:vertAlign w:val="subscript"/>
        </w:rPr>
        <w:t>2</w:t>
      </w:r>
      <w:r>
        <w:t>）估算一览表</w:t>
      </w:r>
    </w:p>
    <w:tbl>
      <w:tblPr>
        <w:tblStyle w:val="11"/>
        <w:tblW w:w="868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72"/>
        <w:gridCol w:w="1318"/>
        <w:gridCol w:w="705"/>
        <w:gridCol w:w="813"/>
        <w:gridCol w:w="854"/>
        <w:gridCol w:w="989"/>
        <w:gridCol w:w="708"/>
        <w:gridCol w:w="1383"/>
        <w:gridCol w:w="1245"/>
      </w:tblGrid>
      <w:tr w14:paraId="3DB56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2" w:type="dxa"/>
            <w:tcBorders>
              <w:tl2br w:val="nil"/>
              <w:tr2bl w:val="nil"/>
            </w:tcBorders>
            <w:vAlign w:val="center"/>
          </w:tcPr>
          <w:p w14:paraId="6115843A">
            <w:pPr>
              <w:pStyle w:val="14"/>
              <w:bidi w:val="0"/>
              <w:rPr>
                <w:rFonts w:hint="eastAsia"/>
                <w:b/>
                <w:bCs/>
                <w:lang w:val="en-US" w:eastAsia="zh-CN"/>
              </w:rPr>
            </w:pPr>
            <w:r>
              <w:rPr>
                <w:rFonts w:hint="eastAsia"/>
                <w:b/>
                <w:bCs/>
                <w:lang w:val="en-US" w:eastAsia="zh-CN"/>
              </w:rPr>
              <w:t>物质</w:t>
            </w:r>
          </w:p>
        </w:tc>
        <w:tc>
          <w:tcPr>
            <w:tcW w:w="1318" w:type="dxa"/>
            <w:tcBorders>
              <w:tl2br w:val="nil"/>
              <w:tr2bl w:val="nil"/>
            </w:tcBorders>
            <w:vAlign w:val="center"/>
          </w:tcPr>
          <w:p w14:paraId="45DE8182">
            <w:pPr>
              <w:pStyle w:val="14"/>
              <w:bidi w:val="0"/>
              <w:rPr>
                <w:b/>
                <w:bCs/>
                <w:lang w:val="en-US" w:eastAsia="zh-CN"/>
              </w:rPr>
            </w:pPr>
            <w:r>
              <w:rPr>
                <w:b/>
                <w:bCs/>
                <w:lang w:val="en-US" w:eastAsia="zh-CN"/>
              </w:rPr>
              <w:t>λ(W/(m·K))</w:t>
            </w:r>
          </w:p>
        </w:tc>
        <w:tc>
          <w:tcPr>
            <w:tcW w:w="705" w:type="dxa"/>
            <w:tcBorders>
              <w:tl2br w:val="nil"/>
              <w:tr2bl w:val="nil"/>
            </w:tcBorders>
            <w:vAlign w:val="center"/>
          </w:tcPr>
          <w:p w14:paraId="696E74E4">
            <w:pPr>
              <w:pStyle w:val="14"/>
              <w:bidi w:val="0"/>
              <w:rPr>
                <w:b/>
                <w:bCs/>
                <w:lang w:val="en-US" w:eastAsia="zh-CN"/>
              </w:rPr>
            </w:pPr>
            <w:r>
              <w:rPr>
                <w:b/>
                <w:bCs/>
                <w:lang w:val="en-US" w:eastAsia="zh-CN"/>
              </w:rPr>
              <w:t>S(m</w:t>
            </w:r>
            <w:r>
              <w:rPr>
                <w:b/>
                <w:bCs/>
                <w:vertAlign w:val="superscript"/>
                <w:lang w:val="en-US" w:eastAsia="zh-CN"/>
              </w:rPr>
              <w:t>2</w:t>
            </w:r>
            <w:r>
              <w:rPr>
                <w:b/>
                <w:bCs/>
                <w:lang w:val="en-US" w:eastAsia="zh-CN"/>
              </w:rPr>
              <w:t>)</w:t>
            </w:r>
          </w:p>
        </w:tc>
        <w:tc>
          <w:tcPr>
            <w:tcW w:w="813" w:type="dxa"/>
            <w:tcBorders>
              <w:tl2br w:val="nil"/>
              <w:tr2bl w:val="nil"/>
            </w:tcBorders>
            <w:vAlign w:val="center"/>
          </w:tcPr>
          <w:p w14:paraId="581DD8B2">
            <w:pPr>
              <w:pStyle w:val="14"/>
              <w:bidi w:val="0"/>
              <w:rPr>
                <w:b/>
                <w:bCs/>
                <w:lang w:val="en-US" w:eastAsia="zh-CN"/>
              </w:rPr>
            </w:pPr>
            <w:r>
              <w:rPr>
                <w:b/>
                <w:bCs/>
                <w:lang w:val="en-US" w:eastAsia="zh-CN"/>
              </w:rPr>
              <w:t>T</w:t>
            </w:r>
            <w:r>
              <w:rPr>
                <w:b/>
                <w:bCs/>
                <w:vertAlign w:val="subscript"/>
                <w:lang w:val="en-US" w:eastAsia="zh-CN"/>
              </w:rPr>
              <w:t>0</w:t>
            </w:r>
            <w:r>
              <w:rPr>
                <w:b/>
                <w:bCs/>
                <w:lang w:val="en-US" w:eastAsia="zh-CN"/>
              </w:rPr>
              <w:t>(K)</w:t>
            </w:r>
          </w:p>
        </w:tc>
        <w:tc>
          <w:tcPr>
            <w:tcW w:w="854" w:type="dxa"/>
            <w:tcBorders>
              <w:tl2br w:val="nil"/>
              <w:tr2bl w:val="nil"/>
            </w:tcBorders>
            <w:vAlign w:val="center"/>
          </w:tcPr>
          <w:p w14:paraId="16B17929">
            <w:pPr>
              <w:pStyle w:val="14"/>
              <w:bidi w:val="0"/>
              <w:rPr>
                <w:b/>
                <w:bCs/>
                <w:lang w:val="en-US" w:eastAsia="zh-CN"/>
              </w:rPr>
            </w:pPr>
            <w:r>
              <w:rPr>
                <w:b/>
                <w:bCs/>
                <w:lang w:val="en-US" w:eastAsia="zh-CN"/>
              </w:rPr>
              <w:t>T</w:t>
            </w:r>
            <w:r>
              <w:rPr>
                <w:b/>
                <w:bCs/>
                <w:vertAlign w:val="subscript"/>
                <w:lang w:val="en-US" w:eastAsia="zh-CN"/>
              </w:rPr>
              <w:t>b</w:t>
            </w:r>
            <w:r>
              <w:rPr>
                <w:b/>
                <w:bCs/>
                <w:lang w:val="en-US" w:eastAsia="zh-CN"/>
              </w:rPr>
              <w:t>(K)</w:t>
            </w:r>
          </w:p>
        </w:tc>
        <w:tc>
          <w:tcPr>
            <w:tcW w:w="989" w:type="dxa"/>
            <w:tcBorders>
              <w:tl2br w:val="nil"/>
              <w:tr2bl w:val="nil"/>
            </w:tcBorders>
            <w:vAlign w:val="center"/>
          </w:tcPr>
          <w:p w14:paraId="40CD1544">
            <w:pPr>
              <w:pStyle w:val="14"/>
              <w:bidi w:val="0"/>
              <w:rPr>
                <w:b/>
                <w:bCs/>
                <w:lang w:val="en-US" w:eastAsia="zh-CN"/>
              </w:rPr>
            </w:pPr>
            <w:r>
              <w:rPr>
                <w:b/>
                <w:bCs/>
                <w:lang w:val="en-US" w:eastAsia="zh-CN"/>
              </w:rPr>
              <w:t>H(J/kg)</w:t>
            </w:r>
          </w:p>
        </w:tc>
        <w:tc>
          <w:tcPr>
            <w:tcW w:w="708" w:type="dxa"/>
            <w:tcBorders>
              <w:tl2br w:val="nil"/>
              <w:tr2bl w:val="nil"/>
            </w:tcBorders>
            <w:vAlign w:val="center"/>
          </w:tcPr>
          <w:p w14:paraId="45CABDB4">
            <w:pPr>
              <w:pStyle w:val="14"/>
              <w:bidi w:val="0"/>
              <w:rPr>
                <w:b/>
                <w:bCs/>
                <w:lang w:val="en-US" w:eastAsia="zh-CN"/>
              </w:rPr>
            </w:pPr>
            <w:r>
              <w:rPr>
                <w:b/>
                <w:bCs/>
                <w:lang w:val="en-US" w:eastAsia="zh-CN"/>
              </w:rPr>
              <w:t>t(s)</w:t>
            </w:r>
          </w:p>
        </w:tc>
        <w:tc>
          <w:tcPr>
            <w:tcW w:w="1383" w:type="dxa"/>
            <w:tcBorders>
              <w:tl2br w:val="nil"/>
              <w:tr2bl w:val="nil"/>
            </w:tcBorders>
            <w:vAlign w:val="center"/>
          </w:tcPr>
          <w:p w14:paraId="4F4230BA">
            <w:pPr>
              <w:pStyle w:val="14"/>
              <w:bidi w:val="0"/>
              <w:rPr>
                <w:b/>
                <w:bCs/>
                <w:lang w:val="en-US" w:eastAsia="zh-CN"/>
              </w:rPr>
            </w:pPr>
            <w:r>
              <w:rPr>
                <w:b/>
                <w:bCs/>
                <w:lang w:val="en-US" w:eastAsia="zh-CN"/>
              </w:rPr>
              <w:t>α(m</w:t>
            </w:r>
            <w:r>
              <w:rPr>
                <w:b/>
                <w:bCs/>
                <w:vertAlign w:val="superscript"/>
                <w:lang w:val="en-US" w:eastAsia="zh-CN"/>
              </w:rPr>
              <w:t>2</w:t>
            </w:r>
            <w:r>
              <w:rPr>
                <w:b/>
                <w:bCs/>
                <w:lang w:val="en-US" w:eastAsia="zh-CN"/>
              </w:rPr>
              <w:t>/s)</w:t>
            </w:r>
          </w:p>
        </w:tc>
        <w:tc>
          <w:tcPr>
            <w:tcW w:w="1245" w:type="dxa"/>
            <w:tcBorders>
              <w:tl2br w:val="nil"/>
              <w:tr2bl w:val="nil"/>
            </w:tcBorders>
            <w:vAlign w:val="center"/>
          </w:tcPr>
          <w:p w14:paraId="3232A3D4">
            <w:pPr>
              <w:pStyle w:val="14"/>
              <w:bidi w:val="0"/>
              <w:rPr>
                <w:b/>
                <w:bCs/>
                <w:lang w:val="en-US" w:eastAsia="zh-CN"/>
              </w:rPr>
            </w:pPr>
            <w:r>
              <w:rPr>
                <w:b/>
                <w:bCs/>
                <w:vertAlign w:val="baseline"/>
                <w:lang w:val="en-US" w:eastAsia="zh-CN"/>
              </w:rPr>
              <w:t>Q</w:t>
            </w:r>
            <w:r>
              <w:rPr>
                <w:b/>
                <w:bCs/>
                <w:vertAlign w:val="subscript"/>
                <w:lang w:val="en-US" w:eastAsia="zh-CN"/>
              </w:rPr>
              <w:t>2</w:t>
            </w:r>
            <w:r>
              <w:rPr>
                <w:b/>
                <w:bCs/>
                <w:lang w:val="en-US" w:eastAsia="zh-CN"/>
              </w:rPr>
              <w:t>(kg/s)</w:t>
            </w:r>
          </w:p>
        </w:tc>
      </w:tr>
      <w:tr w14:paraId="088E8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2" w:type="dxa"/>
            <w:tcBorders>
              <w:tl2br w:val="nil"/>
              <w:tr2bl w:val="nil"/>
            </w:tcBorders>
            <w:vAlign w:val="center"/>
          </w:tcPr>
          <w:p w14:paraId="6500B0EF">
            <w:pPr>
              <w:pStyle w:val="14"/>
              <w:bidi w:val="0"/>
              <w:rPr>
                <w:rFonts w:hint="eastAsia"/>
                <w:lang w:val="en-US" w:eastAsia="zh-CN"/>
              </w:rPr>
            </w:pPr>
            <w:r>
              <w:rPr>
                <w:rFonts w:hint="eastAsia"/>
                <w:lang w:val="en-US" w:eastAsia="zh-CN"/>
              </w:rPr>
              <w:t>液氨</w:t>
            </w:r>
          </w:p>
        </w:tc>
        <w:tc>
          <w:tcPr>
            <w:tcW w:w="1318" w:type="dxa"/>
            <w:tcBorders>
              <w:tl2br w:val="nil"/>
              <w:tr2bl w:val="nil"/>
            </w:tcBorders>
            <w:vAlign w:val="center"/>
          </w:tcPr>
          <w:p w14:paraId="1DE4D8A3">
            <w:pPr>
              <w:pStyle w:val="14"/>
              <w:bidi w:val="0"/>
              <w:rPr>
                <w:lang w:val="en-US" w:eastAsia="zh-CN"/>
              </w:rPr>
            </w:pPr>
            <w:r>
              <w:rPr>
                <w:lang w:val="en-US" w:eastAsia="zh-CN"/>
              </w:rPr>
              <w:t>1.1</w:t>
            </w:r>
          </w:p>
        </w:tc>
        <w:tc>
          <w:tcPr>
            <w:tcW w:w="705" w:type="dxa"/>
            <w:tcBorders>
              <w:tl2br w:val="nil"/>
              <w:tr2bl w:val="nil"/>
            </w:tcBorders>
            <w:vAlign w:val="center"/>
          </w:tcPr>
          <w:p w14:paraId="32320176">
            <w:pPr>
              <w:pStyle w:val="14"/>
              <w:bidi w:val="0"/>
              <w:rPr>
                <w:rFonts w:hint="default"/>
                <w:lang w:val="en-US" w:eastAsia="zh-CN"/>
              </w:rPr>
            </w:pPr>
            <w:r>
              <w:rPr>
                <w:rFonts w:hint="eastAsia"/>
                <w:lang w:val="en-US" w:eastAsia="zh-CN"/>
              </w:rPr>
              <w:t>562.36</w:t>
            </w:r>
          </w:p>
        </w:tc>
        <w:tc>
          <w:tcPr>
            <w:tcW w:w="813" w:type="dxa"/>
            <w:tcBorders>
              <w:tl2br w:val="nil"/>
              <w:tr2bl w:val="nil"/>
            </w:tcBorders>
            <w:vAlign w:val="center"/>
          </w:tcPr>
          <w:p w14:paraId="61797CA0">
            <w:pPr>
              <w:pStyle w:val="14"/>
              <w:bidi w:val="0"/>
              <w:rPr>
                <w:lang w:val="en-US" w:eastAsia="zh-CN"/>
              </w:rPr>
            </w:pPr>
            <w:r>
              <w:rPr>
                <w:lang w:val="en-US" w:eastAsia="zh-CN"/>
              </w:rPr>
              <w:t>298.15</w:t>
            </w:r>
          </w:p>
        </w:tc>
        <w:tc>
          <w:tcPr>
            <w:tcW w:w="854" w:type="dxa"/>
            <w:tcBorders>
              <w:tl2br w:val="nil"/>
              <w:tr2bl w:val="nil"/>
            </w:tcBorders>
            <w:vAlign w:val="center"/>
          </w:tcPr>
          <w:p w14:paraId="2FA034D5">
            <w:pPr>
              <w:pStyle w:val="14"/>
              <w:bidi w:val="0"/>
              <w:rPr>
                <w:lang w:val="en-US" w:eastAsia="zh-CN"/>
              </w:rPr>
            </w:pPr>
            <w:r>
              <w:rPr>
                <w:lang w:val="en-US" w:eastAsia="zh-CN"/>
              </w:rPr>
              <w:t>239.65</w:t>
            </w:r>
          </w:p>
        </w:tc>
        <w:tc>
          <w:tcPr>
            <w:tcW w:w="989" w:type="dxa"/>
            <w:tcBorders>
              <w:tl2br w:val="nil"/>
              <w:tr2bl w:val="nil"/>
            </w:tcBorders>
            <w:vAlign w:val="center"/>
          </w:tcPr>
          <w:p w14:paraId="3A8CAE3D">
            <w:pPr>
              <w:pStyle w:val="14"/>
              <w:bidi w:val="0"/>
              <w:rPr>
                <w:lang w:val="en-US" w:eastAsia="zh-CN"/>
              </w:rPr>
            </w:pPr>
            <w:r>
              <w:rPr>
                <w:lang w:val="en-US" w:eastAsia="zh-CN"/>
              </w:rPr>
              <w:t>1132400</w:t>
            </w:r>
          </w:p>
        </w:tc>
        <w:tc>
          <w:tcPr>
            <w:tcW w:w="708" w:type="dxa"/>
            <w:tcBorders>
              <w:tl2br w:val="nil"/>
              <w:tr2bl w:val="nil"/>
            </w:tcBorders>
            <w:vAlign w:val="center"/>
          </w:tcPr>
          <w:p w14:paraId="269E0263">
            <w:pPr>
              <w:pStyle w:val="14"/>
              <w:bidi w:val="0"/>
              <w:rPr>
                <w:lang w:val="en-US" w:eastAsia="zh-CN"/>
              </w:rPr>
            </w:pPr>
            <w:r>
              <w:rPr>
                <w:lang w:val="en-US" w:eastAsia="zh-CN"/>
              </w:rPr>
              <w:t>900</w:t>
            </w:r>
          </w:p>
        </w:tc>
        <w:tc>
          <w:tcPr>
            <w:tcW w:w="1383" w:type="dxa"/>
            <w:tcBorders>
              <w:tl2br w:val="nil"/>
              <w:tr2bl w:val="nil"/>
            </w:tcBorders>
            <w:vAlign w:val="center"/>
          </w:tcPr>
          <w:p w14:paraId="311FBF0F">
            <w:pPr>
              <w:pStyle w:val="14"/>
              <w:bidi w:val="0"/>
              <w:rPr>
                <w:lang w:val="en-US" w:eastAsia="zh-CN"/>
              </w:rPr>
            </w:pPr>
            <w:r>
              <w:rPr>
                <w:lang w:val="en-US" w:eastAsia="zh-CN"/>
              </w:rPr>
              <w:t>1.29×10</w:t>
            </w:r>
            <w:r>
              <w:rPr>
                <w:vertAlign w:val="superscript"/>
                <w:lang w:val="en-US" w:eastAsia="zh-CN"/>
              </w:rPr>
              <w:t>-7</w:t>
            </w:r>
          </w:p>
        </w:tc>
        <w:tc>
          <w:tcPr>
            <w:tcW w:w="1245" w:type="dxa"/>
            <w:tcBorders>
              <w:tl2br w:val="nil"/>
              <w:tr2bl w:val="nil"/>
            </w:tcBorders>
            <w:vAlign w:val="center"/>
          </w:tcPr>
          <w:p w14:paraId="35D3BCDD">
            <w:pPr>
              <w:pStyle w:val="14"/>
              <w:bidi w:val="0"/>
              <w:rPr>
                <w:rFonts w:hint="default"/>
                <w:lang w:val="en-US" w:eastAsia="zh-CN"/>
              </w:rPr>
            </w:pPr>
            <w:r>
              <w:rPr>
                <w:rFonts w:hint="eastAsia"/>
                <w:lang w:val="en-US" w:eastAsia="zh-CN"/>
              </w:rPr>
              <w:t>1.6733</w:t>
            </w:r>
          </w:p>
        </w:tc>
      </w:tr>
      <w:tr w14:paraId="79B6FA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687" w:type="dxa"/>
            <w:gridSpan w:val="9"/>
            <w:tcBorders>
              <w:tl2br w:val="nil"/>
              <w:tr2bl w:val="nil"/>
            </w:tcBorders>
            <w:vAlign w:val="center"/>
          </w:tcPr>
          <w:p w14:paraId="419A5EED">
            <w:pPr>
              <w:pStyle w:val="14"/>
              <w:bidi w:val="0"/>
              <w:rPr>
                <w:rFonts w:hint="eastAsia"/>
                <w:lang w:val="en-US" w:eastAsia="zh-CN"/>
              </w:rPr>
            </w:pPr>
            <w:r>
              <w:rPr>
                <w:rFonts w:hint="eastAsia"/>
                <w:lang w:val="en-US" w:eastAsia="zh-CN"/>
              </w:rPr>
              <w:t>注：（</w:t>
            </w:r>
            <w:r>
              <w:rPr>
                <w:lang w:val="en-US" w:eastAsia="zh-CN"/>
              </w:rPr>
              <w:t>1</w:t>
            </w:r>
            <w:r>
              <w:rPr>
                <w:rFonts w:hint="eastAsia"/>
                <w:lang w:val="en-US" w:eastAsia="zh-CN"/>
              </w:rPr>
              <w:t>）蒸发时间按</w:t>
            </w:r>
            <w:r>
              <w:rPr>
                <w:lang w:val="en-US" w:eastAsia="zh-CN"/>
              </w:rPr>
              <w:t>15min</w:t>
            </w:r>
            <w:r>
              <w:rPr>
                <w:rFonts w:hint="eastAsia"/>
                <w:lang w:val="en-US" w:eastAsia="zh-CN"/>
              </w:rPr>
              <w:t>计。</w:t>
            </w:r>
          </w:p>
        </w:tc>
      </w:tr>
    </w:tbl>
    <w:p w14:paraId="1DD3C7D9">
      <w:pPr>
        <w:pStyle w:val="15"/>
        <w:bidi w:val="0"/>
      </w:pPr>
    </w:p>
    <w:p w14:paraId="14096865">
      <w:pPr>
        <w:pStyle w:val="15"/>
        <w:bidi w:val="0"/>
        <w:rPr>
          <w:lang w:val="en-US" w:eastAsia="zh-CN"/>
        </w:rPr>
      </w:pPr>
      <w:r>
        <w:t>表5-7 液氨质量蒸发（Q</w:t>
      </w:r>
      <w:r>
        <w:rPr>
          <w:vertAlign w:val="subscript"/>
        </w:rPr>
        <w:t>3</w:t>
      </w:r>
      <w:r>
        <w:t>）估算一览表</w:t>
      </w:r>
    </w:p>
    <w:tbl>
      <w:tblPr>
        <w:tblStyle w:val="11"/>
        <w:tblW w:w="85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72"/>
        <w:gridCol w:w="1211"/>
        <w:gridCol w:w="921"/>
        <w:gridCol w:w="790"/>
        <w:gridCol w:w="802"/>
        <w:gridCol w:w="1092"/>
        <w:gridCol w:w="567"/>
        <w:gridCol w:w="1052"/>
        <w:gridCol w:w="460"/>
        <w:gridCol w:w="958"/>
      </w:tblGrid>
      <w:tr w14:paraId="50D1A0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2" w:type="dxa"/>
            <w:tcBorders>
              <w:tl2br w:val="nil"/>
              <w:tr2bl w:val="nil"/>
            </w:tcBorders>
            <w:vAlign w:val="center"/>
          </w:tcPr>
          <w:p w14:paraId="2641C70C">
            <w:pPr>
              <w:pStyle w:val="14"/>
              <w:bidi w:val="0"/>
              <w:rPr>
                <w:rFonts w:hint="eastAsia"/>
                <w:b/>
                <w:bCs/>
                <w:lang w:val="en-US" w:eastAsia="zh-CN"/>
              </w:rPr>
            </w:pPr>
            <w:r>
              <w:rPr>
                <w:rFonts w:hint="eastAsia"/>
                <w:b/>
                <w:bCs/>
                <w:lang w:val="en-US" w:eastAsia="zh-CN"/>
              </w:rPr>
              <w:t>物质</w:t>
            </w:r>
          </w:p>
        </w:tc>
        <w:tc>
          <w:tcPr>
            <w:tcW w:w="1211" w:type="dxa"/>
            <w:tcBorders>
              <w:tl2br w:val="nil"/>
              <w:tr2bl w:val="nil"/>
            </w:tcBorders>
            <w:vAlign w:val="center"/>
          </w:tcPr>
          <w:p w14:paraId="7CA55D75">
            <w:pPr>
              <w:pStyle w:val="14"/>
              <w:bidi w:val="0"/>
              <w:rPr>
                <w:rFonts w:hint="eastAsia"/>
                <w:b/>
                <w:bCs/>
                <w:lang w:val="en-US" w:eastAsia="zh-CN"/>
              </w:rPr>
            </w:pPr>
            <w:r>
              <w:rPr>
                <w:rFonts w:hint="eastAsia"/>
                <w:b/>
                <w:bCs/>
                <w:lang w:val="en-US" w:eastAsia="zh-CN"/>
              </w:rPr>
              <w:t>大气稳定度</w:t>
            </w:r>
          </w:p>
        </w:tc>
        <w:tc>
          <w:tcPr>
            <w:tcW w:w="921" w:type="dxa"/>
            <w:tcBorders>
              <w:tl2br w:val="nil"/>
              <w:tr2bl w:val="nil"/>
            </w:tcBorders>
            <w:vAlign w:val="center"/>
          </w:tcPr>
          <w:p w14:paraId="6E1D02F2">
            <w:pPr>
              <w:pStyle w:val="14"/>
              <w:bidi w:val="0"/>
              <w:rPr>
                <w:b/>
                <w:bCs/>
                <w:lang w:val="en-US" w:eastAsia="zh-CN"/>
              </w:rPr>
            </w:pPr>
            <w:r>
              <w:rPr>
                <w:b/>
                <w:bCs/>
                <w:lang w:val="en-US" w:eastAsia="zh-CN"/>
              </w:rPr>
              <w:t>u(m/s)</w:t>
            </w:r>
          </w:p>
        </w:tc>
        <w:tc>
          <w:tcPr>
            <w:tcW w:w="790" w:type="dxa"/>
            <w:tcBorders>
              <w:tl2br w:val="nil"/>
              <w:tr2bl w:val="nil"/>
            </w:tcBorders>
            <w:vAlign w:val="center"/>
          </w:tcPr>
          <w:p w14:paraId="2856A69D">
            <w:pPr>
              <w:pStyle w:val="14"/>
              <w:bidi w:val="0"/>
              <w:rPr>
                <w:b/>
                <w:bCs/>
                <w:lang w:val="en-US" w:eastAsia="zh-CN"/>
              </w:rPr>
            </w:pPr>
            <w:r>
              <w:rPr>
                <w:b/>
                <w:bCs/>
                <w:lang w:val="en-US" w:eastAsia="zh-CN"/>
              </w:rPr>
              <w:t>T</w:t>
            </w:r>
            <w:r>
              <w:rPr>
                <w:b/>
                <w:bCs/>
                <w:vertAlign w:val="subscript"/>
                <w:lang w:val="en-US" w:eastAsia="zh-CN"/>
              </w:rPr>
              <w:t>0</w:t>
            </w:r>
            <w:r>
              <w:rPr>
                <w:b/>
                <w:bCs/>
                <w:lang w:val="en-US" w:eastAsia="zh-CN"/>
              </w:rPr>
              <w:t>(K)</w:t>
            </w:r>
          </w:p>
        </w:tc>
        <w:tc>
          <w:tcPr>
            <w:tcW w:w="802" w:type="dxa"/>
            <w:tcBorders>
              <w:tl2br w:val="nil"/>
              <w:tr2bl w:val="nil"/>
            </w:tcBorders>
            <w:vAlign w:val="center"/>
          </w:tcPr>
          <w:p w14:paraId="289C64AE">
            <w:pPr>
              <w:pStyle w:val="14"/>
              <w:bidi w:val="0"/>
              <w:rPr>
                <w:b/>
                <w:bCs/>
                <w:lang w:val="en-US" w:eastAsia="zh-CN"/>
              </w:rPr>
            </w:pPr>
            <w:r>
              <w:rPr>
                <w:rFonts w:hint="eastAsia"/>
                <w:b/>
                <w:bCs/>
                <w:lang w:val="en-US" w:eastAsia="zh-CN"/>
              </w:rPr>
              <w:t>P</w:t>
            </w:r>
            <w:r>
              <w:rPr>
                <w:b/>
                <w:bCs/>
                <w:lang w:val="en-US" w:eastAsia="zh-CN"/>
              </w:rPr>
              <w:t>(Pa)</w:t>
            </w:r>
          </w:p>
        </w:tc>
        <w:tc>
          <w:tcPr>
            <w:tcW w:w="1092" w:type="dxa"/>
            <w:tcBorders>
              <w:tl2br w:val="nil"/>
              <w:tr2bl w:val="nil"/>
            </w:tcBorders>
            <w:vAlign w:val="center"/>
          </w:tcPr>
          <w:p w14:paraId="1D63AEBD">
            <w:pPr>
              <w:pStyle w:val="14"/>
              <w:bidi w:val="0"/>
              <w:rPr>
                <w:b/>
                <w:bCs/>
                <w:lang w:val="en-US" w:eastAsia="zh-CN"/>
              </w:rPr>
            </w:pPr>
            <w:r>
              <w:rPr>
                <w:b/>
                <w:bCs/>
                <w:lang w:val="en-US" w:eastAsia="zh-CN"/>
              </w:rPr>
              <w:t>M(kg/mol)</w:t>
            </w:r>
          </w:p>
        </w:tc>
        <w:tc>
          <w:tcPr>
            <w:tcW w:w="567" w:type="dxa"/>
            <w:tcBorders>
              <w:tl2br w:val="nil"/>
              <w:tr2bl w:val="nil"/>
            </w:tcBorders>
            <w:vAlign w:val="center"/>
          </w:tcPr>
          <w:p w14:paraId="0CC64AD3">
            <w:pPr>
              <w:pStyle w:val="14"/>
              <w:bidi w:val="0"/>
              <w:rPr>
                <w:b/>
                <w:bCs/>
                <w:lang w:val="en-US" w:eastAsia="zh-CN"/>
              </w:rPr>
            </w:pPr>
            <w:r>
              <w:rPr>
                <w:b/>
                <w:bCs/>
                <w:lang w:val="en-US" w:eastAsia="zh-CN"/>
              </w:rPr>
              <w:t>r(m)</w:t>
            </w:r>
          </w:p>
        </w:tc>
        <w:tc>
          <w:tcPr>
            <w:tcW w:w="1052" w:type="dxa"/>
            <w:tcBorders>
              <w:tl2br w:val="nil"/>
              <w:tr2bl w:val="nil"/>
            </w:tcBorders>
            <w:vAlign w:val="center"/>
          </w:tcPr>
          <w:p w14:paraId="7CDB0B92">
            <w:pPr>
              <w:pStyle w:val="14"/>
              <w:bidi w:val="0"/>
              <w:rPr>
                <w:b/>
                <w:bCs/>
                <w:lang w:val="en-US" w:eastAsia="zh-CN"/>
              </w:rPr>
            </w:pPr>
            <w:r>
              <w:rPr>
                <w:b/>
                <w:bCs/>
                <w:lang w:val="en-US" w:eastAsia="zh-CN"/>
              </w:rPr>
              <w:t>α</w:t>
            </w:r>
          </w:p>
        </w:tc>
        <w:tc>
          <w:tcPr>
            <w:tcW w:w="460" w:type="dxa"/>
            <w:tcBorders>
              <w:tl2br w:val="nil"/>
              <w:tr2bl w:val="nil"/>
            </w:tcBorders>
            <w:vAlign w:val="center"/>
          </w:tcPr>
          <w:p w14:paraId="6D953676">
            <w:pPr>
              <w:pStyle w:val="14"/>
              <w:bidi w:val="0"/>
              <w:rPr>
                <w:b/>
                <w:bCs/>
                <w:lang w:val="en-US" w:eastAsia="zh-CN"/>
              </w:rPr>
            </w:pPr>
            <w:r>
              <w:rPr>
                <w:b/>
                <w:bCs/>
                <w:lang w:val="en-US" w:eastAsia="zh-CN"/>
              </w:rPr>
              <w:t>n</w:t>
            </w:r>
          </w:p>
        </w:tc>
        <w:tc>
          <w:tcPr>
            <w:tcW w:w="958" w:type="dxa"/>
            <w:tcBorders>
              <w:tl2br w:val="nil"/>
              <w:tr2bl w:val="nil"/>
            </w:tcBorders>
            <w:vAlign w:val="center"/>
          </w:tcPr>
          <w:p w14:paraId="0202F3BE">
            <w:pPr>
              <w:pStyle w:val="14"/>
              <w:bidi w:val="0"/>
              <w:rPr>
                <w:b/>
                <w:bCs/>
                <w:lang w:val="en-US" w:eastAsia="zh-CN"/>
              </w:rPr>
            </w:pPr>
            <w:r>
              <w:rPr>
                <w:b/>
                <w:bCs/>
                <w:lang w:val="en-US" w:eastAsia="zh-CN"/>
              </w:rPr>
              <w:t>Q</w:t>
            </w:r>
            <w:r>
              <w:rPr>
                <w:b/>
                <w:bCs/>
                <w:vertAlign w:val="subscript"/>
                <w:lang w:val="en-US" w:eastAsia="zh-CN"/>
              </w:rPr>
              <w:t>3</w:t>
            </w:r>
            <w:r>
              <w:rPr>
                <w:b/>
                <w:bCs/>
                <w:lang w:val="en-US" w:eastAsia="zh-CN"/>
              </w:rPr>
              <w:t>(kg/s)</w:t>
            </w:r>
          </w:p>
        </w:tc>
      </w:tr>
      <w:tr w14:paraId="04C52D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2" w:type="dxa"/>
            <w:tcBorders>
              <w:tl2br w:val="nil"/>
              <w:tr2bl w:val="nil"/>
            </w:tcBorders>
            <w:vAlign w:val="center"/>
          </w:tcPr>
          <w:p w14:paraId="22205030">
            <w:pPr>
              <w:pStyle w:val="14"/>
              <w:bidi w:val="0"/>
              <w:rPr>
                <w:rFonts w:hint="eastAsia"/>
                <w:lang w:val="en-US" w:eastAsia="zh-CN"/>
              </w:rPr>
            </w:pPr>
            <w:r>
              <w:rPr>
                <w:rFonts w:hint="eastAsia"/>
                <w:lang w:val="en-US" w:eastAsia="zh-CN"/>
              </w:rPr>
              <w:t>液氨</w:t>
            </w:r>
          </w:p>
        </w:tc>
        <w:tc>
          <w:tcPr>
            <w:tcW w:w="1211" w:type="dxa"/>
            <w:tcBorders>
              <w:tl2br w:val="nil"/>
              <w:tr2bl w:val="nil"/>
            </w:tcBorders>
            <w:vAlign w:val="center"/>
          </w:tcPr>
          <w:p w14:paraId="169B92C1">
            <w:pPr>
              <w:pStyle w:val="14"/>
              <w:bidi w:val="0"/>
              <w:rPr>
                <w:lang w:val="en-US" w:eastAsia="zh-CN"/>
              </w:rPr>
            </w:pPr>
            <w:r>
              <w:rPr>
                <w:lang w:val="en-US" w:eastAsia="zh-CN"/>
              </w:rPr>
              <w:t>F</w:t>
            </w:r>
          </w:p>
        </w:tc>
        <w:tc>
          <w:tcPr>
            <w:tcW w:w="921" w:type="dxa"/>
            <w:tcBorders>
              <w:tl2br w:val="nil"/>
              <w:tr2bl w:val="nil"/>
            </w:tcBorders>
            <w:vAlign w:val="center"/>
          </w:tcPr>
          <w:p w14:paraId="5EFD6497">
            <w:pPr>
              <w:pStyle w:val="14"/>
              <w:bidi w:val="0"/>
              <w:rPr>
                <w:lang w:val="en-US" w:eastAsia="zh-CN"/>
              </w:rPr>
            </w:pPr>
            <w:r>
              <w:rPr>
                <w:lang w:val="en-US" w:eastAsia="zh-CN"/>
              </w:rPr>
              <w:t>1.5</w:t>
            </w:r>
          </w:p>
        </w:tc>
        <w:tc>
          <w:tcPr>
            <w:tcW w:w="790" w:type="dxa"/>
            <w:tcBorders>
              <w:tl2br w:val="nil"/>
              <w:tr2bl w:val="nil"/>
            </w:tcBorders>
            <w:vAlign w:val="center"/>
          </w:tcPr>
          <w:p w14:paraId="41AE27A5">
            <w:pPr>
              <w:pStyle w:val="14"/>
              <w:bidi w:val="0"/>
              <w:rPr>
                <w:lang w:val="en-US" w:eastAsia="zh-CN"/>
              </w:rPr>
            </w:pPr>
            <w:r>
              <w:rPr>
                <w:lang w:val="en-US" w:eastAsia="zh-CN"/>
              </w:rPr>
              <w:t>298.15</w:t>
            </w:r>
          </w:p>
        </w:tc>
        <w:tc>
          <w:tcPr>
            <w:tcW w:w="802" w:type="dxa"/>
            <w:tcBorders>
              <w:tl2br w:val="nil"/>
              <w:tr2bl w:val="nil"/>
            </w:tcBorders>
            <w:vAlign w:val="center"/>
          </w:tcPr>
          <w:p w14:paraId="3397F229">
            <w:pPr>
              <w:pStyle w:val="14"/>
              <w:bidi w:val="0"/>
              <w:rPr>
                <w:lang w:val="en-US" w:eastAsia="zh-CN"/>
              </w:rPr>
            </w:pPr>
            <w:r>
              <w:rPr>
                <w:lang w:val="en-US" w:eastAsia="zh-CN"/>
              </w:rPr>
              <w:t>103206</w:t>
            </w:r>
          </w:p>
        </w:tc>
        <w:tc>
          <w:tcPr>
            <w:tcW w:w="1092" w:type="dxa"/>
            <w:tcBorders>
              <w:tl2br w:val="nil"/>
              <w:tr2bl w:val="nil"/>
            </w:tcBorders>
            <w:vAlign w:val="center"/>
          </w:tcPr>
          <w:p w14:paraId="4CE5620A">
            <w:pPr>
              <w:pStyle w:val="14"/>
              <w:bidi w:val="0"/>
              <w:rPr>
                <w:lang w:val="en-US" w:eastAsia="zh-CN"/>
              </w:rPr>
            </w:pPr>
            <w:r>
              <w:rPr>
                <w:lang w:val="en-US" w:eastAsia="zh-CN"/>
              </w:rPr>
              <w:t>0.017</w:t>
            </w:r>
          </w:p>
        </w:tc>
        <w:tc>
          <w:tcPr>
            <w:tcW w:w="567" w:type="dxa"/>
            <w:tcBorders>
              <w:tl2br w:val="nil"/>
              <w:tr2bl w:val="nil"/>
            </w:tcBorders>
            <w:vAlign w:val="center"/>
          </w:tcPr>
          <w:p w14:paraId="1372B1D3">
            <w:pPr>
              <w:pStyle w:val="14"/>
              <w:bidi w:val="0"/>
              <w:rPr>
                <w:lang w:val="en-US" w:eastAsia="zh-CN"/>
              </w:rPr>
            </w:pPr>
            <w:r>
              <w:rPr>
                <w:lang w:val="en-US" w:eastAsia="zh-CN"/>
              </w:rPr>
              <w:t>1.5</w:t>
            </w:r>
          </w:p>
        </w:tc>
        <w:tc>
          <w:tcPr>
            <w:tcW w:w="1052" w:type="dxa"/>
            <w:tcBorders>
              <w:tl2br w:val="nil"/>
              <w:tr2bl w:val="nil"/>
            </w:tcBorders>
            <w:vAlign w:val="center"/>
          </w:tcPr>
          <w:p w14:paraId="07E83E00">
            <w:pPr>
              <w:pStyle w:val="14"/>
              <w:bidi w:val="0"/>
              <w:rPr>
                <w:lang w:val="en-US" w:eastAsia="zh-CN"/>
              </w:rPr>
            </w:pPr>
            <w:r>
              <w:rPr>
                <w:lang w:val="en-US" w:eastAsia="zh-CN"/>
              </w:rPr>
              <w:t>5.285×10</w:t>
            </w:r>
            <w:r>
              <w:rPr>
                <w:vertAlign w:val="superscript"/>
                <w:lang w:val="en-US" w:eastAsia="zh-CN"/>
              </w:rPr>
              <w:t>-3</w:t>
            </w:r>
          </w:p>
        </w:tc>
        <w:tc>
          <w:tcPr>
            <w:tcW w:w="460" w:type="dxa"/>
            <w:tcBorders>
              <w:tl2br w:val="nil"/>
              <w:tr2bl w:val="nil"/>
            </w:tcBorders>
            <w:vAlign w:val="center"/>
          </w:tcPr>
          <w:p w14:paraId="681147FC">
            <w:pPr>
              <w:pStyle w:val="14"/>
              <w:bidi w:val="0"/>
              <w:rPr>
                <w:lang w:val="en-US" w:eastAsia="zh-CN"/>
              </w:rPr>
            </w:pPr>
            <w:r>
              <w:rPr>
                <w:lang w:val="en-US" w:eastAsia="zh-CN"/>
              </w:rPr>
              <w:t>0.3</w:t>
            </w:r>
          </w:p>
        </w:tc>
        <w:tc>
          <w:tcPr>
            <w:tcW w:w="958" w:type="dxa"/>
            <w:tcBorders>
              <w:tl2br w:val="nil"/>
              <w:tr2bl w:val="nil"/>
            </w:tcBorders>
            <w:vAlign w:val="center"/>
          </w:tcPr>
          <w:p w14:paraId="601F86FF">
            <w:pPr>
              <w:pStyle w:val="14"/>
              <w:bidi w:val="0"/>
              <w:rPr>
                <w:lang w:val="en-US" w:eastAsia="zh-CN"/>
              </w:rPr>
            </w:pPr>
            <w:r>
              <w:rPr>
                <w:rFonts w:hint="eastAsia"/>
                <w:lang w:val="en-US" w:eastAsia="zh-CN"/>
              </w:rPr>
              <w:t>0.4004</w:t>
            </w:r>
          </w:p>
        </w:tc>
      </w:tr>
      <w:tr w14:paraId="4D9651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525" w:type="dxa"/>
            <w:gridSpan w:val="10"/>
            <w:tcBorders>
              <w:tl2br w:val="nil"/>
              <w:tr2bl w:val="nil"/>
            </w:tcBorders>
            <w:vAlign w:val="center"/>
          </w:tcPr>
          <w:p w14:paraId="16C26643">
            <w:pPr>
              <w:pStyle w:val="14"/>
              <w:bidi w:val="0"/>
              <w:rPr>
                <w:rFonts w:hint="eastAsia"/>
                <w:lang w:val="en-US" w:eastAsia="zh-CN"/>
              </w:rPr>
            </w:pPr>
            <w:r>
              <w:rPr>
                <w:rFonts w:hint="eastAsia"/>
                <w:lang w:val="en-US" w:eastAsia="zh-CN"/>
              </w:rPr>
              <w:t>注：（</w:t>
            </w:r>
            <w:r>
              <w:rPr>
                <w:lang w:val="en-US" w:eastAsia="zh-CN"/>
              </w:rPr>
              <w:t>1</w:t>
            </w:r>
            <w:r>
              <w:rPr>
                <w:rFonts w:hint="eastAsia"/>
                <w:lang w:val="en-US" w:eastAsia="zh-CN"/>
              </w:rPr>
              <w:t>）由于泄漏后液氨处于常温常压的状态，其沸点温度为</w:t>
            </w:r>
            <w:r>
              <w:rPr>
                <w:lang w:val="en-US" w:eastAsia="zh-CN"/>
              </w:rPr>
              <w:t>-33.5</w:t>
            </w:r>
            <w:r>
              <w:rPr>
                <w:rFonts w:hint="eastAsia"/>
                <w:lang w:val="en-US" w:eastAsia="zh-CN"/>
              </w:rPr>
              <w:t>℃，根据《化学化工物性数据手册 无机卷 增订版》，</w:t>
            </w:r>
            <w:r>
              <w:rPr>
                <w:lang w:val="en-US" w:eastAsia="zh-CN"/>
              </w:rPr>
              <w:t>-33.5</w:t>
            </w:r>
            <w:r>
              <w:rPr>
                <w:rFonts w:hint="eastAsia"/>
                <w:lang w:val="en-US" w:eastAsia="zh-CN"/>
              </w:rPr>
              <w:t>℃、常压下液氨的</w:t>
            </w:r>
            <w:r>
              <w:rPr>
                <w:lang w:val="en-US" w:eastAsia="zh-CN"/>
              </w:rPr>
              <w:t>p</w:t>
            </w:r>
            <w:r>
              <w:rPr>
                <w:rFonts w:hint="eastAsia"/>
                <w:lang w:val="en-US" w:eastAsia="zh-CN"/>
              </w:rPr>
              <w:t>参考取</w:t>
            </w:r>
            <w:r>
              <w:rPr>
                <w:lang w:val="en-US" w:eastAsia="zh-CN"/>
              </w:rPr>
              <w:t>-32</w:t>
            </w:r>
            <w:r>
              <w:rPr>
                <w:rFonts w:hint="eastAsia"/>
                <w:lang w:val="en-US" w:eastAsia="zh-CN"/>
              </w:rPr>
              <w:t>℃对应的蒸气压</w:t>
            </w:r>
            <w:r>
              <w:rPr>
                <w:lang w:val="en-US" w:eastAsia="zh-CN"/>
              </w:rPr>
              <w:t>108.37kPa</w:t>
            </w:r>
            <w:r>
              <w:rPr>
                <w:rFonts w:hint="eastAsia"/>
                <w:lang w:val="en-US" w:eastAsia="zh-CN"/>
              </w:rPr>
              <w:t>与</w:t>
            </w:r>
            <w:r>
              <w:rPr>
                <w:lang w:val="en-US" w:eastAsia="zh-CN"/>
              </w:rPr>
              <w:t>-34</w:t>
            </w:r>
            <w:r>
              <w:rPr>
                <w:rFonts w:hint="eastAsia"/>
                <w:lang w:val="en-US" w:eastAsia="zh-CN"/>
              </w:rPr>
              <w:t>℃对应的蒸气压</w:t>
            </w:r>
            <w:r>
              <w:rPr>
                <w:lang w:val="en-US" w:eastAsia="zh-CN"/>
              </w:rPr>
              <w:t>98.042kPa</w:t>
            </w:r>
            <w:r>
              <w:rPr>
                <w:rFonts w:hint="eastAsia"/>
                <w:lang w:val="en-US" w:eastAsia="zh-CN"/>
              </w:rPr>
              <w:t>的内插值；（</w:t>
            </w:r>
            <w:r>
              <w:rPr>
                <w:lang w:val="en-US" w:eastAsia="zh-CN"/>
              </w:rPr>
              <w:t>2</w:t>
            </w:r>
            <w:r>
              <w:rPr>
                <w:rFonts w:hint="eastAsia"/>
                <w:lang w:val="en-US" w:eastAsia="zh-CN"/>
              </w:rPr>
              <w:t>）</w:t>
            </w:r>
            <w:r>
              <w:rPr>
                <w:lang w:val="en-US" w:eastAsia="zh-CN"/>
              </w:rPr>
              <w:t>r</w:t>
            </w:r>
            <w:r>
              <w:rPr>
                <w:rFonts w:hint="eastAsia"/>
                <w:lang w:val="en-US" w:eastAsia="zh-CN"/>
              </w:rPr>
              <w:t>由液池面积计算得。</w:t>
            </w:r>
          </w:p>
        </w:tc>
      </w:tr>
    </w:tbl>
    <w:p w14:paraId="6D1A1EB5">
      <w:pPr>
        <w:pStyle w:val="14"/>
        <w:bidi w:val="0"/>
        <w:rPr>
          <w:lang w:val="en-US" w:eastAsia="zh-CN"/>
        </w:rPr>
      </w:pPr>
    </w:p>
    <w:p w14:paraId="041B06C3">
      <w:pPr>
        <w:bidi w:val="0"/>
        <w:ind w:firstLine="480" w:firstLineChars="200"/>
        <w:rPr>
          <w:lang w:val="en-US" w:eastAsia="zh-CN"/>
        </w:rPr>
      </w:pPr>
      <w:r>
        <w:rPr>
          <w:lang w:val="en-US" w:eastAsia="zh-CN"/>
        </w:rPr>
        <w:t>根据HJ169-2018，液体泄漏速率Q</w:t>
      </w:r>
      <w:r>
        <w:rPr>
          <w:vertAlign w:val="subscript"/>
          <w:lang w:val="en-US" w:eastAsia="zh-CN"/>
        </w:rPr>
        <w:t>LG</w:t>
      </w:r>
      <w:r>
        <w:rPr>
          <w:lang w:val="en-US" w:eastAsia="zh-CN"/>
        </w:rPr>
        <w:t>=0.</w:t>
      </w:r>
      <w:r>
        <w:rPr>
          <w:rFonts w:hint="eastAsia"/>
          <w:lang w:val="en-US" w:eastAsia="zh-CN"/>
        </w:rPr>
        <w:t>10666</w:t>
      </w:r>
      <w:r>
        <w:rPr>
          <w:lang w:val="en-US" w:eastAsia="zh-CN"/>
        </w:rPr>
        <w:t>kg/s，泄漏时间按10min计，泄漏量为</w:t>
      </w:r>
      <w:r>
        <w:rPr>
          <w:rFonts w:hint="eastAsia"/>
          <w:lang w:val="en-US" w:eastAsia="zh-CN"/>
        </w:rPr>
        <w:t>3839.76</w:t>
      </w:r>
      <w:r>
        <w:rPr>
          <w:lang w:val="en-US" w:eastAsia="zh-CN"/>
        </w:rPr>
        <w:t>kg，液体蒸发时间应结合物质特性、气象条件、工况等综合考虑，一般情况下，可按15~30min计，本项目取值15min，液氨蒸发总量Wp=Q</w:t>
      </w:r>
      <w:r>
        <w:rPr>
          <w:vertAlign w:val="subscript"/>
          <w:lang w:val="en-US" w:eastAsia="zh-CN"/>
        </w:rPr>
        <w:t>1</w:t>
      </w:r>
      <w:r>
        <w:rPr>
          <w:lang w:val="en-US" w:eastAsia="zh-CN"/>
        </w:rPr>
        <w:t>t1+Q</w:t>
      </w:r>
      <w:r>
        <w:rPr>
          <w:vertAlign w:val="subscript"/>
          <w:lang w:val="en-US" w:eastAsia="zh-CN"/>
        </w:rPr>
        <w:t>2</w:t>
      </w:r>
      <w:r>
        <w:rPr>
          <w:lang w:val="en-US" w:eastAsia="zh-CN"/>
        </w:rPr>
        <w:t>t</w:t>
      </w:r>
      <w:r>
        <w:rPr>
          <w:vertAlign w:val="subscript"/>
          <w:lang w:val="en-US" w:eastAsia="zh-CN"/>
        </w:rPr>
        <w:t>2</w:t>
      </w:r>
      <w:r>
        <w:rPr>
          <w:lang w:val="en-US" w:eastAsia="zh-CN"/>
        </w:rPr>
        <w:t>+Q</w:t>
      </w:r>
      <w:r>
        <w:rPr>
          <w:vertAlign w:val="subscript"/>
          <w:lang w:val="en-US" w:eastAsia="zh-CN"/>
        </w:rPr>
        <w:t>3</w:t>
      </w:r>
      <w:r>
        <w:rPr>
          <w:lang w:val="en-US" w:eastAsia="zh-CN"/>
        </w:rPr>
        <w:t>t</w:t>
      </w:r>
      <w:r>
        <w:rPr>
          <w:vertAlign w:val="subscript"/>
          <w:lang w:val="en-US" w:eastAsia="zh-CN"/>
        </w:rPr>
        <w:t>3</w:t>
      </w:r>
      <w:r>
        <w:rPr>
          <w:lang w:val="en-US" w:eastAsia="zh-CN"/>
        </w:rPr>
        <w:t>=</w:t>
      </w:r>
      <w:r>
        <w:rPr>
          <w:rFonts w:hint="eastAsia"/>
          <w:lang w:val="en-US" w:eastAsia="zh-CN"/>
        </w:rPr>
        <w:t>1886.49</w:t>
      </w:r>
      <w:r>
        <w:rPr>
          <w:lang w:val="en-US" w:eastAsia="zh-CN"/>
        </w:rPr>
        <w:t>kg。</w:t>
      </w:r>
    </w:p>
    <w:p w14:paraId="45FF8AAE">
      <w:pPr>
        <w:pStyle w:val="4"/>
        <w:bidi w:val="0"/>
        <w:rPr>
          <w:lang w:val="en-US" w:eastAsia="zh-CN"/>
        </w:rPr>
      </w:pPr>
      <w:r>
        <w:rPr>
          <w:rFonts w:hint="eastAsia"/>
          <w:lang w:val="en-US" w:eastAsia="zh-CN"/>
        </w:rPr>
        <w:t>5.2.2</w:t>
      </w:r>
      <w:r>
        <w:rPr>
          <w:lang w:val="en-US" w:eastAsia="zh-CN"/>
        </w:rPr>
        <w:t>氨水泄漏源强估算</w:t>
      </w:r>
    </w:p>
    <w:p w14:paraId="04C0115F">
      <w:pPr>
        <w:bidi w:val="0"/>
        <w:ind w:firstLine="480" w:firstLineChars="200"/>
        <w:rPr>
          <w:lang w:val="en-US" w:eastAsia="zh-CN"/>
        </w:rPr>
      </w:pPr>
      <w:r>
        <w:rPr>
          <w:lang w:val="en-US" w:eastAsia="zh-CN"/>
        </w:rPr>
        <w:t>本项目氨水（25%）最大可信事件为氨水管线（温度32-33℃，压强0.1-0.3MPa）管径为</w:t>
      </w:r>
      <w:r>
        <w:rPr>
          <w:rFonts w:hint="eastAsia"/>
          <w:lang w:val="en-US" w:eastAsia="zh-CN"/>
        </w:rPr>
        <w:t>≤75mm</w:t>
      </w:r>
      <w:r>
        <w:rPr>
          <w:lang w:val="en-US" w:eastAsia="zh-CN"/>
        </w:rPr>
        <w:t>，以内径≤75mm的管道泄漏孔径为10%孔径的事件，因此裂口泄漏面积取最大计算，约为0.0000</w:t>
      </w:r>
      <w:r>
        <w:rPr>
          <w:rFonts w:hint="eastAsia"/>
          <w:lang w:val="en-US" w:eastAsia="zh-CN"/>
        </w:rPr>
        <w:t>4418</w:t>
      </w:r>
      <w:r>
        <w:rPr>
          <w:lang w:val="en-US" w:eastAsia="zh-CN"/>
        </w:rPr>
        <w:t>m</w:t>
      </w:r>
      <w:r>
        <w:rPr>
          <w:vertAlign w:val="superscript"/>
          <w:lang w:val="en-US" w:eastAsia="zh-CN"/>
        </w:rPr>
        <w:t>2</w:t>
      </w:r>
      <w:r>
        <w:rPr>
          <w:lang w:val="en-US" w:eastAsia="zh-CN"/>
        </w:rPr>
        <w:t>，事故泄漏时间按10min计。根据伯努利方程计算可得如下数据。</w:t>
      </w:r>
    </w:p>
    <w:p w14:paraId="77F68D93">
      <w:pPr>
        <w:pStyle w:val="15"/>
        <w:bidi w:val="0"/>
        <w:rPr>
          <w:lang w:val="en-US" w:eastAsia="zh-CN"/>
        </w:rPr>
      </w:pPr>
      <w:r>
        <w:rPr>
          <w:lang w:val="en-US" w:eastAsia="zh-CN"/>
        </w:rPr>
        <w:t>表5-8 液体泄漏量计算参数选取及结果</w:t>
      </w:r>
    </w:p>
    <w:tbl>
      <w:tblPr>
        <w:tblStyle w:val="11"/>
        <w:tblW w:w="70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3897"/>
        <w:gridCol w:w="3118"/>
      </w:tblGrid>
      <w:tr w14:paraId="08D29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4445CDAF">
            <w:pPr>
              <w:pStyle w:val="14"/>
              <w:bidi w:val="0"/>
              <w:rPr>
                <w:rFonts w:hint="eastAsia"/>
                <w:b/>
                <w:bCs/>
                <w:lang w:val="en-US" w:eastAsia="zh-CN"/>
              </w:rPr>
            </w:pPr>
            <w:r>
              <w:rPr>
                <w:rFonts w:hint="eastAsia"/>
                <w:b/>
                <w:bCs/>
                <w:lang w:val="en-US" w:eastAsia="zh-CN"/>
              </w:rPr>
              <w:t>参数</w:t>
            </w:r>
          </w:p>
        </w:tc>
        <w:tc>
          <w:tcPr>
            <w:tcW w:w="3118" w:type="dxa"/>
            <w:vAlign w:val="center"/>
          </w:tcPr>
          <w:p w14:paraId="0B98F949">
            <w:pPr>
              <w:pStyle w:val="14"/>
              <w:bidi w:val="0"/>
              <w:rPr>
                <w:rFonts w:hint="eastAsia"/>
                <w:lang w:val="en-US" w:eastAsia="zh-CN"/>
              </w:rPr>
            </w:pPr>
            <w:r>
              <w:rPr>
                <w:rFonts w:hint="eastAsia"/>
                <w:lang w:val="en-US" w:eastAsia="zh-CN"/>
              </w:rPr>
              <w:t>氨水</w:t>
            </w:r>
          </w:p>
        </w:tc>
      </w:tr>
      <w:tr w14:paraId="1CDCC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3BCB6360">
            <w:pPr>
              <w:pStyle w:val="14"/>
              <w:bidi w:val="0"/>
              <w:rPr>
                <w:b/>
                <w:bCs/>
                <w:lang w:val="en-US" w:eastAsia="zh-CN"/>
              </w:rPr>
            </w:pPr>
            <w:r>
              <w:rPr>
                <w:rFonts w:hint="eastAsia"/>
                <w:b/>
                <w:bCs/>
                <w:lang w:val="en-US" w:eastAsia="zh-CN"/>
              </w:rPr>
              <w:t>容器内介质压力</w:t>
            </w:r>
            <w:r>
              <w:rPr>
                <w:b/>
                <w:bCs/>
                <w:lang w:val="en-US" w:eastAsia="zh-CN"/>
              </w:rPr>
              <w:t>P</w:t>
            </w:r>
          </w:p>
        </w:tc>
        <w:tc>
          <w:tcPr>
            <w:tcW w:w="3118" w:type="dxa"/>
            <w:vAlign w:val="center"/>
          </w:tcPr>
          <w:p w14:paraId="7DF41A3F">
            <w:pPr>
              <w:pStyle w:val="14"/>
              <w:bidi w:val="0"/>
              <w:rPr>
                <w:lang w:val="en-US" w:eastAsia="zh-CN"/>
              </w:rPr>
            </w:pPr>
            <w:r>
              <w:rPr>
                <w:lang w:val="en-US" w:eastAsia="zh-CN"/>
              </w:rPr>
              <w:t>300000Pa</w:t>
            </w:r>
          </w:p>
        </w:tc>
      </w:tr>
      <w:tr w14:paraId="2DE0F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2FD8BA1B">
            <w:pPr>
              <w:pStyle w:val="14"/>
              <w:bidi w:val="0"/>
              <w:rPr>
                <w:b/>
                <w:bCs/>
                <w:lang w:val="en-US" w:eastAsia="zh-CN"/>
              </w:rPr>
            </w:pPr>
            <w:r>
              <w:rPr>
                <w:rFonts w:hint="eastAsia"/>
                <w:b/>
                <w:bCs/>
                <w:lang w:val="en-US" w:eastAsia="zh-CN"/>
              </w:rPr>
              <w:t>环境压力</w:t>
            </w:r>
            <w:r>
              <w:rPr>
                <w:b/>
                <w:bCs/>
                <w:lang w:val="en-US" w:eastAsia="zh-CN"/>
              </w:rPr>
              <w:t>P</w:t>
            </w:r>
            <w:r>
              <w:rPr>
                <w:b/>
                <w:bCs/>
                <w:vertAlign w:val="subscript"/>
                <w:lang w:val="en-US" w:eastAsia="zh-CN"/>
              </w:rPr>
              <w:t>0</w:t>
            </w:r>
          </w:p>
        </w:tc>
        <w:tc>
          <w:tcPr>
            <w:tcW w:w="3118" w:type="dxa"/>
            <w:vAlign w:val="center"/>
          </w:tcPr>
          <w:p w14:paraId="453880DC">
            <w:pPr>
              <w:pStyle w:val="14"/>
              <w:bidi w:val="0"/>
              <w:rPr>
                <w:lang w:val="en-US" w:eastAsia="zh-CN"/>
              </w:rPr>
            </w:pPr>
            <w:r>
              <w:rPr>
                <w:lang w:val="en-US" w:eastAsia="zh-CN"/>
              </w:rPr>
              <w:t>101325Pa</w:t>
            </w:r>
          </w:p>
        </w:tc>
      </w:tr>
      <w:tr w14:paraId="01DC6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20D27335">
            <w:pPr>
              <w:pStyle w:val="14"/>
              <w:bidi w:val="0"/>
              <w:rPr>
                <w:b/>
                <w:bCs/>
                <w:lang w:val="en-US" w:eastAsia="zh-CN"/>
              </w:rPr>
            </w:pPr>
            <w:r>
              <w:rPr>
                <w:rFonts w:hint="eastAsia"/>
                <w:b/>
                <w:bCs/>
                <w:lang w:val="en-US" w:eastAsia="zh-CN"/>
              </w:rPr>
              <w:t>容器内液体密度</w:t>
            </w:r>
            <w:r>
              <w:rPr>
                <w:b/>
                <w:bCs/>
                <w:lang w:val="en-US" w:eastAsia="zh-CN"/>
              </w:rPr>
              <w:t>ρ</w:t>
            </w:r>
          </w:p>
        </w:tc>
        <w:tc>
          <w:tcPr>
            <w:tcW w:w="3118" w:type="dxa"/>
            <w:vAlign w:val="center"/>
          </w:tcPr>
          <w:p w14:paraId="6A3E024F">
            <w:pPr>
              <w:pStyle w:val="14"/>
              <w:bidi w:val="0"/>
              <w:rPr>
                <w:lang w:val="en-US" w:eastAsia="zh-CN"/>
              </w:rPr>
            </w:pPr>
            <w:r>
              <w:rPr>
                <w:lang w:val="en-US" w:eastAsia="zh-CN"/>
              </w:rPr>
              <w:t>910kg/m</w:t>
            </w:r>
            <w:r>
              <w:rPr>
                <w:vertAlign w:val="superscript"/>
                <w:lang w:val="en-US" w:eastAsia="zh-CN"/>
              </w:rPr>
              <w:t>3</w:t>
            </w:r>
          </w:p>
        </w:tc>
      </w:tr>
      <w:tr w14:paraId="76CF6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5DA3ED5A">
            <w:pPr>
              <w:pStyle w:val="14"/>
              <w:bidi w:val="0"/>
              <w:rPr>
                <w:b/>
                <w:bCs/>
                <w:lang w:val="en-US" w:eastAsia="zh-CN"/>
              </w:rPr>
            </w:pPr>
            <w:r>
              <w:rPr>
                <w:rFonts w:hint="eastAsia"/>
                <w:b/>
                <w:bCs/>
                <w:lang w:val="en-US" w:eastAsia="zh-CN"/>
              </w:rPr>
              <w:t>重力加速度</w:t>
            </w:r>
            <w:r>
              <w:rPr>
                <w:b/>
                <w:bCs/>
                <w:lang w:val="en-US" w:eastAsia="zh-CN"/>
              </w:rPr>
              <w:t>g</w:t>
            </w:r>
          </w:p>
        </w:tc>
        <w:tc>
          <w:tcPr>
            <w:tcW w:w="3118" w:type="dxa"/>
            <w:vAlign w:val="center"/>
          </w:tcPr>
          <w:p w14:paraId="6D1E453D">
            <w:pPr>
              <w:pStyle w:val="14"/>
              <w:bidi w:val="0"/>
              <w:rPr>
                <w:lang w:val="en-US" w:eastAsia="zh-CN"/>
              </w:rPr>
            </w:pPr>
            <w:r>
              <w:rPr>
                <w:lang w:val="en-US" w:eastAsia="zh-CN"/>
              </w:rPr>
              <w:t>9.81m/s</w:t>
            </w:r>
            <w:r>
              <w:rPr>
                <w:vertAlign w:val="superscript"/>
                <w:lang w:val="en-US" w:eastAsia="zh-CN"/>
              </w:rPr>
              <w:t>2</w:t>
            </w:r>
          </w:p>
        </w:tc>
      </w:tr>
      <w:tr w14:paraId="6D6F6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48DA0DB8">
            <w:pPr>
              <w:pStyle w:val="14"/>
              <w:bidi w:val="0"/>
              <w:rPr>
                <w:b/>
                <w:bCs/>
                <w:lang w:val="en-US" w:eastAsia="zh-CN"/>
              </w:rPr>
            </w:pPr>
            <w:r>
              <w:rPr>
                <w:rFonts w:hint="eastAsia"/>
                <w:b/>
                <w:bCs/>
                <w:lang w:val="en-US" w:eastAsia="zh-CN"/>
              </w:rPr>
              <w:t>裂口之上液位高度</w:t>
            </w:r>
            <w:r>
              <w:rPr>
                <w:b/>
                <w:bCs/>
                <w:lang w:val="en-US" w:eastAsia="zh-CN"/>
              </w:rPr>
              <w:t>h</w:t>
            </w:r>
          </w:p>
        </w:tc>
        <w:tc>
          <w:tcPr>
            <w:tcW w:w="3118" w:type="dxa"/>
            <w:vAlign w:val="center"/>
          </w:tcPr>
          <w:p w14:paraId="01B4FDB3">
            <w:pPr>
              <w:pStyle w:val="14"/>
              <w:bidi w:val="0"/>
              <w:rPr>
                <w:lang w:val="en-US" w:eastAsia="zh-CN"/>
              </w:rPr>
            </w:pPr>
            <w:r>
              <w:rPr>
                <w:lang w:val="en-US" w:eastAsia="zh-CN"/>
              </w:rPr>
              <w:t>0.065m</w:t>
            </w:r>
          </w:p>
        </w:tc>
      </w:tr>
      <w:tr w14:paraId="5BF24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4FA2CEC6">
            <w:pPr>
              <w:pStyle w:val="14"/>
              <w:bidi w:val="0"/>
              <w:rPr>
                <w:b/>
                <w:bCs/>
                <w:lang w:val="en-US" w:eastAsia="zh-CN"/>
              </w:rPr>
            </w:pPr>
            <w:r>
              <w:rPr>
                <w:rFonts w:hint="eastAsia"/>
                <w:b/>
                <w:bCs/>
                <w:lang w:val="en-US" w:eastAsia="zh-CN"/>
              </w:rPr>
              <w:t>液体泄漏系数</w:t>
            </w:r>
            <w:r>
              <w:rPr>
                <w:b/>
                <w:bCs/>
                <w:lang w:val="en-US" w:eastAsia="zh-CN"/>
              </w:rPr>
              <w:t>C</w:t>
            </w:r>
            <w:r>
              <w:rPr>
                <w:b/>
                <w:bCs/>
                <w:vertAlign w:val="subscript"/>
                <w:lang w:val="en-US" w:eastAsia="zh-CN"/>
              </w:rPr>
              <w:t>d</w:t>
            </w:r>
          </w:p>
        </w:tc>
        <w:tc>
          <w:tcPr>
            <w:tcW w:w="3118" w:type="dxa"/>
            <w:vAlign w:val="center"/>
          </w:tcPr>
          <w:p w14:paraId="7920B927">
            <w:pPr>
              <w:pStyle w:val="14"/>
              <w:bidi w:val="0"/>
              <w:rPr>
                <w:lang w:val="en-US" w:eastAsia="zh-CN"/>
              </w:rPr>
            </w:pPr>
            <w:r>
              <w:rPr>
                <w:lang w:val="en-US" w:eastAsia="zh-CN"/>
              </w:rPr>
              <w:t>0.65</w:t>
            </w:r>
          </w:p>
        </w:tc>
      </w:tr>
      <w:tr w14:paraId="24736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7AEE3119">
            <w:pPr>
              <w:pStyle w:val="14"/>
              <w:bidi w:val="0"/>
              <w:rPr>
                <w:b/>
                <w:bCs/>
                <w:lang w:val="en-US" w:eastAsia="zh-CN"/>
              </w:rPr>
            </w:pPr>
            <w:r>
              <w:rPr>
                <w:rFonts w:hint="eastAsia"/>
                <w:b/>
                <w:bCs/>
                <w:lang w:val="en-US" w:eastAsia="zh-CN"/>
              </w:rPr>
              <w:t>裂口面积</w:t>
            </w:r>
            <w:r>
              <w:rPr>
                <w:b/>
                <w:bCs/>
                <w:lang w:val="en-US" w:eastAsia="zh-CN"/>
              </w:rPr>
              <w:t>A</w:t>
            </w:r>
          </w:p>
        </w:tc>
        <w:tc>
          <w:tcPr>
            <w:tcW w:w="3118" w:type="dxa"/>
            <w:vAlign w:val="center"/>
          </w:tcPr>
          <w:p w14:paraId="0E827AE4">
            <w:pPr>
              <w:pStyle w:val="14"/>
              <w:bidi w:val="0"/>
              <w:rPr>
                <w:lang w:val="en-US" w:eastAsia="zh-CN"/>
              </w:rPr>
            </w:pPr>
            <w:r>
              <w:rPr>
                <w:lang w:val="en-US" w:eastAsia="zh-CN"/>
              </w:rPr>
              <w:t>0.0000</w:t>
            </w:r>
            <w:r>
              <w:rPr>
                <w:rFonts w:hint="eastAsia"/>
                <w:lang w:val="en-US" w:eastAsia="zh-CN"/>
              </w:rPr>
              <w:t>4418</w:t>
            </w:r>
            <w:r>
              <w:rPr>
                <w:lang w:val="en-US" w:eastAsia="zh-CN"/>
              </w:rPr>
              <w:t>m</w:t>
            </w:r>
            <w:r>
              <w:rPr>
                <w:vertAlign w:val="superscript"/>
                <w:lang w:val="en-US" w:eastAsia="zh-CN"/>
              </w:rPr>
              <w:t>2</w:t>
            </w:r>
          </w:p>
        </w:tc>
      </w:tr>
      <w:tr w14:paraId="09A1F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3264C487">
            <w:pPr>
              <w:pStyle w:val="14"/>
              <w:bidi w:val="0"/>
              <w:rPr>
                <w:b/>
                <w:bCs/>
                <w:lang w:val="en-US" w:eastAsia="zh-CN"/>
              </w:rPr>
            </w:pPr>
            <w:r>
              <w:rPr>
                <w:rFonts w:hint="eastAsia"/>
                <w:b/>
                <w:bCs/>
                <w:lang w:val="en-US" w:eastAsia="zh-CN"/>
              </w:rPr>
              <w:t>液体泄漏速度</w:t>
            </w:r>
            <w:r>
              <w:rPr>
                <w:b/>
                <w:bCs/>
                <w:lang w:val="en-US" w:eastAsia="zh-CN"/>
              </w:rPr>
              <w:t>Q</w:t>
            </w:r>
            <w:r>
              <w:rPr>
                <w:b/>
                <w:bCs/>
                <w:vertAlign w:val="subscript"/>
                <w:lang w:val="en-US" w:eastAsia="zh-CN"/>
              </w:rPr>
              <w:t>L</w:t>
            </w:r>
          </w:p>
        </w:tc>
        <w:tc>
          <w:tcPr>
            <w:tcW w:w="3118" w:type="dxa"/>
            <w:vAlign w:val="center"/>
          </w:tcPr>
          <w:p w14:paraId="5B56DC1E">
            <w:pPr>
              <w:pStyle w:val="14"/>
              <w:bidi w:val="0"/>
              <w:rPr>
                <w:lang w:val="en-US" w:eastAsia="zh-CN"/>
              </w:rPr>
            </w:pPr>
            <w:r>
              <w:rPr>
                <w:lang w:val="en-US" w:eastAsia="zh-CN"/>
              </w:rPr>
              <w:t>0.</w:t>
            </w:r>
            <w:r>
              <w:rPr>
                <w:rFonts w:hint="eastAsia"/>
                <w:lang w:val="en-US" w:eastAsia="zh-CN"/>
              </w:rPr>
              <w:t>1719</w:t>
            </w:r>
            <w:r>
              <w:rPr>
                <w:lang w:val="en-US" w:eastAsia="zh-CN"/>
              </w:rPr>
              <w:t>kg/s</w:t>
            </w:r>
          </w:p>
        </w:tc>
      </w:tr>
      <w:tr w14:paraId="773F0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26CC17DF">
            <w:pPr>
              <w:pStyle w:val="14"/>
              <w:bidi w:val="0"/>
              <w:rPr>
                <w:rFonts w:hint="eastAsia"/>
                <w:b/>
                <w:bCs/>
                <w:lang w:val="en-US" w:eastAsia="zh-CN"/>
              </w:rPr>
            </w:pPr>
            <w:r>
              <w:rPr>
                <w:rFonts w:hint="eastAsia"/>
                <w:b/>
                <w:bCs/>
                <w:lang w:val="en-US" w:eastAsia="zh-CN"/>
              </w:rPr>
              <w:t>泄漏时间</w:t>
            </w:r>
          </w:p>
        </w:tc>
        <w:tc>
          <w:tcPr>
            <w:tcW w:w="3118" w:type="dxa"/>
            <w:vAlign w:val="center"/>
          </w:tcPr>
          <w:p w14:paraId="216FD031">
            <w:pPr>
              <w:pStyle w:val="14"/>
              <w:bidi w:val="0"/>
              <w:rPr>
                <w:lang w:val="en-US" w:eastAsia="zh-CN"/>
              </w:rPr>
            </w:pPr>
            <w:r>
              <w:rPr>
                <w:lang w:val="en-US" w:eastAsia="zh-CN"/>
              </w:rPr>
              <w:t>10min</w:t>
            </w:r>
          </w:p>
        </w:tc>
      </w:tr>
      <w:tr w14:paraId="7E1A1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3897" w:type="dxa"/>
            <w:vAlign w:val="center"/>
          </w:tcPr>
          <w:p w14:paraId="367EB369">
            <w:pPr>
              <w:pStyle w:val="14"/>
              <w:bidi w:val="0"/>
              <w:rPr>
                <w:rFonts w:hint="default"/>
                <w:b/>
                <w:bCs/>
                <w:lang w:val="en-US" w:eastAsia="zh-CN"/>
              </w:rPr>
            </w:pPr>
            <w:r>
              <w:rPr>
                <w:rFonts w:hint="eastAsia"/>
                <w:b/>
                <w:bCs/>
                <w:lang w:val="en-US" w:eastAsia="zh-CN"/>
              </w:rPr>
              <w:t>泄漏量</w:t>
            </w:r>
          </w:p>
        </w:tc>
        <w:tc>
          <w:tcPr>
            <w:tcW w:w="3118" w:type="dxa"/>
            <w:vAlign w:val="center"/>
          </w:tcPr>
          <w:p w14:paraId="33DB4DF8">
            <w:pPr>
              <w:pStyle w:val="14"/>
              <w:bidi w:val="0"/>
              <w:rPr>
                <w:lang w:val="en-US" w:eastAsia="zh-CN"/>
              </w:rPr>
            </w:pPr>
            <w:r>
              <w:rPr>
                <w:rFonts w:hint="eastAsia"/>
                <w:lang w:val="en-US" w:eastAsia="zh-CN"/>
              </w:rPr>
              <w:t>103.14kg</w:t>
            </w:r>
          </w:p>
        </w:tc>
      </w:tr>
    </w:tbl>
    <w:p w14:paraId="04D65E1E">
      <w:pPr>
        <w:pStyle w:val="15"/>
        <w:bidi w:val="0"/>
        <w:rPr>
          <w:rFonts w:hint="eastAsia"/>
          <w:lang w:val="en-US" w:eastAsia="zh-CN"/>
        </w:rPr>
      </w:pPr>
    </w:p>
    <w:p w14:paraId="73328DAC">
      <w:pPr>
        <w:pStyle w:val="14"/>
        <w:bidi w:val="0"/>
        <w:rPr>
          <w:rFonts w:hint="eastAsia"/>
          <w:lang w:val="en-US" w:eastAsia="zh-CN"/>
        </w:rPr>
      </w:pPr>
      <w:r>
        <w:drawing>
          <wp:inline distT="0" distB="0" distL="114300" distR="114300">
            <wp:extent cx="5271770" cy="3150235"/>
            <wp:effectExtent l="0" t="0" r="5080" b="12065"/>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54"/>
                    <a:stretch>
                      <a:fillRect/>
                    </a:stretch>
                  </pic:blipFill>
                  <pic:spPr>
                    <a:xfrm>
                      <a:off x="0" y="0"/>
                      <a:ext cx="5271770" cy="3150235"/>
                    </a:xfrm>
                    <a:prstGeom prst="rect">
                      <a:avLst/>
                    </a:prstGeom>
                    <a:noFill/>
                    <a:ln>
                      <a:noFill/>
                    </a:ln>
                  </pic:spPr>
                </pic:pic>
              </a:graphicData>
            </a:graphic>
          </wp:inline>
        </w:drawing>
      </w:r>
    </w:p>
    <w:p w14:paraId="5EEDB9E5">
      <w:pPr>
        <w:pStyle w:val="16"/>
        <w:bidi w:val="0"/>
        <w:rPr>
          <w:rFonts w:hint="eastAsia"/>
          <w:lang w:val="en-US" w:eastAsia="zh-CN"/>
        </w:rPr>
      </w:pPr>
      <w:r>
        <w:rPr>
          <w:rFonts w:hint="eastAsia"/>
          <w:lang w:val="en-US" w:eastAsia="zh-CN"/>
        </w:rPr>
        <w:t>图5-2 氨水泄漏源强估算结果截图</w:t>
      </w:r>
    </w:p>
    <w:p w14:paraId="71F87102">
      <w:pPr>
        <w:bidi w:val="0"/>
        <w:ind w:firstLine="480" w:firstLineChars="200"/>
        <w:rPr>
          <w:rFonts w:hint="eastAsia"/>
          <w:lang w:val="en-US" w:eastAsia="zh-CN"/>
        </w:rPr>
      </w:pPr>
      <w:r>
        <w:rPr>
          <w:rFonts w:hint="eastAsia"/>
          <w:lang w:val="en-US" w:eastAsia="zh-CN"/>
        </w:rPr>
        <w:t>根据氨水的物理性质，氨水的沸点约为37.7℃，本项目氨水管线温度及外环境温度均小于其沸点温度，本次氨水泄漏蒸发量主要考虑质量蒸发，不考虑闪蒸蒸发和热量蒸发。故本次氨水泄漏的质量蒸发量计算结果如下。</w:t>
      </w:r>
    </w:p>
    <w:p w14:paraId="6F53ECE3">
      <w:pPr>
        <w:pStyle w:val="15"/>
        <w:bidi w:val="0"/>
        <w:rPr>
          <w:rFonts w:hint="eastAsia"/>
          <w:lang w:val="en-US" w:eastAsia="zh-CN"/>
        </w:rPr>
      </w:pPr>
      <w:r>
        <w:rPr>
          <w:rFonts w:hint="eastAsia"/>
          <w:lang w:val="en-US" w:eastAsia="zh-CN"/>
        </w:rPr>
        <w:t>表5-9 氨水质量蒸发（Q</w:t>
      </w:r>
      <w:r>
        <w:rPr>
          <w:rFonts w:hint="eastAsia"/>
          <w:vertAlign w:val="subscript"/>
          <w:lang w:val="en-US" w:eastAsia="zh-CN"/>
        </w:rPr>
        <w:t>3</w:t>
      </w:r>
      <w:r>
        <w:rPr>
          <w:rFonts w:hint="eastAsia"/>
          <w:lang w:val="en-US" w:eastAsia="zh-CN"/>
        </w:rPr>
        <w:t>）估算一览表</w:t>
      </w:r>
    </w:p>
    <w:tbl>
      <w:tblPr>
        <w:tblStyle w:val="11"/>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672"/>
        <w:gridCol w:w="1316"/>
        <w:gridCol w:w="790"/>
        <w:gridCol w:w="816"/>
        <w:gridCol w:w="868"/>
        <w:gridCol w:w="1092"/>
        <w:gridCol w:w="619"/>
        <w:gridCol w:w="1065"/>
        <w:gridCol w:w="395"/>
        <w:gridCol w:w="892"/>
      </w:tblGrid>
      <w:tr w14:paraId="6BF06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2" w:type="dxa"/>
            <w:vAlign w:val="center"/>
          </w:tcPr>
          <w:p w14:paraId="70E944B0">
            <w:pPr>
              <w:pStyle w:val="14"/>
              <w:bidi w:val="0"/>
              <w:rPr>
                <w:rFonts w:hint="eastAsia"/>
                <w:b/>
                <w:bCs/>
                <w:lang w:val="en-US" w:eastAsia="zh-CN"/>
              </w:rPr>
            </w:pPr>
            <w:r>
              <w:rPr>
                <w:rFonts w:hint="eastAsia"/>
                <w:b/>
                <w:bCs/>
                <w:lang w:val="en-US" w:eastAsia="zh-CN"/>
              </w:rPr>
              <w:t>物质</w:t>
            </w:r>
          </w:p>
        </w:tc>
        <w:tc>
          <w:tcPr>
            <w:tcW w:w="1316" w:type="dxa"/>
            <w:vAlign w:val="center"/>
          </w:tcPr>
          <w:p w14:paraId="6557D4A7">
            <w:pPr>
              <w:pStyle w:val="14"/>
              <w:bidi w:val="0"/>
              <w:rPr>
                <w:rFonts w:hint="eastAsia"/>
                <w:b/>
                <w:bCs/>
                <w:lang w:val="en-US" w:eastAsia="zh-CN"/>
              </w:rPr>
            </w:pPr>
            <w:r>
              <w:rPr>
                <w:rFonts w:hint="eastAsia"/>
                <w:b/>
                <w:bCs/>
                <w:lang w:val="en-US" w:eastAsia="zh-CN"/>
              </w:rPr>
              <w:t>大气稳定度</w:t>
            </w:r>
          </w:p>
        </w:tc>
        <w:tc>
          <w:tcPr>
            <w:tcW w:w="790" w:type="dxa"/>
            <w:vAlign w:val="center"/>
          </w:tcPr>
          <w:p w14:paraId="4B028D7E">
            <w:pPr>
              <w:pStyle w:val="14"/>
              <w:bidi w:val="0"/>
              <w:rPr>
                <w:b/>
                <w:bCs/>
                <w:lang w:val="en-US" w:eastAsia="zh-CN"/>
              </w:rPr>
            </w:pPr>
            <w:r>
              <w:rPr>
                <w:b/>
                <w:bCs/>
                <w:lang w:val="en-US" w:eastAsia="zh-CN"/>
              </w:rPr>
              <w:t>u(m/s)</w:t>
            </w:r>
          </w:p>
        </w:tc>
        <w:tc>
          <w:tcPr>
            <w:tcW w:w="816" w:type="dxa"/>
            <w:vAlign w:val="center"/>
          </w:tcPr>
          <w:p w14:paraId="23D08EB5">
            <w:pPr>
              <w:pStyle w:val="14"/>
              <w:bidi w:val="0"/>
              <w:rPr>
                <w:b/>
                <w:bCs/>
                <w:lang w:val="en-US" w:eastAsia="zh-CN"/>
              </w:rPr>
            </w:pPr>
            <w:r>
              <w:rPr>
                <w:b/>
                <w:bCs/>
                <w:lang w:val="en-US" w:eastAsia="zh-CN"/>
              </w:rPr>
              <w:t>T</w:t>
            </w:r>
            <w:r>
              <w:rPr>
                <w:b/>
                <w:bCs/>
                <w:vertAlign w:val="subscript"/>
                <w:lang w:val="en-US" w:eastAsia="zh-CN"/>
              </w:rPr>
              <w:t>0</w:t>
            </w:r>
            <w:r>
              <w:rPr>
                <w:b/>
                <w:bCs/>
                <w:lang w:val="en-US" w:eastAsia="zh-CN"/>
              </w:rPr>
              <w:t>(K)</w:t>
            </w:r>
          </w:p>
        </w:tc>
        <w:tc>
          <w:tcPr>
            <w:tcW w:w="868" w:type="dxa"/>
            <w:vAlign w:val="center"/>
          </w:tcPr>
          <w:p w14:paraId="0F524B81">
            <w:pPr>
              <w:pStyle w:val="14"/>
              <w:bidi w:val="0"/>
              <w:rPr>
                <w:b/>
                <w:bCs/>
                <w:lang w:val="en-US" w:eastAsia="zh-CN"/>
              </w:rPr>
            </w:pPr>
            <w:r>
              <w:rPr>
                <w:b/>
                <w:bCs/>
                <w:lang w:val="en-US" w:eastAsia="zh-CN"/>
              </w:rPr>
              <w:t>p(Pa)</w:t>
            </w:r>
          </w:p>
        </w:tc>
        <w:tc>
          <w:tcPr>
            <w:tcW w:w="1092" w:type="dxa"/>
            <w:vAlign w:val="center"/>
          </w:tcPr>
          <w:p w14:paraId="3922B48D">
            <w:pPr>
              <w:pStyle w:val="14"/>
              <w:bidi w:val="0"/>
              <w:rPr>
                <w:b/>
                <w:bCs/>
                <w:lang w:val="en-US" w:eastAsia="zh-CN"/>
              </w:rPr>
            </w:pPr>
            <w:r>
              <w:rPr>
                <w:b/>
                <w:bCs/>
                <w:lang w:val="en-US" w:eastAsia="zh-CN"/>
              </w:rPr>
              <w:t>M(kg/mol)</w:t>
            </w:r>
          </w:p>
        </w:tc>
        <w:tc>
          <w:tcPr>
            <w:tcW w:w="619" w:type="dxa"/>
            <w:vAlign w:val="center"/>
          </w:tcPr>
          <w:p w14:paraId="1A4FE1BC">
            <w:pPr>
              <w:pStyle w:val="14"/>
              <w:bidi w:val="0"/>
              <w:rPr>
                <w:b/>
                <w:bCs/>
                <w:lang w:val="en-US" w:eastAsia="zh-CN"/>
              </w:rPr>
            </w:pPr>
            <w:r>
              <w:rPr>
                <w:b/>
                <w:bCs/>
                <w:lang w:val="en-US" w:eastAsia="zh-CN"/>
              </w:rPr>
              <w:t>r(m)</w:t>
            </w:r>
          </w:p>
        </w:tc>
        <w:tc>
          <w:tcPr>
            <w:tcW w:w="1065" w:type="dxa"/>
            <w:vAlign w:val="center"/>
          </w:tcPr>
          <w:p w14:paraId="6C5A917A">
            <w:pPr>
              <w:pStyle w:val="14"/>
              <w:bidi w:val="0"/>
              <w:rPr>
                <w:b/>
                <w:bCs/>
                <w:lang w:val="en-US" w:eastAsia="zh-CN"/>
              </w:rPr>
            </w:pPr>
            <w:r>
              <w:rPr>
                <w:b/>
                <w:bCs/>
                <w:lang w:val="en-US" w:eastAsia="zh-CN"/>
              </w:rPr>
              <w:t>α</w:t>
            </w:r>
          </w:p>
        </w:tc>
        <w:tc>
          <w:tcPr>
            <w:tcW w:w="395" w:type="dxa"/>
            <w:vAlign w:val="center"/>
          </w:tcPr>
          <w:p w14:paraId="44337D57">
            <w:pPr>
              <w:pStyle w:val="14"/>
              <w:bidi w:val="0"/>
              <w:rPr>
                <w:b/>
                <w:bCs/>
                <w:lang w:val="en-US" w:eastAsia="zh-CN"/>
              </w:rPr>
            </w:pPr>
            <w:r>
              <w:rPr>
                <w:b/>
                <w:bCs/>
                <w:lang w:val="en-US" w:eastAsia="zh-CN"/>
              </w:rPr>
              <w:t>n</w:t>
            </w:r>
          </w:p>
        </w:tc>
        <w:tc>
          <w:tcPr>
            <w:tcW w:w="892" w:type="dxa"/>
            <w:vAlign w:val="center"/>
          </w:tcPr>
          <w:p w14:paraId="0685E709">
            <w:pPr>
              <w:pStyle w:val="14"/>
              <w:bidi w:val="0"/>
              <w:rPr>
                <w:b/>
                <w:bCs/>
                <w:lang w:val="en-US" w:eastAsia="zh-CN"/>
              </w:rPr>
            </w:pPr>
            <w:r>
              <w:rPr>
                <w:b/>
                <w:bCs/>
                <w:lang w:val="en-US" w:eastAsia="zh-CN"/>
              </w:rPr>
              <w:t>Q</w:t>
            </w:r>
            <w:r>
              <w:rPr>
                <w:b/>
                <w:bCs/>
                <w:vertAlign w:val="subscript"/>
                <w:lang w:val="en-US" w:eastAsia="zh-CN"/>
              </w:rPr>
              <w:t>3</w:t>
            </w:r>
            <w:r>
              <w:rPr>
                <w:b/>
                <w:bCs/>
                <w:lang w:val="en-US" w:eastAsia="zh-CN"/>
              </w:rPr>
              <w:t>(kg/s)</w:t>
            </w:r>
          </w:p>
        </w:tc>
      </w:tr>
      <w:tr w14:paraId="5E549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2" w:type="dxa"/>
            <w:vAlign w:val="center"/>
          </w:tcPr>
          <w:p w14:paraId="50F196A5">
            <w:pPr>
              <w:pStyle w:val="14"/>
              <w:bidi w:val="0"/>
              <w:rPr>
                <w:rFonts w:hint="eastAsia"/>
                <w:lang w:val="en-US" w:eastAsia="zh-CN"/>
              </w:rPr>
            </w:pPr>
            <w:r>
              <w:rPr>
                <w:rFonts w:hint="eastAsia"/>
                <w:lang w:val="en-US" w:eastAsia="zh-CN"/>
              </w:rPr>
              <w:t>氨水</w:t>
            </w:r>
          </w:p>
        </w:tc>
        <w:tc>
          <w:tcPr>
            <w:tcW w:w="1316" w:type="dxa"/>
            <w:vAlign w:val="center"/>
          </w:tcPr>
          <w:p w14:paraId="3693C961">
            <w:pPr>
              <w:pStyle w:val="14"/>
              <w:bidi w:val="0"/>
              <w:rPr>
                <w:lang w:val="en-US" w:eastAsia="zh-CN"/>
              </w:rPr>
            </w:pPr>
            <w:r>
              <w:rPr>
                <w:lang w:val="en-US" w:eastAsia="zh-CN"/>
              </w:rPr>
              <w:t>F</w:t>
            </w:r>
          </w:p>
        </w:tc>
        <w:tc>
          <w:tcPr>
            <w:tcW w:w="790" w:type="dxa"/>
            <w:vAlign w:val="center"/>
          </w:tcPr>
          <w:p w14:paraId="72ED9940">
            <w:pPr>
              <w:pStyle w:val="14"/>
              <w:bidi w:val="0"/>
              <w:rPr>
                <w:lang w:val="en-US" w:eastAsia="zh-CN"/>
              </w:rPr>
            </w:pPr>
            <w:r>
              <w:rPr>
                <w:lang w:val="en-US" w:eastAsia="zh-CN"/>
              </w:rPr>
              <w:t>1.5</w:t>
            </w:r>
          </w:p>
        </w:tc>
        <w:tc>
          <w:tcPr>
            <w:tcW w:w="816" w:type="dxa"/>
            <w:vAlign w:val="center"/>
          </w:tcPr>
          <w:p w14:paraId="2D400991">
            <w:pPr>
              <w:pStyle w:val="14"/>
              <w:bidi w:val="0"/>
              <w:rPr>
                <w:lang w:val="en-US" w:eastAsia="zh-CN"/>
              </w:rPr>
            </w:pPr>
            <w:r>
              <w:rPr>
                <w:lang w:val="en-US" w:eastAsia="zh-CN"/>
              </w:rPr>
              <w:t>298.15</w:t>
            </w:r>
          </w:p>
        </w:tc>
        <w:tc>
          <w:tcPr>
            <w:tcW w:w="868" w:type="dxa"/>
            <w:vAlign w:val="center"/>
          </w:tcPr>
          <w:p w14:paraId="638F3EB2">
            <w:pPr>
              <w:pStyle w:val="14"/>
              <w:bidi w:val="0"/>
              <w:rPr>
                <w:lang w:val="en-US" w:eastAsia="zh-CN"/>
              </w:rPr>
            </w:pPr>
            <w:r>
              <w:rPr>
                <w:lang w:val="en-US" w:eastAsia="zh-CN"/>
              </w:rPr>
              <w:t>47350</w:t>
            </w:r>
          </w:p>
        </w:tc>
        <w:tc>
          <w:tcPr>
            <w:tcW w:w="1092" w:type="dxa"/>
            <w:vAlign w:val="center"/>
          </w:tcPr>
          <w:p w14:paraId="01AC4936">
            <w:pPr>
              <w:pStyle w:val="14"/>
              <w:bidi w:val="0"/>
              <w:rPr>
                <w:lang w:val="en-US" w:eastAsia="zh-CN"/>
              </w:rPr>
            </w:pPr>
            <w:r>
              <w:rPr>
                <w:lang w:val="en-US" w:eastAsia="zh-CN"/>
              </w:rPr>
              <w:t>0.035</w:t>
            </w:r>
          </w:p>
        </w:tc>
        <w:tc>
          <w:tcPr>
            <w:tcW w:w="619" w:type="dxa"/>
            <w:vAlign w:val="center"/>
          </w:tcPr>
          <w:p w14:paraId="366264B9">
            <w:pPr>
              <w:pStyle w:val="14"/>
              <w:bidi w:val="0"/>
              <w:rPr>
                <w:rFonts w:hint="default"/>
                <w:lang w:val="en-US" w:eastAsia="zh-CN"/>
              </w:rPr>
            </w:pPr>
            <w:r>
              <w:rPr>
                <w:rFonts w:hint="eastAsia"/>
                <w:lang w:val="en-US" w:eastAsia="zh-CN"/>
              </w:rPr>
              <w:t>1.9</w:t>
            </w:r>
          </w:p>
        </w:tc>
        <w:tc>
          <w:tcPr>
            <w:tcW w:w="1065" w:type="dxa"/>
            <w:vAlign w:val="center"/>
          </w:tcPr>
          <w:p w14:paraId="54FD0BDC">
            <w:pPr>
              <w:pStyle w:val="14"/>
              <w:bidi w:val="0"/>
              <w:rPr>
                <w:lang w:val="en-US" w:eastAsia="zh-CN"/>
              </w:rPr>
            </w:pPr>
            <w:r>
              <w:rPr>
                <w:lang w:val="en-US" w:eastAsia="zh-CN"/>
              </w:rPr>
              <w:t>5.285×10</w:t>
            </w:r>
            <w:r>
              <w:rPr>
                <w:vertAlign w:val="superscript"/>
                <w:lang w:val="en-US" w:eastAsia="zh-CN"/>
              </w:rPr>
              <w:t>-3</w:t>
            </w:r>
          </w:p>
        </w:tc>
        <w:tc>
          <w:tcPr>
            <w:tcW w:w="395" w:type="dxa"/>
            <w:vAlign w:val="center"/>
          </w:tcPr>
          <w:p w14:paraId="3C9595C8">
            <w:pPr>
              <w:pStyle w:val="14"/>
              <w:bidi w:val="0"/>
              <w:rPr>
                <w:lang w:val="en-US" w:eastAsia="zh-CN"/>
              </w:rPr>
            </w:pPr>
            <w:r>
              <w:rPr>
                <w:lang w:val="en-US" w:eastAsia="zh-CN"/>
              </w:rPr>
              <w:t>0.3</w:t>
            </w:r>
          </w:p>
        </w:tc>
        <w:tc>
          <w:tcPr>
            <w:tcW w:w="892" w:type="dxa"/>
            <w:vAlign w:val="center"/>
          </w:tcPr>
          <w:p w14:paraId="0BDDB00C">
            <w:pPr>
              <w:pStyle w:val="14"/>
              <w:bidi w:val="0"/>
              <w:rPr>
                <w:rFonts w:hint="default"/>
                <w:lang w:val="en-US" w:eastAsia="zh-CN"/>
              </w:rPr>
            </w:pPr>
            <w:r>
              <w:rPr>
                <w:rFonts w:hint="eastAsia"/>
                <w:lang w:val="en-US" w:eastAsia="zh-CN"/>
              </w:rPr>
              <w:t>0.0693</w:t>
            </w:r>
          </w:p>
        </w:tc>
      </w:tr>
      <w:tr w14:paraId="58BD4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525" w:type="dxa"/>
            <w:gridSpan w:val="10"/>
            <w:vAlign w:val="center"/>
          </w:tcPr>
          <w:p w14:paraId="36D7D43B">
            <w:pPr>
              <w:pStyle w:val="14"/>
              <w:bidi w:val="0"/>
              <w:rPr>
                <w:rFonts w:hint="eastAsia"/>
                <w:lang w:val="en-US" w:eastAsia="zh-CN"/>
              </w:rPr>
            </w:pPr>
            <w:r>
              <w:rPr>
                <w:rFonts w:hint="eastAsia"/>
                <w:lang w:val="en-US" w:eastAsia="zh-CN"/>
              </w:rPr>
              <w:t>注：根据《化学化工物性数据手册 无机化学（增订版）》，参考</w:t>
            </w:r>
            <w:r>
              <w:rPr>
                <w:lang w:val="en-US" w:eastAsia="zh-CN"/>
              </w:rPr>
              <w:t>25</w:t>
            </w:r>
            <w:r>
              <w:rPr>
                <w:rFonts w:hint="eastAsia"/>
                <w:lang w:val="en-US" w:eastAsia="zh-CN"/>
              </w:rPr>
              <w:t>℃下</w:t>
            </w:r>
            <w:r>
              <w:rPr>
                <w:lang w:val="en-US" w:eastAsia="zh-CN"/>
              </w:rPr>
              <w:t>22</w:t>
            </w:r>
            <w:r>
              <w:rPr>
                <w:rFonts w:hint="eastAsia"/>
                <w:lang w:val="en-US" w:eastAsia="zh-CN"/>
              </w:rPr>
              <w:t>％氨水溶液中氨</w:t>
            </w:r>
          </w:p>
          <w:p w14:paraId="1DA4E248">
            <w:pPr>
              <w:pStyle w:val="14"/>
              <w:bidi w:val="0"/>
              <w:rPr>
                <w:rFonts w:hint="eastAsia"/>
                <w:lang w:val="en-US" w:eastAsia="zh-CN"/>
              </w:rPr>
            </w:pPr>
            <w:r>
              <w:rPr>
                <w:rFonts w:hint="eastAsia"/>
                <w:lang w:val="en-US" w:eastAsia="zh-CN"/>
              </w:rPr>
              <w:t>的蒸气压为</w:t>
            </w:r>
            <w:r>
              <w:rPr>
                <w:lang w:val="en-US" w:eastAsia="zh-CN"/>
              </w:rPr>
              <w:t>47.35kPa</w:t>
            </w:r>
            <w:r>
              <w:rPr>
                <w:rFonts w:hint="eastAsia"/>
                <w:lang w:val="en-US" w:eastAsia="zh-CN"/>
              </w:rPr>
              <w:t>（取</w:t>
            </w:r>
            <w:r>
              <w:rPr>
                <w:lang w:val="en-US" w:eastAsia="zh-CN"/>
              </w:rPr>
              <w:t>20</w:t>
            </w:r>
            <w:r>
              <w:rPr>
                <w:rFonts w:hint="eastAsia"/>
                <w:lang w:val="en-US" w:eastAsia="zh-CN"/>
              </w:rPr>
              <w:t>℃下</w:t>
            </w:r>
            <w:r>
              <w:rPr>
                <w:lang w:val="en-US" w:eastAsia="zh-CN"/>
              </w:rPr>
              <w:t>22</w:t>
            </w:r>
            <w:r>
              <w:rPr>
                <w:rFonts w:hint="eastAsia"/>
                <w:lang w:val="en-US" w:eastAsia="zh-CN"/>
              </w:rPr>
              <w:t>％氨水</w:t>
            </w:r>
            <w:r>
              <w:rPr>
                <w:lang w:val="en-US" w:eastAsia="zh-CN"/>
              </w:rPr>
              <w:t>36.2kPa</w:t>
            </w:r>
            <w:r>
              <w:rPr>
                <w:rFonts w:hint="eastAsia"/>
                <w:lang w:val="en-US" w:eastAsia="zh-CN"/>
              </w:rPr>
              <w:t>和</w:t>
            </w:r>
            <w:r>
              <w:rPr>
                <w:lang w:val="en-US" w:eastAsia="zh-CN"/>
              </w:rPr>
              <w:t>30</w:t>
            </w:r>
            <w:r>
              <w:rPr>
                <w:rFonts w:hint="eastAsia"/>
                <w:lang w:val="en-US" w:eastAsia="zh-CN"/>
              </w:rPr>
              <w:t>℃下</w:t>
            </w:r>
            <w:r>
              <w:rPr>
                <w:lang w:val="en-US" w:eastAsia="zh-CN"/>
              </w:rPr>
              <w:t>22</w:t>
            </w:r>
            <w:r>
              <w:rPr>
                <w:rFonts w:hint="eastAsia"/>
                <w:lang w:val="en-US" w:eastAsia="zh-CN"/>
              </w:rPr>
              <w:t>％氨水</w:t>
            </w:r>
            <w:r>
              <w:rPr>
                <w:lang w:val="en-US" w:eastAsia="zh-CN"/>
              </w:rPr>
              <w:t>58.5kPa</w:t>
            </w:r>
            <w:r>
              <w:rPr>
                <w:rFonts w:hint="eastAsia"/>
                <w:lang w:val="en-US" w:eastAsia="zh-CN"/>
              </w:rPr>
              <w:t>的内插值）。</w:t>
            </w:r>
          </w:p>
        </w:tc>
      </w:tr>
    </w:tbl>
    <w:p w14:paraId="14468D57">
      <w:pPr>
        <w:pStyle w:val="15"/>
        <w:bidi w:val="0"/>
        <w:rPr>
          <w:rFonts w:hint="eastAsia"/>
          <w:lang w:val="en-US" w:eastAsia="zh-CN"/>
        </w:rPr>
      </w:pPr>
    </w:p>
    <w:p w14:paraId="130FA504">
      <w:pPr>
        <w:ind w:firstLine="480" w:firstLineChars="200"/>
        <w:rPr>
          <w:rFonts w:hint="eastAsia"/>
          <w:lang w:val="en-US" w:eastAsia="zh-CN"/>
        </w:rPr>
      </w:pPr>
      <w:r>
        <w:rPr>
          <w:rFonts w:hint="eastAsia"/>
          <w:lang w:val="en-US" w:eastAsia="zh-CN"/>
        </w:rPr>
        <w:t>根据HJ169-2018，液体泄漏速率Q</w:t>
      </w:r>
      <w:r>
        <w:rPr>
          <w:rFonts w:hint="eastAsia"/>
          <w:vertAlign w:val="subscript"/>
          <w:lang w:val="en-US" w:eastAsia="zh-CN"/>
        </w:rPr>
        <w:t>L</w:t>
      </w:r>
      <w:r>
        <w:rPr>
          <w:rFonts w:hint="eastAsia"/>
          <w:lang w:val="en-US" w:eastAsia="zh-CN"/>
        </w:rPr>
        <w:t>=0.1719kg/s，泄漏时间按10min计，泄漏量为103.14kg，液体蒸发时间应结合物质特性、气象条件、工况等综合考虑，一般情况下，可按15~30min计，本项目取值15min，氨水蒸发总量Wp=Q</w:t>
      </w:r>
      <w:r>
        <w:rPr>
          <w:rFonts w:hint="eastAsia"/>
          <w:vertAlign w:val="subscript"/>
          <w:lang w:val="en-US" w:eastAsia="zh-CN"/>
        </w:rPr>
        <w:t>3</w:t>
      </w:r>
      <w:r>
        <w:rPr>
          <w:rFonts w:hint="eastAsia"/>
          <w:lang w:val="en-US" w:eastAsia="zh-CN"/>
        </w:rPr>
        <w:t>t</w:t>
      </w:r>
      <w:r>
        <w:rPr>
          <w:rFonts w:hint="eastAsia"/>
          <w:vertAlign w:val="subscript"/>
          <w:lang w:val="en-US" w:eastAsia="zh-CN"/>
        </w:rPr>
        <w:t>3</w:t>
      </w:r>
      <w:r>
        <w:rPr>
          <w:rFonts w:hint="eastAsia"/>
          <w:lang w:val="en-US" w:eastAsia="zh-CN"/>
        </w:rPr>
        <w:t>=62.37kg。</w:t>
      </w:r>
    </w:p>
    <w:p w14:paraId="7B5895F8">
      <w:pPr>
        <w:pStyle w:val="4"/>
        <w:bidi w:val="0"/>
        <w:rPr>
          <w:rFonts w:hint="eastAsia"/>
          <w:lang w:val="en-US" w:eastAsia="zh-CN"/>
        </w:rPr>
      </w:pPr>
      <w:r>
        <w:rPr>
          <w:rFonts w:hint="eastAsia"/>
          <w:lang w:val="en-US" w:eastAsia="zh-CN"/>
        </w:rPr>
        <w:t>5.2.3事故废水量计算</w:t>
      </w:r>
    </w:p>
    <w:p w14:paraId="409384D3">
      <w:pPr>
        <w:ind w:firstLine="480" w:firstLineChars="200"/>
        <w:rPr>
          <w:rFonts w:hint="eastAsia"/>
          <w:lang w:val="en-US" w:eastAsia="zh-CN"/>
        </w:rPr>
      </w:pPr>
      <w:r>
        <w:rPr>
          <w:rFonts w:hint="eastAsia"/>
          <w:lang w:val="en-US" w:eastAsia="zh-CN"/>
        </w:rPr>
        <w:t>根据《消防给水及消防栓系统技术规范》（GB50974-2014），工厂、仓库、暂存点、储罐区或民用建筑的室外消防给水用水量，应按同一时间内的火灾起数和1起火灾灭火室外消防给水用水量确定。工厂、暂存点、储罐区等占地面小于等于100hm</w:t>
      </w:r>
      <w:r>
        <w:rPr>
          <w:rFonts w:hint="eastAsia"/>
          <w:vertAlign w:val="superscript"/>
          <w:lang w:val="en-US" w:eastAsia="zh-CN"/>
        </w:rPr>
        <w:t>2</w:t>
      </w:r>
      <w:r>
        <w:rPr>
          <w:rFonts w:hint="eastAsia"/>
          <w:lang w:val="en-US" w:eastAsia="zh-CN"/>
        </w:rPr>
        <w:t>，且附有居住区人数小于等于1.5万人时，同一时间内的火灾处数为1处；仓库和民用等建筑，当总建筑面积小于等于500000m</w:t>
      </w:r>
      <w:r>
        <w:rPr>
          <w:rFonts w:hint="eastAsia"/>
          <w:vertAlign w:val="superscript"/>
          <w:lang w:val="en-US" w:eastAsia="zh-CN"/>
        </w:rPr>
        <w:t>2</w:t>
      </w:r>
      <w:r>
        <w:rPr>
          <w:rFonts w:hint="eastAsia"/>
          <w:lang w:val="en-US" w:eastAsia="zh-CN"/>
        </w:rPr>
        <w:t>时，同一时间内的火灾起数应按1起确定。本项目厂区总占地面积为21666.86m</w:t>
      </w:r>
      <w:r>
        <w:rPr>
          <w:rFonts w:hint="eastAsia"/>
          <w:vertAlign w:val="superscript"/>
          <w:lang w:val="en-US" w:eastAsia="zh-CN"/>
        </w:rPr>
        <w:t>2</w:t>
      </w:r>
      <w:r>
        <w:rPr>
          <w:rFonts w:hint="eastAsia"/>
          <w:lang w:val="en-US" w:eastAsia="zh-CN"/>
        </w:rPr>
        <w:t>，总建筑面积为1124.4m</w:t>
      </w:r>
      <w:r>
        <w:rPr>
          <w:rFonts w:hint="eastAsia"/>
          <w:vertAlign w:val="superscript"/>
          <w:lang w:val="en-US" w:eastAsia="zh-CN"/>
        </w:rPr>
        <w:t>2</w:t>
      </w:r>
      <w:r>
        <w:rPr>
          <w:rFonts w:hint="eastAsia"/>
          <w:lang w:val="en-US" w:eastAsia="zh-CN"/>
        </w:rPr>
        <w:t>，因此同一时间内，可能发生火灾的起数取1起。本项目设定可能发生火灾的位置分别为液氨充装间、液氨储罐区等。</w:t>
      </w:r>
    </w:p>
    <w:p w14:paraId="4F84C6F0">
      <w:pPr>
        <w:adjustRightInd w:val="0"/>
        <w:snapToGrid w:val="0"/>
        <w:ind w:firstLine="480" w:firstLineChars="200"/>
        <w:rPr>
          <w:color w:val="000000"/>
        </w:rPr>
      </w:pPr>
      <w:r>
        <w:rPr>
          <w:rFonts w:hint="eastAsia"/>
        </w:rPr>
        <w:t>参照《事故状态下水体污染的预防与控制技术要求》、《化工建设项目环境保护设计规范》（GB50483-2009）</w:t>
      </w:r>
      <w:r>
        <w:rPr>
          <w:rFonts w:hint="eastAsia"/>
          <w:color w:val="000000"/>
        </w:rPr>
        <w:t>和《石化企业水体环境风险防控技术要求》（QSH0729-2018），项目需设置符合规范要求的事故储存设施对事故情况下废水进行收集，事故应急池的总有效容积应满足：</w:t>
      </w:r>
    </w:p>
    <w:p w14:paraId="30EB3448">
      <w:pPr>
        <w:adjustRightInd w:val="0"/>
        <w:snapToGrid w:val="0"/>
        <w:ind w:firstLine="562" w:firstLineChars="200"/>
        <w:jc w:val="center"/>
        <w:rPr>
          <w:b/>
          <w:bCs/>
          <w:color w:val="000000"/>
          <w:sz w:val="28"/>
          <w:szCs w:val="28"/>
        </w:rPr>
      </w:pPr>
      <w:r>
        <w:rPr>
          <w:rFonts w:hint="eastAsia"/>
          <w:b/>
          <w:bCs/>
          <w:color w:val="000000"/>
          <w:sz w:val="28"/>
          <w:szCs w:val="28"/>
        </w:rPr>
        <w:t>V</w:t>
      </w:r>
      <w:r>
        <w:rPr>
          <w:rFonts w:hint="eastAsia"/>
          <w:b/>
          <w:bCs/>
          <w:color w:val="000000"/>
          <w:sz w:val="28"/>
          <w:szCs w:val="28"/>
          <w:vertAlign w:val="subscript"/>
        </w:rPr>
        <w:t>总</w:t>
      </w:r>
      <w:r>
        <w:rPr>
          <w:rFonts w:hint="eastAsia"/>
          <w:b/>
          <w:bCs/>
          <w:color w:val="000000"/>
          <w:sz w:val="28"/>
          <w:szCs w:val="28"/>
        </w:rPr>
        <w:t>=（V</w:t>
      </w:r>
      <w:r>
        <w:rPr>
          <w:rFonts w:hint="eastAsia"/>
          <w:b/>
          <w:bCs/>
          <w:color w:val="000000"/>
          <w:sz w:val="28"/>
          <w:szCs w:val="28"/>
          <w:vertAlign w:val="subscript"/>
        </w:rPr>
        <w:t>1</w:t>
      </w:r>
      <w:r>
        <w:rPr>
          <w:rFonts w:hint="eastAsia"/>
          <w:b/>
          <w:bCs/>
          <w:color w:val="000000"/>
          <w:sz w:val="28"/>
          <w:szCs w:val="28"/>
        </w:rPr>
        <w:t>+V</w:t>
      </w:r>
      <w:r>
        <w:rPr>
          <w:rFonts w:hint="eastAsia"/>
          <w:b/>
          <w:bCs/>
          <w:color w:val="000000"/>
          <w:sz w:val="28"/>
          <w:szCs w:val="28"/>
          <w:vertAlign w:val="subscript"/>
        </w:rPr>
        <w:t>2</w:t>
      </w:r>
      <w:r>
        <w:rPr>
          <w:rFonts w:hint="eastAsia"/>
          <w:b/>
          <w:bCs/>
          <w:color w:val="000000"/>
          <w:sz w:val="28"/>
          <w:szCs w:val="28"/>
        </w:rPr>
        <w:t>-V</w:t>
      </w:r>
      <w:r>
        <w:rPr>
          <w:rFonts w:hint="eastAsia"/>
          <w:b/>
          <w:bCs/>
          <w:color w:val="000000"/>
          <w:sz w:val="28"/>
          <w:szCs w:val="28"/>
          <w:vertAlign w:val="subscript"/>
        </w:rPr>
        <w:t>3</w:t>
      </w:r>
      <w:r>
        <w:rPr>
          <w:rFonts w:hint="eastAsia"/>
          <w:b/>
          <w:bCs/>
          <w:color w:val="000000"/>
          <w:sz w:val="28"/>
          <w:szCs w:val="28"/>
        </w:rPr>
        <w:t>）max+V</w:t>
      </w:r>
      <w:r>
        <w:rPr>
          <w:rFonts w:hint="eastAsia"/>
          <w:b/>
          <w:bCs/>
          <w:color w:val="000000"/>
          <w:sz w:val="28"/>
          <w:szCs w:val="28"/>
          <w:vertAlign w:val="subscript"/>
        </w:rPr>
        <w:t>4</w:t>
      </w:r>
      <w:r>
        <w:rPr>
          <w:rFonts w:hint="eastAsia"/>
          <w:b/>
          <w:bCs/>
          <w:color w:val="000000"/>
          <w:sz w:val="28"/>
          <w:szCs w:val="28"/>
        </w:rPr>
        <w:t>+V</w:t>
      </w:r>
      <w:r>
        <w:rPr>
          <w:rFonts w:hint="eastAsia"/>
          <w:b/>
          <w:bCs/>
          <w:color w:val="000000"/>
          <w:sz w:val="28"/>
          <w:szCs w:val="28"/>
          <w:vertAlign w:val="subscript"/>
        </w:rPr>
        <w:t>5</w:t>
      </w:r>
    </w:p>
    <w:p w14:paraId="530123AA">
      <w:pPr>
        <w:adjustRightInd w:val="0"/>
        <w:snapToGrid w:val="0"/>
        <w:ind w:firstLine="480" w:firstLineChars="200"/>
        <w:rPr>
          <w:color w:val="000000"/>
        </w:rPr>
      </w:pPr>
      <w:r>
        <w:rPr>
          <w:rFonts w:hint="eastAsia"/>
          <w:color w:val="000000"/>
        </w:rPr>
        <w:t>注：（V</w:t>
      </w:r>
      <w:r>
        <w:rPr>
          <w:rFonts w:hint="eastAsia"/>
          <w:color w:val="000000"/>
          <w:vertAlign w:val="subscript"/>
        </w:rPr>
        <w:t>1</w:t>
      </w:r>
      <w:r>
        <w:rPr>
          <w:rFonts w:hint="eastAsia"/>
          <w:color w:val="000000"/>
        </w:rPr>
        <w:t>+V</w:t>
      </w:r>
      <w:r>
        <w:rPr>
          <w:rFonts w:hint="eastAsia"/>
          <w:color w:val="000000"/>
          <w:vertAlign w:val="subscript"/>
        </w:rPr>
        <w:t>2</w:t>
      </w:r>
      <w:r>
        <w:rPr>
          <w:rFonts w:hint="eastAsia"/>
          <w:color w:val="000000"/>
        </w:rPr>
        <w:t>-V</w:t>
      </w:r>
      <w:r>
        <w:rPr>
          <w:rFonts w:hint="eastAsia"/>
          <w:color w:val="000000"/>
          <w:vertAlign w:val="subscript"/>
        </w:rPr>
        <w:t>3</w:t>
      </w:r>
      <w:r>
        <w:rPr>
          <w:rFonts w:hint="eastAsia"/>
          <w:color w:val="000000"/>
        </w:rPr>
        <w:t>）max是指对收集系统范围内不同罐组或装置分别计算V</w:t>
      </w:r>
      <w:r>
        <w:rPr>
          <w:rFonts w:hint="eastAsia"/>
          <w:color w:val="000000"/>
          <w:vertAlign w:val="subscript"/>
        </w:rPr>
        <w:t>1</w:t>
      </w:r>
      <w:r>
        <w:rPr>
          <w:rFonts w:hint="eastAsia"/>
          <w:color w:val="000000"/>
        </w:rPr>
        <w:t>+V</w:t>
      </w:r>
      <w:r>
        <w:rPr>
          <w:rFonts w:hint="eastAsia"/>
          <w:color w:val="000000"/>
          <w:vertAlign w:val="subscript"/>
        </w:rPr>
        <w:t>2</w:t>
      </w:r>
      <w:r>
        <w:rPr>
          <w:rFonts w:hint="eastAsia"/>
          <w:color w:val="000000"/>
        </w:rPr>
        <w:t>-V</w:t>
      </w:r>
      <w:r>
        <w:rPr>
          <w:rFonts w:hint="eastAsia"/>
          <w:color w:val="000000"/>
          <w:vertAlign w:val="subscript"/>
        </w:rPr>
        <w:t>3</w:t>
      </w:r>
      <w:r>
        <w:rPr>
          <w:rFonts w:hint="eastAsia"/>
          <w:color w:val="000000"/>
        </w:rPr>
        <w:t>，取其中最大值。</w:t>
      </w:r>
    </w:p>
    <w:p w14:paraId="116B4DB9">
      <w:pPr>
        <w:adjustRightInd w:val="0"/>
        <w:snapToGrid w:val="0"/>
        <w:ind w:firstLine="480" w:firstLineChars="200"/>
        <w:rPr>
          <w:color w:val="000000"/>
        </w:rPr>
      </w:pPr>
      <w:r>
        <w:rPr>
          <w:rFonts w:hint="eastAsia"/>
          <w:color w:val="000000"/>
        </w:rPr>
        <w:t>上式中，V</w:t>
      </w:r>
      <w:r>
        <w:rPr>
          <w:rFonts w:hint="eastAsia"/>
          <w:color w:val="000000"/>
          <w:vertAlign w:val="subscript"/>
        </w:rPr>
        <w:t>1</w:t>
      </w:r>
      <w:r>
        <w:rPr>
          <w:rFonts w:hint="eastAsia"/>
          <w:color w:val="000000"/>
        </w:rPr>
        <w:t>——收集系统范围内发生事故的一个罐组或一套装置的物料量最大储罐物料量，m</w:t>
      </w:r>
      <w:r>
        <w:rPr>
          <w:rFonts w:hint="eastAsia"/>
          <w:color w:val="000000"/>
          <w:vertAlign w:val="superscript"/>
        </w:rPr>
        <w:t>3</w:t>
      </w:r>
      <w:r>
        <w:rPr>
          <w:rFonts w:hint="eastAsia"/>
          <w:color w:val="000000"/>
        </w:rPr>
        <w:t>；</w:t>
      </w:r>
    </w:p>
    <w:p w14:paraId="70E0FBAC">
      <w:pPr>
        <w:adjustRightInd w:val="0"/>
        <w:snapToGrid w:val="0"/>
        <w:ind w:firstLine="400" w:firstLineChars="200"/>
        <w:rPr>
          <w:color w:val="000000"/>
        </w:rPr>
      </w:pPr>
      <w:r>
        <w:rPr>
          <w:rFonts w:hint="eastAsia"/>
          <w:color w:val="000000"/>
          <w:sz w:val="20"/>
          <w:szCs w:val="20"/>
        </w:rPr>
        <w:t>注：储存相同物料的罐组按一个最大储罐计，装置物料量按存留最大物料量的一台反应器或中间储罐计。</w:t>
      </w:r>
    </w:p>
    <w:p w14:paraId="4B7A8E77">
      <w:pPr>
        <w:adjustRightInd w:val="0"/>
        <w:snapToGrid w:val="0"/>
        <w:ind w:firstLine="480" w:firstLineChars="200"/>
        <w:rPr>
          <w:color w:val="000000"/>
        </w:rPr>
      </w:pPr>
      <w:r>
        <w:rPr>
          <w:rFonts w:hint="eastAsia"/>
          <w:color w:val="000000"/>
        </w:rPr>
        <w:t>V</w:t>
      </w:r>
      <w:r>
        <w:rPr>
          <w:rFonts w:hint="eastAsia"/>
          <w:color w:val="000000"/>
          <w:vertAlign w:val="subscript"/>
        </w:rPr>
        <w:t>2</w:t>
      </w:r>
      <w:r>
        <w:rPr>
          <w:rFonts w:hint="eastAsia"/>
          <w:color w:val="000000"/>
        </w:rPr>
        <w:t>——发生事故的储罐或装置的消防水量，m</w:t>
      </w:r>
      <w:r>
        <w:rPr>
          <w:rFonts w:hint="eastAsia"/>
          <w:color w:val="000000"/>
          <w:vertAlign w:val="superscript"/>
        </w:rPr>
        <w:t>3</w:t>
      </w:r>
      <w:r>
        <w:rPr>
          <w:rFonts w:hint="eastAsia"/>
          <w:color w:val="000000"/>
        </w:rPr>
        <w:t>；</w:t>
      </w:r>
    </w:p>
    <w:p w14:paraId="24579B49">
      <w:pPr>
        <w:adjustRightInd w:val="0"/>
        <w:snapToGrid w:val="0"/>
        <w:ind w:firstLine="480" w:firstLineChars="200"/>
        <w:rPr>
          <w:color w:val="000000"/>
        </w:rPr>
      </w:pPr>
      <w:r>
        <w:rPr>
          <w:rFonts w:hint="eastAsia"/>
          <w:color w:val="000000"/>
        </w:rPr>
        <w:t>V</w:t>
      </w:r>
      <w:r>
        <w:rPr>
          <w:rFonts w:hint="eastAsia"/>
          <w:color w:val="000000"/>
          <w:vertAlign w:val="subscript"/>
        </w:rPr>
        <w:t>3</w:t>
      </w:r>
      <w:r>
        <w:rPr>
          <w:rFonts w:hint="eastAsia"/>
          <w:color w:val="000000"/>
        </w:rPr>
        <w:t>——发生事故时可以转输到其它储存或处理设施的物料量，m</w:t>
      </w:r>
      <w:r>
        <w:rPr>
          <w:rFonts w:hint="eastAsia"/>
          <w:color w:val="000000"/>
          <w:vertAlign w:val="superscript"/>
        </w:rPr>
        <w:t>3</w:t>
      </w:r>
      <w:r>
        <w:rPr>
          <w:rFonts w:hint="eastAsia"/>
          <w:color w:val="000000"/>
        </w:rPr>
        <w:t>；</w:t>
      </w:r>
    </w:p>
    <w:p w14:paraId="777C6969">
      <w:pPr>
        <w:adjustRightInd w:val="0"/>
        <w:snapToGrid w:val="0"/>
        <w:ind w:firstLine="480" w:firstLineChars="200"/>
        <w:rPr>
          <w:color w:val="000000"/>
        </w:rPr>
      </w:pPr>
      <w:r>
        <w:rPr>
          <w:rFonts w:hint="eastAsia"/>
          <w:color w:val="000000"/>
        </w:rPr>
        <w:t>V</w:t>
      </w:r>
      <w:r>
        <w:rPr>
          <w:rFonts w:hint="eastAsia"/>
          <w:color w:val="000000"/>
          <w:vertAlign w:val="subscript"/>
        </w:rPr>
        <w:t>4</w:t>
      </w:r>
      <w:r>
        <w:rPr>
          <w:rFonts w:hint="eastAsia"/>
          <w:color w:val="000000"/>
        </w:rPr>
        <w:t>——发生事故时仍必须进入该收集系统的生产废水量，m</w:t>
      </w:r>
      <w:r>
        <w:rPr>
          <w:rFonts w:hint="eastAsia"/>
          <w:color w:val="000000"/>
          <w:vertAlign w:val="superscript"/>
        </w:rPr>
        <w:t>3</w:t>
      </w:r>
      <w:r>
        <w:rPr>
          <w:rFonts w:hint="eastAsia"/>
          <w:color w:val="000000"/>
        </w:rPr>
        <w:t>；</w:t>
      </w:r>
    </w:p>
    <w:p w14:paraId="402000DA">
      <w:pPr>
        <w:adjustRightInd w:val="0"/>
        <w:snapToGrid w:val="0"/>
        <w:ind w:firstLine="480" w:firstLineChars="200"/>
        <w:rPr>
          <w:color w:val="000000"/>
        </w:rPr>
      </w:pPr>
      <w:r>
        <w:rPr>
          <w:rFonts w:hint="eastAsia"/>
          <w:color w:val="000000"/>
        </w:rPr>
        <w:t>V</w:t>
      </w:r>
      <w:r>
        <w:rPr>
          <w:rFonts w:hint="eastAsia"/>
          <w:color w:val="000000"/>
          <w:vertAlign w:val="subscript"/>
        </w:rPr>
        <w:t>5</w:t>
      </w:r>
      <w:r>
        <w:rPr>
          <w:rFonts w:hint="eastAsia"/>
          <w:color w:val="000000"/>
        </w:rPr>
        <w:t>——发生事故时可能进入该收集系统的降雨量，m</w:t>
      </w:r>
      <w:r>
        <w:rPr>
          <w:rFonts w:hint="eastAsia"/>
          <w:color w:val="000000"/>
          <w:vertAlign w:val="superscript"/>
        </w:rPr>
        <w:t>3</w:t>
      </w:r>
      <w:r>
        <w:rPr>
          <w:rFonts w:hint="eastAsia"/>
          <w:color w:val="000000"/>
        </w:rPr>
        <w:t>。</w:t>
      </w:r>
    </w:p>
    <w:p w14:paraId="0BFC33BE">
      <w:pPr>
        <w:adjustRightInd w:val="0"/>
        <w:snapToGrid w:val="0"/>
        <w:ind w:firstLine="480" w:firstLineChars="200"/>
        <w:rPr>
          <w:color w:val="000000"/>
        </w:rPr>
      </w:pPr>
      <w:r>
        <w:rPr>
          <w:rFonts w:hint="eastAsia"/>
          <w:color w:val="000000"/>
        </w:rPr>
        <w:t>消防用水量计算公式：</w:t>
      </w:r>
    </w:p>
    <w:p w14:paraId="7C322BDC">
      <w:pPr>
        <w:adjustRightInd w:val="0"/>
        <w:snapToGrid w:val="0"/>
        <w:ind w:firstLine="480" w:firstLineChars="200"/>
        <w:jc w:val="center"/>
        <w:rPr>
          <w:color w:val="000000"/>
        </w:rPr>
      </w:pPr>
      <w:r>
        <w:rPr>
          <w:rFonts w:hint="eastAsia"/>
          <w:color w:val="000000"/>
        </w:rPr>
        <w:t>V</w:t>
      </w:r>
      <w:r>
        <w:rPr>
          <w:rFonts w:hint="eastAsia"/>
          <w:color w:val="000000"/>
          <w:vertAlign w:val="subscript"/>
        </w:rPr>
        <w:t>2</w:t>
      </w:r>
      <w:r>
        <w:rPr>
          <w:rFonts w:hint="eastAsia"/>
          <w:color w:val="000000"/>
        </w:rPr>
        <w:t>=∑Q</w:t>
      </w:r>
      <w:r>
        <w:rPr>
          <w:rFonts w:hint="eastAsia"/>
          <w:color w:val="000000"/>
          <w:vertAlign w:val="subscript"/>
        </w:rPr>
        <w:t>消</w:t>
      </w:r>
      <w:r>
        <w:rPr>
          <w:rFonts w:hint="eastAsia"/>
          <w:color w:val="000000"/>
        </w:rPr>
        <w:t>·t</w:t>
      </w:r>
      <w:r>
        <w:rPr>
          <w:rFonts w:hint="eastAsia"/>
          <w:color w:val="000000"/>
          <w:vertAlign w:val="subscript"/>
        </w:rPr>
        <w:t>消</w:t>
      </w:r>
    </w:p>
    <w:p w14:paraId="7E633B71">
      <w:pPr>
        <w:adjustRightInd w:val="0"/>
        <w:snapToGrid w:val="0"/>
        <w:ind w:firstLine="480" w:firstLineChars="200"/>
        <w:rPr>
          <w:color w:val="000000"/>
        </w:rPr>
      </w:pPr>
      <w:r>
        <w:rPr>
          <w:rFonts w:hint="eastAsia"/>
          <w:color w:val="000000"/>
        </w:rPr>
        <w:t>式中：</w:t>
      </w:r>
    </w:p>
    <w:p w14:paraId="7B15FAD8">
      <w:pPr>
        <w:adjustRightInd w:val="0"/>
        <w:snapToGrid w:val="0"/>
        <w:ind w:firstLine="960" w:firstLineChars="400"/>
        <w:rPr>
          <w:rFonts w:hint="eastAsia" w:eastAsia="宋体"/>
          <w:color w:val="000000"/>
          <w:lang w:eastAsia="zh-CN"/>
        </w:rPr>
      </w:pPr>
      <w:r>
        <w:rPr>
          <w:rFonts w:hint="eastAsia"/>
          <w:color w:val="000000"/>
        </w:rPr>
        <w:t>Q</w:t>
      </w:r>
      <w:r>
        <w:rPr>
          <w:rFonts w:hint="eastAsia"/>
          <w:color w:val="000000"/>
          <w:vertAlign w:val="subscript"/>
        </w:rPr>
        <w:t>消</w:t>
      </w:r>
      <w:r>
        <w:rPr>
          <w:rFonts w:hint="eastAsia"/>
          <w:color w:val="000000"/>
        </w:rPr>
        <w:t>——发生事故的罐区或装置区同时使用的消防设施给水流量，m</w:t>
      </w:r>
      <w:r>
        <w:rPr>
          <w:rFonts w:hint="eastAsia"/>
          <w:color w:val="000000"/>
          <w:vertAlign w:val="superscript"/>
        </w:rPr>
        <w:t>3</w:t>
      </w:r>
      <w:r>
        <w:rPr>
          <w:rFonts w:hint="eastAsia"/>
          <w:color w:val="000000"/>
        </w:rPr>
        <w:t>/h；</w:t>
      </w:r>
    </w:p>
    <w:p w14:paraId="40CFD161">
      <w:pPr>
        <w:adjustRightInd w:val="0"/>
        <w:snapToGrid w:val="0"/>
        <w:ind w:firstLine="960" w:firstLineChars="400"/>
        <w:rPr>
          <w:color w:val="000000"/>
        </w:rPr>
      </w:pPr>
      <w:r>
        <w:rPr>
          <w:rFonts w:hint="eastAsia"/>
          <w:color w:val="000000"/>
        </w:rPr>
        <w:t>t</w:t>
      </w:r>
      <w:r>
        <w:rPr>
          <w:rFonts w:hint="eastAsia"/>
          <w:color w:val="000000"/>
          <w:vertAlign w:val="subscript"/>
        </w:rPr>
        <w:t>消</w:t>
      </w:r>
      <w:r>
        <w:rPr>
          <w:rFonts w:hint="eastAsia"/>
          <w:color w:val="000000"/>
        </w:rPr>
        <w:t>——消防设施对应的设计消防历时，h。</w:t>
      </w:r>
    </w:p>
    <w:p w14:paraId="422243F3">
      <w:pPr>
        <w:adjustRightInd w:val="0"/>
        <w:snapToGrid w:val="0"/>
        <w:ind w:firstLine="480" w:firstLineChars="200"/>
        <w:rPr>
          <w:color w:val="000000"/>
        </w:rPr>
      </w:pPr>
      <w:r>
        <w:rPr>
          <w:rFonts w:hint="eastAsia"/>
          <w:color w:val="000000"/>
        </w:rPr>
        <w:t>A、根据公司实际情况，厂内可能发生物料泄露的单元包括储罐区、</w:t>
      </w:r>
      <w:r>
        <w:rPr>
          <w:rFonts w:hint="eastAsia"/>
          <w:color w:val="000000"/>
          <w:lang w:eastAsia="zh-CN"/>
        </w:rPr>
        <w:t>生产车间</w:t>
      </w:r>
      <w:r>
        <w:rPr>
          <w:rFonts w:hint="eastAsia"/>
          <w:color w:val="000000"/>
        </w:rPr>
        <w:t>，其中：</w:t>
      </w:r>
      <w:r>
        <w:rPr>
          <w:rFonts w:hint="eastAsia"/>
          <w:color w:val="000000"/>
          <w:lang w:eastAsia="zh-CN"/>
        </w:rPr>
        <w:t>生产车间氨水中间罐</w:t>
      </w:r>
      <w:r>
        <w:rPr>
          <w:rFonts w:hint="eastAsia"/>
          <w:color w:val="000000"/>
        </w:rPr>
        <w:t>为</w:t>
      </w:r>
      <w:r>
        <w:rPr>
          <w:rFonts w:hint="eastAsia"/>
          <w:color w:val="000000"/>
          <w:lang w:val="en-US" w:eastAsia="zh-CN"/>
        </w:rPr>
        <w:t>100</w:t>
      </w:r>
      <w:r>
        <w:rPr>
          <w:rFonts w:hint="eastAsia"/>
          <w:color w:val="000000"/>
        </w:rPr>
        <w:t>m</w:t>
      </w:r>
      <w:r>
        <w:rPr>
          <w:rFonts w:hint="eastAsia"/>
          <w:color w:val="000000"/>
          <w:vertAlign w:val="superscript"/>
        </w:rPr>
        <w:t>3</w:t>
      </w:r>
      <w:r>
        <w:rPr>
          <w:rFonts w:hint="eastAsia"/>
          <w:color w:val="000000"/>
        </w:rPr>
        <w:t>；</w:t>
      </w:r>
      <w:r>
        <w:rPr>
          <w:rFonts w:hint="eastAsia"/>
          <w:color w:val="000000"/>
          <w:lang w:eastAsia="zh-CN"/>
        </w:rPr>
        <w:t>液氨球罐</w:t>
      </w:r>
      <w:r>
        <w:rPr>
          <w:rFonts w:hint="eastAsia"/>
          <w:color w:val="000000"/>
        </w:rPr>
        <w:t>区最大储罐容积为1</w:t>
      </w:r>
      <w:r>
        <w:rPr>
          <w:rFonts w:hint="eastAsia"/>
          <w:color w:val="000000"/>
          <w:lang w:val="en-US" w:eastAsia="zh-CN"/>
        </w:rPr>
        <w:t>00</w:t>
      </w:r>
      <w:r>
        <w:rPr>
          <w:rFonts w:hint="eastAsia"/>
          <w:color w:val="000000"/>
        </w:rPr>
        <w:t>0m</w:t>
      </w:r>
      <w:r>
        <w:rPr>
          <w:rFonts w:hint="eastAsia"/>
          <w:color w:val="000000"/>
          <w:vertAlign w:val="superscript"/>
        </w:rPr>
        <w:t>3</w:t>
      </w:r>
      <w:r>
        <w:rPr>
          <w:rFonts w:hint="eastAsia"/>
          <w:color w:val="000000"/>
        </w:rPr>
        <w:t>；</w:t>
      </w:r>
      <w:r>
        <w:rPr>
          <w:rFonts w:hint="eastAsia"/>
          <w:color w:val="000000"/>
          <w:lang w:eastAsia="zh-CN"/>
        </w:rPr>
        <w:t>氨水储</w:t>
      </w:r>
      <w:r>
        <w:rPr>
          <w:rFonts w:hint="eastAsia" w:eastAsia="宋体"/>
          <w:color w:val="000000"/>
          <w:lang w:eastAsia="zh-CN"/>
        </w:rPr>
        <w:t>罐</w:t>
      </w:r>
      <w:r>
        <w:rPr>
          <w:rFonts w:hint="eastAsia"/>
          <w:color w:val="000000"/>
        </w:rPr>
        <w:t>区最大储罐容积为</w:t>
      </w:r>
      <w:r>
        <w:rPr>
          <w:rFonts w:hint="eastAsia"/>
          <w:color w:val="000000"/>
          <w:lang w:val="en-US" w:eastAsia="zh-CN"/>
        </w:rPr>
        <w:t>5</w:t>
      </w:r>
      <w:r>
        <w:rPr>
          <w:rFonts w:hint="eastAsia" w:ascii="Times New Roman" w:eastAsia="宋体"/>
          <w:color w:val="000000"/>
          <w:lang w:val="en-US" w:eastAsia="zh-CN"/>
        </w:rPr>
        <w:t>0</w:t>
      </w:r>
      <w:r>
        <w:rPr>
          <w:rFonts w:hint="eastAsia"/>
          <w:color w:val="000000"/>
        </w:rPr>
        <w:t>0m</w:t>
      </w:r>
      <w:r>
        <w:rPr>
          <w:rFonts w:hint="eastAsia"/>
          <w:color w:val="000000"/>
          <w:vertAlign w:val="superscript"/>
        </w:rPr>
        <w:t>3</w:t>
      </w:r>
      <w:r>
        <w:rPr>
          <w:rFonts w:hint="eastAsia"/>
          <w:color w:val="000000"/>
        </w:rPr>
        <w:t>。故可得V</w:t>
      </w:r>
      <w:r>
        <w:rPr>
          <w:rFonts w:hint="eastAsia"/>
          <w:color w:val="000000"/>
          <w:vertAlign w:val="subscript"/>
        </w:rPr>
        <w:t>1</w:t>
      </w:r>
      <w:r>
        <w:rPr>
          <w:rFonts w:hint="eastAsia"/>
          <w:color w:val="000000"/>
        </w:rPr>
        <w:t>=</w:t>
      </w:r>
      <w:r>
        <w:rPr>
          <w:rFonts w:hint="eastAsia"/>
          <w:color w:val="000000"/>
          <w:lang w:val="en-US" w:eastAsia="zh-CN"/>
        </w:rPr>
        <w:t>100</w:t>
      </w:r>
      <w:r>
        <w:rPr>
          <w:rFonts w:hint="eastAsia"/>
          <w:color w:val="000000"/>
        </w:rPr>
        <w:t>0m</w:t>
      </w:r>
      <w:r>
        <w:rPr>
          <w:rFonts w:hint="eastAsia"/>
          <w:color w:val="000000"/>
          <w:vertAlign w:val="superscript"/>
        </w:rPr>
        <w:t>3</w:t>
      </w:r>
      <w:r>
        <w:rPr>
          <w:rFonts w:hint="eastAsia"/>
          <w:color w:val="000000"/>
        </w:rPr>
        <w:t>。</w:t>
      </w:r>
    </w:p>
    <w:p w14:paraId="50CF97EF">
      <w:pPr>
        <w:adjustRightInd w:val="0"/>
        <w:snapToGrid w:val="0"/>
        <w:ind w:firstLine="480" w:firstLineChars="200"/>
        <w:rPr>
          <w:color w:val="000000"/>
        </w:rPr>
      </w:pPr>
      <w:r>
        <w:rPr>
          <w:rFonts w:hint="eastAsia"/>
          <w:color w:val="000000"/>
        </w:rPr>
        <w:t>B、根据《建筑设计防火规范》（GB50016-2014）和《消防给水及消火栓系统技术规范》（GB50974-2014）中“表3.3.2 建筑物室外消火栓设计流量”，本项目</w:t>
      </w:r>
      <w:r>
        <w:rPr>
          <w:rFonts w:hint="eastAsia"/>
          <w:color w:val="000000"/>
          <w:lang w:eastAsia="zh-CN"/>
        </w:rPr>
        <w:t>风险单元中</w:t>
      </w:r>
      <w:r>
        <w:rPr>
          <w:rFonts w:hint="eastAsia"/>
          <w:color w:val="000000"/>
        </w:rPr>
        <w:t>体积最大的建筑物为</w:t>
      </w:r>
      <w:r>
        <w:rPr>
          <w:rFonts w:hint="eastAsia"/>
          <w:color w:val="000000"/>
          <w:lang w:eastAsia="zh-CN"/>
        </w:rPr>
        <w:t>生产车间</w:t>
      </w:r>
      <w:r>
        <w:rPr>
          <w:rFonts w:hint="eastAsia"/>
          <w:color w:val="000000"/>
        </w:rPr>
        <w:t>，</w:t>
      </w:r>
      <w:r>
        <w:rPr>
          <w:rFonts w:hint="eastAsia"/>
          <w:color w:val="000000"/>
          <w:lang w:eastAsia="zh-CN"/>
        </w:rPr>
        <w:t>生产车间</w:t>
      </w:r>
      <w:r>
        <w:rPr>
          <w:rFonts w:hint="eastAsia"/>
          <w:color w:val="000000"/>
        </w:rPr>
        <w:t>体积为</w:t>
      </w:r>
      <w:r>
        <w:rPr>
          <w:rFonts w:hint="eastAsia"/>
          <w:color w:val="000000"/>
          <w:lang w:val="en-US" w:eastAsia="zh-CN"/>
        </w:rPr>
        <w:t>4185.44</w:t>
      </w:r>
      <w:r>
        <w:rPr>
          <w:rFonts w:hint="eastAsia"/>
          <w:color w:val="000000"/>
        </w:rPr>
        <w:t>m</w:t>
      </w:r>
      <w:r>
        <w:rPr>
          <w:rFonts w:hint="eastAsia"/>
          <w:color w:val="000000"/>
          <w:vertAlign w:val="superscript"/>
        </w:rPr>
        <w:t>3</w:t>
      </w:r>
      <w:r>
        <w:rPr>
          <w:rFonts w:hint="eastAsia"/>
          <w:color w:val="000000"/>
        </w:rPr>
        <w:t>，项目生产车间耐火等级为</w:t>
      </w:r>
      <w:r>
        <w:rPr>
          <w:rFonts w:hint="eastAsia"/>
          <w:color w:val="000000"/>
          <w:lang w:eastAsia="zh-CN"/>
        </w:rPr>
        <w:t>乙类、</w:t>
      </w:r>
      <w:r>
        <w:rPr>
          <w:rFonts w:hint="eastAsia"/>
          <w:color w:val="000000"/>
        </w:rPr>
        <w:t>二级，综上所述本项目消防给水量按最大的2</w:t>
      </w:r>
      <w:r>
        <w:rPr>
          <w:rFonts w:hint="eastAsia"/>
          <w:color w:val="000000"/>
          <w:lang w:val="en-US" w:eastAsia="zh-CN"/>
        </w:rPr>
        <w:t>0</w:t>
      </w:r>
      <w:r>
        <w:rPr>
          <w:rFonts w:hint="eastAsia"/>
          <w:color w:val="000000"/>
        </w:rPr>
        <w:t>L/s计，消防灭火时间按3小时计，则一次灭火用水量</w:t>
      </w:r>
      <w:r>
        <w:rPr>
          <w:rFonts w:hint="eastAsia"/>
          <w:color w:val="000000"/>
          <w:lang w:val="en-US" w:eastAsia="zh-CN"/>
        </w:rPr>
        <w:t>216</w:t>
      </w:r>
      <w:r>
        <w:rPr>
          <w:rFonts w:hint="eastAsia"/>
          <w:color w:val="000000"/>
        </w:rPr>
        <w:t>m</w:t>
      </w:r>
      <w:r>
        <w:rPr>
          <w:rFonts w:hint="eastAsia"/>
          <w:color w:val="000000"/>
          <w:vertAlign w:val="superscript"/>
        </w:rPr>
        <w:t>3</w:t>
      </w:r>
      <w:r>
        <w:rPr>
          <w:rFonts w:hint="eastAsia"/>
          <w:color w:val="000000"/>
        </w:rPr>
        <w:t>，消防废水系数按0.8计算，则消防废水量为</w:t>
      </w:r>
      <w:r>
        <w:rPr>
          <w:rFonts w:hint="eastAsia"/>
          <w:color w:val="000000"/>
          <w:lang w:val="en-US" w:eastAsia="zh-CN"/>
        </w:rPr>
        <w:t>172.8</w:t>
      </w:r>
      <w:r>
        <w:rPr>
          <w:rFonts w:hint="eastAsia"/>
          <w:color w:val="000000"/>
        </w:rPr>
        <w:t>m</w:t>
      </w:r>
      <w:r>
        <w:rPr>
          <w:rFonts w:hint="eastAsia"/>
          <w:color w:val="000000"/>
          <w:vertAlign w:val="superscript"/>
        </w:rPr>
        <w:t>3</w:t>
      </w:r>
      <w:r>
        <w:rPr>
          <w:rFonts w:hint="eastAsia"/>
          <w:color w:val="000000"/>
        </w:rPr>
        <w:t>。</w:t>
      </w:r>
    </w:p>
    <w:p w14:paraId="734BBFDE">
      <w:pPr>
        <w:widowControl w:val="0"/>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 w:val="24"/>
          <w:szCs w:val="20"/>
          <w:lang w:val="en-US" w:eastAsia="zh-CN" w:bidi="ar-SA"/>
        </w:rPr>
      </w:pPr>
      <w:r>
        <w:rPr>
          <w:rFonts w:hint="eastAsia" w:ascii="Times New Roman" w:hAnsi="Times New Roman" w:eastAsia="宋体" w:cs="Times New Roman"/>
          <w:b/>
          <w:color w:val="000000"/>
          <w:kern w:val="24"/>
          <w:sz w:val="24"/>
          <w:szCs w:val="20"/>
          <w:lang w:val="en-US" w:eastAsia="zh-CN" w:bidi="ar-SA"/>
        </w:rPr>
        <w:t>表</w:t>
      </w:r>
      <w:r>
        <w:rPr>
          <w:rFonts w:hint="eastAsia" w:cs="Times New Roman"/>
          <w:b/>
          <w:color w:val="000000"/>
          <w:kern w:val="24"/>
          <w:sz w:val="24"/>
          <w:szCs w:val="20"/>
          <w:lang w:val="en-US" w:eastAsia="zh-CN" w:bidi="ar-SA"/>
        </w:rPr>
        <w:t>5-10</w:t>
      </w:r>
      <w:r>
        <w:rPr>
          <w:rFonts w:hint="eastAsia" w:ascii="Times New Roman" w:hAnsi="Times New Roman" w:eastAsia="宋体" w:cs="Times New Roman"/>
          <w:b/>
          <w:color w:val="000000"/>
          <w:kern w:val="24"/>
          <w:sz w:val="24"/>
          <w:szCs w:val="20"/>
          <w:lang w:val="en-US" w:eastAsia="zh-CN" w:bidi="ar-SA"/>
        </w:rPr>
        <w:t xml:space="preserve"> 建筑物室外消火栓设计流量（L/s）</w:t>
      </w:r>
    </w:p>
    <w:tbl>
      <w:tblPr>
        <w:tblStyle w:val="12"/>
        <w:tblW w:w="536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17"/>
        <w:gridCol w:w="590"/>
        <w:gridCol w:w="958"/>
        <w:gridCol w:w="1290"/>
        <w:gridCol w:w="1067"/>
        <w:gridCol w:w="828"/>
        <w:gridCol w:w="824"/>
        <w:gridCol w:w="885"/>
        <w:gridCol w:w="1016"/>
        <w:gridCol w:w="963"/>
      </w:tblGrid>
      <w:tr w14:paraId="17995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9" w:hRule="atLeast"/>
          <w:jc w:val="center"/>
        </w:trPr>
        <w:tc>
          <w:tcPr>
            <w:tcW w:w="341" w:type="pct"/>
            <w:vMerge w:val="restart"/>
            <w:tcBorders>
              <w:tl2br w:val="nil"/>
              <w:tr2bl w:val="nil"/>
            </w:tcBorders>
            <w:vAlign w:val="center"/>
          </w:tcPr>
          <w:p w14:paraId="6D85AAB4">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耐火等级</w:t>
            </w:r>
          </w:p>
        </w:tc>
        <w:tc>
          <w:tcPr>
            <w:tcW w:w="1570" w:type="pct"/>
            <w:gridSpan w:val="3"/>
            <w:vMerge w:val="restart"/>
            <w:tcBorders>
              <w:tl2br w:val="nil"/>
              <w:tr2bl w:val="nil"/>
            </w:tcBorders>
            <w:vAlign w:val="center"/>
          </w:tcPr>
          <w:p w14:paraId="73484F2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建筑物名称及类别</w:t>
            </w:r>
          </w:p>
        </w:tc>
        <w:tc>
          <w:tcPr>
            <w:tcW w:w="3088" w:type="pct"/>
            <w:gridSpan w:val="6"/>
            <w:tcBorders>
              <w:tl2br w:val="nil"/>
              <w:tr2bl w:val="nil"/>
            </w:tcBorders>
            <w:vAlign w:val="center"/>
          </w:tcPr>
          <w:p w14:paraId="22479902">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建筑物体积V（m</w:t>
            </w:r>
            <w:r>
              <w:rPr>
                <w:rFonts w:hint="eastAsia" w:ascii="Times New Roman" w:hAnsi="Times New Roman" w:eastAsia="宋体" w:cs="Times New Roman"/>
                <w:color w:val="000000"/>
                <w:kern w:val="2"/>
                <w:sz w:val="21"/>
                <w:szCs w:val="24"/>
                <w:vertAlign w:val="superscript"/>
                <w:lang w:val="en-US" w:eastAsia="zh-CN" w:bidi="ar-SA"/>
              </w:rPr>
              <w:t>3</w:t>
            </w:r>
            <w:r>
              <w:rPr>
                <w:rFonts w:hint="eastAsia" w:ascii="Times New Roman" w:hAnsi="Times New Roman" w:eastAsia="宋体" w:cs="Times New Roman"/>
                <w:color w:val="000000"/>
                <w:kern w:val="2"/>
                <w:sz w:val="21"/>
                <w:szCs w:val="24"/>
                <w:lang w:val="en-US" w:eastAsia="zh-CN" w:bidi="ar-SA"/>
              </w:rPr>
              <w:t>）</w:t>
            </w:r>
          </w:p>
        </w:tc>
      </w:tr>
      <w:tr w14:paraId="36200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4" w:hRule="atLeast"/>
          <w:jc w:val="center"/>
        </w:trPr>
        <w:tc>
          <w:tcPr>
            <w:tcW w:w="341" w:type="pct"/>
            <w:vMerge w:val="continue"/>
            <w:tcBorders>
              <w:tl2br w:val="nil"/>
              <w:tr2bl w:val="nil"/>
            </w:tcBorders>
            <w:vAlign w:val="center"/>
          </w:tcPr>
          <w:p w14:paraId="6F023601">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1570" w:type="pct"/>
            <w:gridSpan w:val="3"/>
            <w:vMerge w:val="continue"/>
            <w:tcBorders>
              <w:tl2br w:val="nil"/>
              <w:tr2bl w:val="nil"/>
            </w:tcBorders>
            <w:vAlign w:val="center"/>
          </w:tcPr>
          <w:p w14:paraId="321CB08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90" w:type="pct"/>
            <w:tcBorders>
              <w:tl2br w:val="nil"/>
              <w:tr2bl w:val="nil"/>
            </w:tcBorders>
            <w:vAlign w:val="center"/>
          </w:tcPr>
          <w:p w14:paraId="754A96B5">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V≤1500</w:t>
            </w:r>
          </w:p>
        </w:tc>
        <w:tc>
          <w:tcPr>
            <w:tcW w:w="458" w:type="pct"/>
            <w:tcBorders>
              <w:tl2br w:val="nil"/>
              <w:tr2bl w:val="nil"/>
            </w:tcBorders>
            <w:vAlign w:val="center"/>
          </w:tcPr>
          <w:p w14:paraId="5E12116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1500&lt;V≤3000</w:t>
            </w:r>
          </w:p>
        </w:tc>
        <w:tc>
          <w:tcPr>
            <w:tcW w:w="455" w:type="pct"/>
            <w:tcBorders>
              <w:tl2br w:val="nil"/>
              <w:tr2bl w:val="nil"/>
            </w:tcBorders>
            <w:vAlign w:val="center"/>
          </w:tcPr>
          <w:p w14:paraId="2288499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3000&lt;V≤5000</w:t>
            </w:r>
          </w:p>
        </w:tc>
        <w:tc>
          <w:tcPr>
            <w:tcW w:w="489" w:type="pct"/>
            <w:tcBorders>
              <w:tl2br w:val="nil"/>
              <w:tr2bl w:val="nil"/>
            </w:tcBorders>
            <w:vAlign w:val="center"/>
          </w:tcPr>
          <w:p w14:paraId="1B9012EE">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5000&lt;V≤20000</w:t>
            </w:r>
          </w:p>
        </w:tc>
        <w:tc>
          <w:tcPr>
            <w:tcW w:w="562" w:type="pct"/>
            <w:tcBorders>
              <w:tl2br w:val="nil"/>
              <w:tr2bl w:val="nil"/>
            </w:tcBorders>
            <w:vAlign w:val="center"/>
          </w:tcPr>
          <w:p w14:paraId="4519BA7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20000&lt;V≤50000</w:t>
            </w:r>
          </w:p>
        </w:tc>
        <w:tc>
          <w:tcPr>
            <w:tcW w:w="532" w:type="pct"/>
            <w:tcBorders>
              <w:tl2br w:val="nil"/>
              <w:tr2bl w:val="nil"/>
            </w:tcBorders>
            <w:vAlign w:val="center"/>
          </w:tcPr>
          <w:p w14:paraId="31C857D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V&gt;50000</w:t>
            </w:r>
          </w:p>
        </w:tc>
      </w:tr>
      <w:tr w14:paraId="60A64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restart"/>
            <w:tcBorders>
              <w:tl2br w:val="nil"/>
              <w:tr2bl w:val="nil"/>
            </w:tcBorders>
            <w:vAlign w:val="center"/>
          </w:tcPr>
          <w:p w14:paraId="101DEF55">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一、二级</w:t>
            </w:r>
          </w:p>
        </w:tc>
        <w:tc>
          <w:tcPr>
            <w:tcW w:w="326" w:type="pct"/>
            <w:vMerge w:val="restart"/>
            <w:tcBorders>
              <w:tl2br w:val="nil"/>
              <w:tr2bl w:val="nil"/>
            </w:tcBorders>
            <w:vAlign w:val="center"/>
          </w:tcPr>
          <w:p w14:paraId="29AB5FE8">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工业建筑</w:t>
            </w:r>
          </w:p>
        </w:tc>
        <w:tc>
          <w:tcPr>
            <w:tcW w:w="529" w:type="pct"/>
            <w:vMerge w:val="restart"/>
            <w:tcBorders>
              <w:tl2br w:val="nil"/>
              <w:tr2bl w:val="nil"/>
            </w:tcBorders>
            <w:vAlign w:val="center"/>
          </w:tcPr>
          <w:p w14:paraId="520D1194">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厂房</w:t>
            </w:r>
          </w:p>
        </w:tc>
        <w:tc>
          <w:tcPr>
            <w:tcW w:w="713" w:type="pct"/>
            <w:tcBorders>
              <w:tl2br w:val="nil"/>
              <w:tr2bl w:val="nil"/>
            </w:tcBorders>
            <w:vAlign w:val="center"/>
          </w:tcPr>
          <w:p w14:paraId="1D899BAE">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甲、乙</w:t>
            </w:r>
          </w:p>
        </w:tc>
        <w:tc>
          <w:tcPr>
            <w:tcW w:w="1048" w:type="pct"/>
            <w:gridSpan w:val="2"/>
            <w:tcBorders>
              <w:tl2br w:val="nil"/>
              <w:tr2bl w:val="nil"/>
            </w:tcBorders>
            <w:vAlign w:val="center"/>
          </w:tcPr>
          <w:p w14:paraId="56996C0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455" w:type="pct"/>
            <w:tcBorders>
              <w:tl2br w:val="nil"/>
              <w:tr2bl w:val="nil"/>
            </w:tcBorders>
            <w:vAlign w:val="center"/>
          </w:tcPr>
          <w:p w14:paraId="2954457D">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20</w:t>
            </w:r>
          </w:p>
        </w:tc>
        <w:tc>
          <w:tcPr>
            <w:tcW w:w="489" w:type="pct"/>
            <w:tcBorders>
              <w:tl2br w:val="nil"/>
              <w:tr2bl w:val="nil"/>
            </w:tcBorders>
            <w:vAlign w:val="center"/>
          </w:tcPr>
          <w:p w14:paraId="134DCB4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25</w:t>
            </w:r>
          </w:p>
        </w:tc>
        <w:tc>
          <w:tcPr>
            <w:tcW w:w="562" w:type="pct"/>
            <w:tcBorders>
              <w:tl2br w:val="nil"/>
              <w:tr2bl w:val="nil"/>
            </w:tcBorders>
            <w:vAlign w:val="center"/>
          </w:tcPr>
          <w:p w14:paraId="7535F1C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30</w:t>
            </w:r>
          </w:p>
        </w:tc>
        <w:tc>
          <w:tcPr>
            <w:tcW w:w="532" w:type="pct"/>
            <w:tcBorders>
              <w:tl2br w:val="nil"/>
              <w:tr2bl w:val="nil"/>
            </w:tcBorders>
            <w:vAlign w:val="center"/>
          </w:tcPr>
          <w:p w14:paraId="07D424D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35</w:t>
            </w:r>
          </w:p>
        </w:tc>
      </w:tr>
      <w:tr w14:paraId="26AC0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4C4224DE">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501886B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continue"/>
            <w:tcBorders>
              <w:tl2br w:val="nil"/>
              <w:tr2bl w:val="nil"/>
            </w:tcBorders>
            <w:vAlign w:val="center"/>
          </w:tcPr>
          <w:p w14:paraId="5B89612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713" w:type="pct"/>
            <w:tcBorders>
              <w:tl2br w:val="nil"/>
              <w:tr2bl w:val="nil"/>
            </w:tcBorders>
            <w:vAlign w:val="center"/>
          </w:tcPr>
          <w:p w14:paraId="3D3628F7">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丙</w:t>
            </w:r>
          </w:p>
        </w:tc>
        <w:tc>
          <w:tcPr>
            <w:tcW w:w="1048" w:type="pct"/>
            <w:gridSpan w:val="2"/>
            <w:tcBorders>
              <w:tl2br w:val="nil"/>
              <w:tr2bl w:val="nil"/>
            </w:tcBorders>
            <w:vAlign w:val="center"/>
          </w:tcPr>
          <w:p w14:paraId="3E4772C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455" w:type="pct"/>
            <w:tcBorders>
              <w:tl2br w:val="nil"/>
              <w:tr2bl w:val="nil"/>
            </w:tcBorders>
            <w:vAlign w:val="center"/>
          </w:tcPr>
          <w:p w14:paraId="680FFE3C">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20</w:t>
            </w:r>
          </w:p>
        </w:tc>
        <w:tc>
          <w:tcPr>
            <w:tcW w:w="489" w:type="pct"/>
            <w:tcBorders>
              <w:tl2br w:val="nil"/>
              <w:tr2bl w:val="nil"/>
            </w:tcBorders>
            <w:vAlign w:val="center"/>
          </w:tcPr>
          <w:p w14:paraId="1AD0B20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25</w:t>
            </w:r>
          </w:p>
        </w:tc>
        <w:tc>
          <w:tcPr>
            <w:tcW w:w="562" w:type="pct"/>
            <w:tcBorders>
              <w:tl2br w:val="nil"/>
              <w:tr2bl w:val="nil"/>
            </w:tcBorders>
            <w:vAlign w:val="center"/>
          </w:tcPr>
          <w:p w14:paraId="056FE7CD">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30</w:t>
            </w:r>
          </w:p>
        </w:tc>
        <w:tc>
          <w:tcPr>
            <w:tcW w:w="532" w:type="pct"/>
            <w:tcBorders>
              <w:tl2br w:val="nil"/>
              <w:tr2bl w:val="nil"/>
            </w:tcBorders>
            <w:vAlign w:val="center"/>
          </w:tcPr>
          <w:p w14:paraId="0EF8C6DB">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40</w:t>
            </w:r>
          </w:p>
        </w:tc>
      </w:tr>
      <w:tr w14:paraId="11968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40C6D7A5">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4A7252C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continue"/>
            <w:tcBorders>
              <w:tl2br w:val="nil"/>
              <w:tr2bl w:val="nil"/>
            </w:tcBorders>
            <w:vAlign w:val="center"/>
          </w:tcPr>
          <w:p w14:paraId="65EECB4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713" w:type="pct"/>
            <w:tcBorders>
              <w:tl2br w:val="nil"/>
              <w:tr2bl w:val="nil"/>
            </w:tcBorders>
            <w:vAlign w:val="center"/>
          </w:tcPr>
          <w:p w14:paraId="3F6B169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丁、戊</w:t>
            </w:r>
          </w:p>
        </w:tc>
        <w:tc>
          <w:tcPr>
            <w:tcW w:w="2555" w:type="pct"/>
            <w:gridSpan w:val="5"/>
            <w:tcBorders>
              <w:tl2br w:val="nil"/>
              <w:tr2bl w:val="nil"/>
            </w:tcBorders>
            <w:vAlign w:val="center"/>
          </w:tcPr>
          <w:p w14:paraId="316AB07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532" w:type="pct"/>
            <w:tcBorders>
              <w:tl2br w:val="nil"/>
              <w:tr2bl w:val="nil"/>
            </w:tcBorders>
            <w:vAlign w:val="center"/>
          </w:tcPr>
          <w:p w14:paraId="03900E6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20</w:t>
            </w:r>
          </w:p>
        </w:tc>
      </w:tr>
      <w:tr w14:paraId="6BE96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4A4BA16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5CC8B4E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restart"/>
            <w:tcBorders>
              <w:tl2br w:val="nil"/>
              <w:tr2bl w:val="nil"/>
            </w:tcBorders>
            <w:vAlign w:val="center"/>
          </w:tcPr>
          <w:p w14:paraId="74DB668D">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仓库</w:t>
            </w:r>
          </w:p>
        </w:tc>
        <w:tc>
          <w:tcPr>
            <w:tcW w:w="713" w:type="pct"/>
            <w:tcBorders>
              <w:tl2br w:val="nil"/>
              <w:tr2bl w:val="nil"/>
            </w:tcBorders>
            <w:vAlign w:val="center"/>
          </w:tcPr>
          <w:p w14:paraId="10912335">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甲、乙</w:t>
            </w:r>
          </w:p>
        </w:tc>
        <w:tc>
          <w:tcPr>
            <w:tcW w:w="1048" w:type="pct"/>
            <w:gridSpan w:val="2"/>
            <w:tcBorders>
              <w:tl2br w:val="nil"/>
              <w:tr2bl w:val="nil"/>
            </w:tcBorders>
            <w:vAlign w:val="center"/>
          </w:tcPr>
          <w:p w14:paraId="1B9000C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945" w:type="pct"/>
            <w:gridSpan w:val="2"/>
            <w:tcBorders>
              <w:tl2br w:val="nil"/>
              <w:tr2bl w:val="nil"/>
            </w:tcBorders>
            <w:vAlign w:val="center"/>
          </w:tcPr>
          <w:p w14:paraId="2169D4A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25</w:t>
            </w:r>
          </w:p>
        </w:tc>
        <w:tc>
          <w:tcPr>
            <w:tcW w:w="1094" w:type="pct"/>
            <w:gridSpan w:val="2"/>
            <w:tcBorders>
              <w:tl2br w:val="nil"/>
              <w:tr2bl w:val="nil"/>
            </w:tcBorders>
            <w:vAlign w:val="center"/>
          </w:tcPr>
          <w:p w14:paraId="1D43BB2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r>
      <w:tr w14:paraId="59FCE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5C8334F2">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21805AA4">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continue"/>
            <w:tcBorders>
              <w:tl2br w:val="nil"/>
              <w:tr2bl w:val="nil"/>
            </w:tcBorders>
            <w:vAlign w:val="center"/>
          </w:tcPr>
          <w:p w14:paraId="3160C8A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713" w:type="pct"/>
            <w:tcBorders>
              <w:tl2br w:val="nil"/>
              <w:tr2bl w:val="nil"/>
            </w:tcBorders>
            <w:vAlign w:val="center"/>
          </w:tcPr>
          <w:p w14:paraId="17BC94B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丙</w:t>
            </w:r>
          </w:p>
        </w:tc>
        <w:tc>
          <w:tcPr>
            <w:tcW w:w="1048" w:type="pct"/>
            <w:gridSpan w:val="2"/>
            <w:tcBorders>
              <w:tl2br w:val="nil"/>
              <w:tr2bl w:val="nil"/>
            </w:tcBorders>
            <w:vAlign w:val="center"/>
          </w:tcPr>
          <w:p w14:paraId="13E9ED3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945" w:type="pct"/>
            <w:gridSpan w:val="2"/>
            <w:tcBorders>
              <w:tl2br w:val="nil"/>
              <w:tr2bl w:val="nil"/>
            </w:tcBorders>
            <w:vAlign w:val="center"/>
          </w:tcPr>
          <w:p w14:paraId="1CBAC823">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25</w:t>
            </w:r>
          </w:p>
        </w:tc>
        <w:tc>
          <w:tcPr>
            <w:tcW w:w="562" w:type="pct"/>
            <w:tcBorders>
              <w:tl2br w:val="nil"/>
              <w:tr2bl w:val="nil"/>
            </w:tcBorders>
            <w:vAlign w:val="center"/>
          </w:tcPr>
          <w:p w14:paraId="7B5ADAD5">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35</w:t>
            </w:r>
          </w:p>
        </w:tc>
        <w:tc>
          <w:tcPr>
            <w:tcW w:w="532" w:type="pct"/>
            <w:tcBorders>
              <w:tl2br w:val="nil"/>
              <w:tr2bl w:val="nil"/>
            </w:tcBorders>
            <w:vAlign w:val="center"/>
          </w:tcPr>
          <w:p w14:paraId="38740DF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45</w:t>
            </w:r>
          </w:p>
        </w:tc>
      </w:tr>
      <w:tr w14:paraId="05485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6FF315E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7FDEE2D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continue"/>
            <w:tcBorders>
              <w:tl2br w:val="nil"/>
              <w:tr2bl w:val="nil"/>
            </w:tcBorders>
            <w:vAlign w:val="center"/>
          </w:tcPr>
          <w:p w14:paraId="2CEE3A8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713" w:type="pct"/>
            <w:tcBorders>
              <w:tl2br w:val="nil"/>
              <w:tr2bl w:val="nil"/>
            </w:tcBorders>
            <w:vAlign w:val="center"/>
          </w:tcPr>
          <w:p w14:paraId="7BD6D0D3">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丁、戊</w:t>
            </w:r>
          </w:p>
        </w:tc>
        <w:tc>
          <w:tcPr>
            <w:tcW w:w="2555" w:type="pct"/>
            <w:gridSpan w:val="5"/>
            <w:tcBorders>
              <w:tl2br w:val="nil"/>
              <w:tr2bl w:val="nil"/>
            </w:tcBorders>
            <w:vAlign w:val="center"/>
          </w:tcPr>
          <w:p w14:paraId="45A98E0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532" w:type="pct"/>
            <w:tcBorders>
              <w:tl2br w:val="nil"/>
              <w:tr2bl w:val="nil"/>
            </w:tcBorders>
            <w:vAlign w:val="center"/>
          </w:tcPr>
          <w:p w14:paraId="3D3271AA">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20</w:t>
            </w:r>
          </w:p>
        </w:tc>
      </w:tr>
      <w:tr w14:paraId="24BA6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36764442">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restart"/>
            <w:tcBorders>
              <w:tl2br w:val="nil"/>
              <w:tr2bl w:val="nil"/>
            </w:tcBorders>
            <w:vAlign w:val="center"/>
          </w:tcPr>
          <w:p w14:paraId="6BFC0A77">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民用建筑</w:t>
            </w:r>
          </w:p>
        </w:tc>
        <w:tc>
          <w:tcPr>
            <w:tcW w:w="529" w:type="pct"/>
            <w:tcBorders>
              <w:tl2br w:val="nil"/>
              <w:tr2bl w:val="nil"/>
            </w:tcBorders>
            <w:vAlign w:val="center"/>
          </w:tcPr>
          <w:p w14:paraId="66DBB17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住宅</w:t>
            </w:r>
          </w:p>
        </w:tc>
        <w:tc>
          <w:tcPr>
            <w:tcW w:w="713" w:type="pct"/>
            <w:tcBorders>
              <w:tl2br w:val="nil"/>
              <w:tr2bl w:val="nil"/>
            </w:tcBorders>
            <w:vAlign w:val="center"/>
          </w:tcPr>
          <w:p w14:paraId="55F5EAF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普通</w:t>
            </w:r>
          </w:p>
        </w:tc>
        <w:tc>
          <w:tcPr>
            <w:tcW w:w="3088" w:type="pct"/>
            <w:gridSpan w:val="6"/>
            <w:tcBorders>
              <w:tl2br w:val="nil"/>
              <w:tr2bl w:val="nil"/>
            </w:tcBorders>
            <w:vAlign w:val="center"/>
          </w:tcPr>
          <w:p w14:paraId="54E0BCF2">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r>
      <w:tr w14:paraId="6A7D7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6" w:hRule="atLeast"/>
          <w:jc w:val="center"/>
        </w:trPr>
        <w:tc>
          <w:tcPr>
            <w:tcW w:w="341" w:type="pct"/>
            <w:vMerge w:val="continue"/>
            <w:tcBorders>
              <w:tl2br w:val="nil"/>
              <w:tr2bl w:val="nil"/>
            </w:tcBorders>
            <w:vAlign w:val="center"/>
          </w:tcPr>
          <w:p w14:paraId="699C64F6">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1D28EDA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restart"/>
            <w:tcBorders>
              <w:tl2br w:val="nil"/>
              <w:tr2bl w:val="nil"/>
            </w:tcBorders>
            <w:vAlign w:val="center"/>
          </w:tcPr>
          <w:p w14:paraId="66146BE7">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公共建筑</w:t>
            </w:r>
          </w:p>
        </w:tc>
        <w:tc>
          <w:tcPr>
            <w:tcW w:w="713" w:type="pct"/>
            <w:tcBorders>
              <w:tl2br w:val="nil"/>
              <w:tr2bl w:val="nil"/>
            </w:tcBorders>
            <w:vAlign w:val="center"/>
          </w:tcPr>
          <w:p w14:paraId="3E9E2DA5">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单层及多层</w:t>
            </w:r>
          </w:p>
        </w:tc>
        <w:tc>
          <w:tcPr>
            <w:tcW w:w="1504" w:type="pct"/>
            <w:gridSpan w:val="3"/>
            <w:tcBorders>
              <w:tl2br w:val="nil"/>
              <w:tr2bl w:val="nil"/>
            </w:tcBorders>
            <w:vAlign w:val="center"/>
          </w:tcPr>
          <w:p w14:paraId="63A499F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15</w:t>
            </w:r>
          </w:p>
        </w:tc>
        <w:tc>
          <w:tcPr>
            <w:tcW w:w="489" w:type="pct"/>
            <w:tcBorders>
              <w:tl2br w:val="nil"/>
              <w:tr2bl w:val="nil"/>
            </w:tcBorders>
            <w:vAlign w:val="center"/>
          </w:tcPr>
          <w:p w14:paraId="65FDDA73">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25</w:t>
            </w:r>
          </w:p>
        </w:tc>
        <w:tc>
          <w:tcPr>
            <w:tcW w:w="562" w:type="pct"/>
            <w:tcBorders>
              <w:tl2br w:val="nil"/>
              <w:tr2bl w:val="nil"/>
            </w:tcBorders>
            <w:vAlign w:val="center"/>
          </w:tcPr>
          <w:p w14:paraId="41E49A39">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30</w:t>
            </w:r>
          </w:p>
        </w:tc>
        <w:tc>
          <w:tcPr>
            <w:tcW w:w="532" w:type="pct"/>
            <w:tcBorders>
              <w:tl2br w:val="nil"/>
              <w:tr2bl w:val="nil"/>
            </w:tcBorders>
            <w:vAlign w:val="center"/>
          </w:tcPr>
          <w:p w14:paraId="1886FDAF">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40</w:t>
            </w:r>
          </w:p>
        </w:tc>
      </w:tr>
      <w:tr w14:paraId="3E163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6" w:hRule="atLeast"/>
          <w:jc w:val="center"/>
        </w:trPr>
        <w:tc>
          <w:tcPr>
            <w:tcW w:w="341" w:type="pct"/>
            <w:vMerge w:val="continue"/>
            <w:tcBorders>
              <w:tl2br w:val="nil"/>
              <w:tr2bl w:val="nil"/>
            </w:tcBorders>
            <w:vAlign w:val="center"/>
          </w:tcPr>
          <w:p w14:paraId="2C986A42">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326" w:type="pct"/>
            <w:vMerge w:val="continue"/>
            <w:tcBorders>
              <w:tl2br w:val="nil"/>
              <w:tr2bl w:val="nil"/>
            </w:tcBorders>
            <w:vAlign w:val="center"/>
          </w:tcPr>
          <w:p w14:paraId="31B5DCC8">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529" w:type="pct"/>
            <w:vMerge w:val="continue"/>
            <w:tcBorders>
              <w:tl2br w:val="nil"/>
              <w:tr2bl w:val="nil"/>
            </w:tcBorders>
            <w:vAlign w:val="center"/>
          </w:tcPr>
          <w:p w14:paraId="4AB738C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p>
        </w:tc>
        <w:tc>
          <w:tcPr>
            <w:tcW w:w="713" w:type="pct"/>
            <w:tcBorders>
              <w:tl2br w:val="nil"/>
              <w:tr2bl w:val="nil"/>
            </w:tcBorders>
            <w:vAlign w:val="center"/>
          </w:tcPr>
          <w:p w14:paraId="4E1A67F0">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高层</w:t>
            </w:r>
          </w:p>
        </w:tc>
        <w:tc>
          <w:tcPr>
            <w:tcW w:w="1504" w:type="pct"/>
            <w:gridSpan w:val="3"/>
            <w:tcBorders>
              <w:tl2br w:val="nil"/>
              <w:tr2bl w:val="nil"/>
            </w:tcBorders>
            <w:vAlign w:val="center"/>
          </w:tcPr>
          <w:p w14:paraId="6C35013B">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489" w:type="pct"/>
            <w:tcBorders>
              <w:tl2br w:val="nil"/>
              <w:tr2bl w:val="nil"/>
            </w:tcBorders>
            <w:vAlign w:val="center"/>
          </w:tcPr>
          <w:p w14:paraId="5CC61073">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25</w:t>
            </w:r>
          </w:p>
        </w:tc>
        <w:tc>
          <w:tcPr>
            <w:tcW w:w="562" w:type="pct"/>
            <w:tcBorders>
              <w:tl2br w:val="nil"/>
              <w:tr2bl w:val="nil"/>
            </w:tcBorders>
            <w:vAlign w:val="center"/>
          </w:tcPr>
          <w:p w14:paraId="55F215A3">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w:t>
            </w:r>
          </w:p>
        </w:tc>
        <w:tc>
          <w:tcPr>
            <w:tcW w:w="532" w:type="pct"/>
            <w:tcBorders>
              <w:tl2br w:val="nil"/>
              <w:tr2bl w:val="nil"/>
            </w:tcBorders>
            <w:vAlign w:val="center"/>
          </w:tcPr>
          <w:p w14:paraId="4A9C7411">
            <w:pPr>
              <w:widowControl w:val="0"/>
              <w:adjustRightInd w:val="0"/>
              <w:snapToGrid w:val="0"/>
              <w:spacing w:line="240" w:lineRule="auto"/>
              <w:jc w:val="center"/>
              <w:rPr>
                <w:rFonts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40</w:t>
            </w:r>
          </w:p>
        </w:tc>
      </w:tr>
    </w:tbl>
    <w:p w14:paraId="66AC68B1">
      <w:pPr>
        <w:widowControl w:val="0"/>
        <w:autoSpaceDE w:val="0"/>
        <w:autoSpaceDN w:val="0"/>
        <w:adjustRightInd w:val="0"/>
        <w:snapToGrid w:val="0"/>
        <w:spacing w:line="240" w:lineRule="auto"/>
        <w:jc w:val="center"/>
        <w:textAlignment w:val="baseline"/>
        <w:rPr>
          <w:rFonts w:ascii="Times New Roman" w:hAnsi="Times New Roman" w:eastAsia="宋体" w:cs="Times New Roman"/>
          <w:b/>
          <w:color w:val="000000"/>
          <w:kern w:val="24"/>
          <w:sz w:val="24"/>
          <w:szCs w:val="20"/>
          <w:lang w:val="en-US" w:eastAsia="zh-CN" w:bidi="ar-SA"/>
        </w:rPr>
      </w:pPr>
    </w:p>
    <w:p w14:paraId="07CA1EE7">
      <w:pPr>
        <w:adjustRightInd w:val="0"/>
        <w:snapToGrid w:val="0"/>
        <w:ind w:firstLine="480" w:firstLineChars="200"/>
        <w:rPr>
          <w:color w:val="000000"/>
        </w:rPr>
      </w:pPr>
      <w:r>
        <w:rPr>
          <w:rFonts w:hint="eastAsia"/>
          <w:color w:val="000000"/>
        </w:rPr>
        <w:t>C、发生事故时可以转输到其他储存或处理设施的物料量，则V</w:t>
      </w:r>
      <w:r>
        <w:rPr>
          <w:rFonts w:hint="eastAsia"/>
          <w:color w:val="000000"/>
          <w:vertAlign w:val="subscript"/>
        </w:rPr>
        <w:t>3</w:t>
      </w:r>
      <w:r>
        <w:rPr>
          <w:rFonts w:hint="eastAsia"/>
          <w:color w:val="000000"/>
        </w:rPr>
        <w:t>=0m</w:t>
      </w:r>
      <w:r>
        <w:rPr>
          <w:rFonts w:hint="eastAsia"/>
          <w:color w:val="000000"/>
          <w:vertAlign w:val="superscript"/>
        </w:rPr>
        <w:t>3</w:t>
      </w:r>
      <w:r>
        <w:rPr>
          <w:rFonts w:hint="eastAsia"/>
          <w:color w:val="000000"/>
        </w:rPr>
        <w:t>。通过以上分析，（V</w:t>
      </w:r>
      <w:r>
        <w:rPr>
          <w:rFonts w:hint="eastAsia"/>
          <w:color w:val="000000"/>
          <w:vertAlign w:val="subscript"/>
        </w:rPr>
        <w:t>1</w:t>
      </w:r>
      <w:r>
        <w:rPr>
          <w:rFonts w:hint="eastAsia"/>
          <w:color w:val="000000"/>
        </w:rPr>
        <w:t>+V</w:t>
      </w:r>
      <w:r>
        <w:rPr>
          <w:rFonts w:hint="eastAsia"/>
          <w:color w:val="000000"/>
          <w:vertAlign w:val="subscript"/>
        </w:rPr>
        <w:t>2</w:t>
      </w:r>
      <w:r>
        <w:rPr>
          <w:rFonts w:hint="eastAsia"/>
          <w:color w:val="000000"/>
        </w:rPr>
        <w:t>-V</w:t>
      </w:r>
      <w:r>
        <w:rPr>
          <w:rFonts w:hint="eastAsia"/>
          <w:color w:val="000000"/>
          <w:vertAlign w:val="subscript"/>
        </w:rPr>
        <w:t>3</w:t>
      </w:r>
      <w:r>
        <w:rPr>
          <w:rFonts w:hint="eastAsia"/>
          <w:color w:val="000000"/>
        </w:rPr>
        <w:t>）max=1</w:t>
      </w:r>
      <w:r>
        <w:rPr>
          <w:rFonts w:hint="eastAsia"/>
          <w:color w:val="000000"/>
          <w:lang w:val="en-US" w:eastAsia="zh-CN"/>
        </w:rPr>
        <w:t>00</w:t>
      </w:r>
      <w:r>
        <w:rPr>
          <w:rFonts w:hint="eastAsia"/>
          <w:color w:val="000000"/>
        </w:rPr>
        <w:t>0+</w:t>
      </w:r>
      <w:r>
        <w:rPr>
          <w:rFonts w:hint="eastAsia"/>
          <w:color w:val="000000"/>
          <w:lang w:val="en-US" w:eastAsia="zh-CN"/>
        </w:rPr>
        <w:t>172.8</w:t>
      </w:r>
      <w:r>
        <w:rPr>
          <w:rFonts w:hint="eastAsia"/>
          <w:color w:val="000000"/>
        </w:rPr>
        <w:t>-0=</w:t>
      </w:r>
      <w:r>
        <w:rPr>
          <w:rFonts w:hint="eastAsia"/>
          <w:color w:val="000000"/>
          <w:lang w:val="en-US" w:eastAsia="zh-CN"/>
        </w:rPr>
        <w:t>1172.8</w:t>
      </w:r>
      <w:r>
        <w:rPr>
          <w:rFonts w:hint="eastAsia"/>
          <w:color w:val="000000"/>
        </w:rPr>
        <w:t>m</w:t>
      </w:r>
      <w:r>
        <w:rPr>
          <w:rFonts w:hint="eastAsia"/>
          <w:color w:val="000000"/>
          <w:vertAlign w:val="superscript"/>
        </w:rPr>
        <w:t>3</w:t>
      </w:r>
      <w:r>
        <w:rPr>
          <w:rFonts w:hint="eastAsia"/>
          <w:color w:val="000000"/>
        </w:rPr>
        <w:t>。</w:t>
      </w:r>
    </w:p>
    <w:p w14:paraId="5E7D376A">
      <w:pPr>
        <w:adjustRightInd w:val="0"/>
        <w:snapToGrid w:val="0"/>
        <w:ind w:firstLine="480" w:firstLineChars="200"/>
        <w:rPr>
          <w:color w:val="000000"/>
        </w:rPr>
      </w:pPr>
      <w:r>
        <w:rPr>
          <w:rFonts w:hint="eastAsia"/>
          <w:color w:val="000000"/>
        </w:rPr>
        <w:t>D、软水器制备纯水后产生少量浓水属于清净下水，直接排入园区雨水管网。球罐储存过程冷却降温用水，15%蒸发损耗，其余在球罐下方汇集，经管道输送返回防晒循环水池内循环回用，不外排。吸氨器冷却用水进入凉水塔冷却，凉水</w:t>
      </w:r>
      <w:r>
        <w:rPr>
          <w:rFonts w:hint="eastAsia"/>
          <w:color w:val="000000"/>
          <w:lang w:eastAsia="zh-CN"/>
        </w:rPr>
        <w:t>塔</w:t>
      </w:r>
      <w:r>
        <w:rPr>
          <w:rFonts w:hint="eastAsia"/>
          <w:color w:val="000000"/>
        </w:rPr>
        <w:t>的水蒸发损耗2%</w:t>
      </w:r>
      <w:r>
        <w:rPr>
          <w:rFonts w:hint="eastAsia"/>
          <w:color w:val="000000"/>
          <w:lang w:eastAsia="zh-CN"/>
        </w:rPr>
        <w:t>，</w:t>
      </w:r>
      <w:r>
        <w:rPr>
          <w:rFonts w:hint="eastAsia"/>
          <w:color w:val="000000"/>
        </w:rPr>
        <w:t>其余水经过冷却后循环回用于吸氨器冷却用水，并相应地补充蒸发损耗的水量。本项目尾气吸收塔喷淋用水均进入吸氨器回用于项目氨水生产，不外排。</w:t>
      </w:r>
      <w:r>
        <w:rPr>
          <w:rFonts w:hint="eastAsia"/>
          <w:color w:val="000000"/>
          <w:lang w:eastAsia="zh-CN"/>
        </w:rPr>
        <w:t>上述废水均</w:t>
      </w:r>
      <w:r>
        <w:rPr>
          <w:rFonts w:hint="eastAsia"/>
          <w:color w:val="000000"/>
        </w:rPr>
        <w:t>不进入该收集系统，故V</w:t>
      </w:r>
      <w:r>
        <w:rPr>
          <w:rFonts w:hint="eastAsia"/>
          <w:color w:val="000000"/>
          <w:vertAlign w:val="subscript"/>
        </w:rPr>
        <w:t>4</w:t>
      </w:r>
      <w:r>
        <w:rPr>
          <w:rFonts w:hint="eastAsia"/>
          <w:color w:val="000000"/>
        </w:rPr>
        <w:t>=0m</w:t>
      </w:r>
      <w:r>
        <w:rPr>
          <w:rFonts w:hint="eastAsia"/>
          <w:color w:val="000000"/>
          <w:vertAlign w:val="superscript"/>
        </w:rPr>
        <w:t>3</w:t>
      </w:r>
      <w:r>
        <w:rPr>
          <w:rFonts w:hint="eastAsia"/>
          <w:color w:val="000000"/>
        </w:rPr>
        <w:t>。</w:t>
      </w:r>
    </w:p>
    <w:p w14:paraId="3489A826">
      <w:pPr>
        <w:adjustRightInd w:val="0"/>
        <w:snapToGrid w:val="0"/>
        <w:ind w:firstLine="480" w:firstLineChars="200"/>
      </w:pPr>
      <w:r>
        <w:rPr>
          <w:rFonts w:hint="eastAsia"/>
        </w:rPr>
        <w:t>E、V</w:t>
      </w:r>
      <w:r>
        <w:rPr>
          <w:rFonts w:hint="eastAsia"/>
          <w:vertAlign w:val="subscript"/>
        </w:rPr>
        <w:t>5</w:t>
      </w:r>
      <w:r>
        <w:rPr>
          <w:rFonts w:hint="eastAsia"/>
        </w:rPr>
        <w:t>为发生事故时可能进入该收集系统的降雨量。</w:t>
      </w:r>
    </w:p>
    <w:p w14:paraId="1AD02537">
      <w:pPr>
        <w:adjustRightInd w:val="0"/>
        <w:snapToGrid w:val="0"/>
        <w:ind w:firstLine="562" w:firstLineChars="200"/>
        <w:jc w:val="center"/>
        <w:rPr>
          <w:b/>
          <w:bCs/>
          <w:sz w:val="28"/>
          <w:szCs w:val="28"/>
        </w:rPr>
      </w:pPr>
      <w:r>
        <w:rPr>
          <w:rFonts w:hint="eastAsia"/>
          <w:b/>
          <w:bCs/>
          <w:sz w:val="28"/>
          <w:szCs w:val="28"/>
        </w:rPr>
        <w:t>V</w:t>
      </w:r>
      <w:r>
        <w:rPr>
          <w:rFonts w:hint="eastAsia"/>
          <w:b/>
          <w:bCs/>
          <w:sz w:val="28"/>
          <w:szCs w:val="28"/>
          <w:vertAlign w:val="subscript"/>
        </w:rPr>
        <w:t>5</w:t>
      </w:r>
      <w:r>
        <w:rPr>
          <w:rFonts w:hint="eastAsia"/>
          <w:b/>
          <w:bCs/>
          <w:sz w:val="28"/>
          <w:szCs w:val="28"/>
        </w:rPr>
        <w:t>=10×q×F</w:t>
      </w:r>
    </w:p>
    <w:p w14:paraId="55DA9C69">
      <w:pPr>
        <w:adjustRightInd w:val="0"/>
        <w:snapToGrid w:val="0"/>
        <w:ind w:firstLine="480" w:firstLineChars="200"/>
      </w:pPr>
      <w:r>
        <w:rPr>
          <w:rFonts w:hint="eastAsia"/>
        </w:rPr>
        <w:t>式中：q——降雨强度，mm；按平均日降雨量；</w:t>
      </w:r>
    </w:p>
    <w:p w14:paraId="3E19278F">
      <w:pPr>
        <w:adjustRightInd w:val="0"/>
        <w:snapToGrid w:val="0"/>
        <w:ind w:firstLine="562" w:firstLineChars="200"/>
        <w:jc w:val="center"/>
        <w:rPr>
          <w:b/>
          <w:bCs/>
          <w:sz w:val="28"/>
          <w:szCs w:val="28"/>
        </w:rPr>
      </w:pPr>
      <w:r>
        <w:rPr>
          <w:rFonts w:hint="eastAsia"/>
          <w:b/>
          <w:bCs/>
          <w:sz w:val="28"/>
          <w:szCs w:val="28"/>
        </w:rPr>
        <w:t>q=q</w:t>
      </w:r>
      <w:r>
        <w:rPr>
          <w:rFonts w:hint="eastAsia"/>
          <w:b/>
          <w:bCs/>
          <w:sz w:val="28"/>
          <w:szCs w:val="28"/>
          <w:vertAlign w:val="subscript"/>
        </w:rPr>
        <w:t>a</w:t>
      </w:r>
      <w:r>
        <w:rPr>
          <w:rFonts w:hint="eastAsia"/>
          <w:b/>
          <w:bCs/>
          <w:sz w:val="28"/>
          <w:szCs w:val="28"/>
        </w:rPr>
        <w:t>/n</w:t>
      </w:r>
    </w:p>
    <w:p w14:paraId="3D3913C9">
      <w:pPr>
        <w:adjustRightInd w:val="0"/>
        <w:snapToGrid w:val="0"/>
        <w:ind w:firstLine="480" w:firstLineChars="200"/>
      </w:pPr>
      <w:r>
        <w:rPr>
          <w:rFonts w:hint="eastAsia"/>
        </w:rPr>
        <w:t>式中：q</w:t>
      </w:r>
      <w:r>
        <w:rPr>
          <w:rFonts w:hint="eastAsia"/>
          <w:vertAlign w:val="subscript"/>
        </w:rPr>
        <w:t>a</w:t>
      </w:r>
      <w:r>
        <w:rPr>
          <w:rFonts w:hint="eastAsia"/>
        </w:rPr>
        <w:t>——年平均降雨量，mm，为1541.7mm；</w:t>
      </w:r>
    </w:p>
    <w:p w14:paraId="2ECC8217">
      <w:pPr>
        <w:adjustRightInd w:val="0"/>
        <w:snapToGrid w:val="0"/>
        <w:ind w:firstLine="1200" w:firstLineChars="500"/>
      </w:pPr>
      <w:r>
        <w:rPr>
          <w:rFonts w:hint="eastAsia"/>
        </w:rPr>
        <w:t>n——年平均降雨日数，146.5天。</w:t>
      </w:r>
    </w:p>
    <w:p w14:paraId="3D598B54">
      <w:pPr>
        <w:adjustRightInd w:val="0"/>
        <w:snapToGrid w:val="0"/>
        <w:ind w:firstLine="1200" w:firstLineChars="500"/>
      </w:pPr>
      <w:r>
        <w:rPr>
          <w:rFonts w:hint="eastAsia"/>
        </w:rPr>
        <w:t>F——必须进入事故废水收集系统的雨水汇水面积（公顷）；</w:t>
      </w:r>
    </w:p>
    <w:p w14:paraId="3E4D3013">
      <w:pPr>
        <w:adjustRightInd w:val="0"/>
        <w:snapToGrid w:val="0"/>
        <w:ind w:firstLine="480" w:firstLineChars="200"/>
      </w:pPr>
      <w:r>
        <w:rPr>
          <w:rFonts w:hint="eastAsia"/>
          <w:lang w:eastAsia="zh-CN"/>
        </w:rPr>
        <w:t>本</w:t>
      </w:r>
      <w:r>
        <w:rPr>
          <w:rFonts w:hint="eastAsia"/>
        </w:rPr>
        <w:t>项目</w:t>
      </w:r>
      <w:r>
        <w:rPr>
          <w:rFonts w:hint="eastAsia"/>
          <w:lang w:eastAsia="zh-CN"/>
        </w:rPr>
        <w:t>风险单元中占地面积最大的</w:t>
      </w:r>
      <w:r>
        <w:rPr>
          <w:rFonts w:hint="eastAsia"/>
        </w:rPr>
        <w:t>为</w:t>
      </w:r>
      <w:r>
        <w:rPr>
          <w:rFonts w:hint="eastAsia"/>
          <w:lang w:eastAsia="zh-CN"/>
        </w:rPr>
        <w:t>液氨球罐区，其占地面积为</w:t>
      </w:r>
      <w:r>
        <w:rPr>
          <w:rFonts w:hint="eastAsia"/>
        </w:rPr>
        <w:t>2655.51m</w:t>
      </w:r>
      <w:r>
        <w:rPr>
          <w:rFonts w:hint="eastAsia"/>
          <w:vertAlign w:val="superscript"/>
        </w:rPr>
        <w:t>2</w:t>
      </w:r>
      <w:r>
        <w:rPr>
          <w:rFonts w:hint="eastAsia"/>
        </w:rPr>
        <w:t>，即</w:t>
      </w:r>
      <w:r>
        <w:rPr>
          <w:rFonts w:hint="eastAsia"/>
          <w:lang w:eastAsia="zh-CN"/>
        </w:rPr>
        <w:t>约</w:t>
      </w:r>
      <w:r>
        <w:rPr>
          <w:rFonts w:hint="eastAsia"/>
        </w:rPr>
        <w:t>为0.</w:t>
      </w:r>
      <w:r>
        <w:rPr>
          <w:rFonts w:hint="eastAsia"/>
          <w:lang w:val="en-US" w:eastAsia="zh-CN"/>
        </w:rPr>
        <w:t>266</w:t>
      </w:r>
      <w:r>
        <w:rPr>
          <w:rFonts w:hint="eastAsia"/>
        </w:rPr>
        <w:t>公顷，以</w:t>
      </w:r>
      <w:r>
        <w:rPr>
          <w:rFonts w:hint="eastAsia"/>
          <w:lang w:eastAsia="zh-CN"/>
        </w:rPr>
        <w:t>液氨球罐区</w:t>
      </w:r>
      <w:r>
        <w:rPr>
          <w:rFonts w:hint="eastAsia"/>
        </w:rPr>
        <w:t>发生火灾、爆炸事故的范围为计算雨水收集面积。该部分面积以本项目所有建</w:t>
      </w:r>
      <w:r>
        <w:rPr>
          <w:rFonts w:hint="eastAsia"/>
          <w:lang w:eastAsia="zh-CN"/>
        </w:rPr>
        <w:t>构筑物</w:t>
      </w:r>
      <w:r>
        <w:rPr>
          <w:rFonts w:hint="eastAsia"/>
        </w:rPr>
        <w:t>占地面积计，即为2655.51m</w:t>
      </w:r>
      <w:r>
        <w:rPr>
          <w:rFonts w:hint="eastAsia"/>
          <w:vertAlign w:val="superscript"/>
        </w:rPr>
        <w:t>2</w:t>
      </w:r>
      <w:r>
        <w:rPr>
          <w:rFonts w:hint="eastAsia"/>
        </w:rPr>
        <w:t>，即</w:t>
      </w:r>
      <w:r>
        <w:rPr>
          <w:rFonts w:hint="eastAsia" w:eastAsia="宋体"/>
          <w:lang w:eastAsia="zh-CN"/>
        </w:rPr>
        <w:t>约</w:t>
      </w:r>
      <w:r>
        <w:rPr>
          <w:rFonts w:hint="eastAsia"/>
        </w:rPr>
        <w:t>为0.</w:t>
      </w:r>
      <w:r>
        <w:rPr>
          <w:rFonts w:hint="eastAsia" w:ascii="Times New Roman" w:eastAsia="宋体"/>
          <w:lang w:val="en-US" w:eastAsia="zh-CN"/>
        </w:rPr>
        <w:t>266</w:t>
      </w:r>
      <w:r>
        <w:rPr>
          <w:rFonts w:hint="eastAsia"/>
        </w:rPr>
        <w:t>公顷。</w:t>
      </w:r>
    </w:p>
    <w:p w14:paraId="19950171">
      <w:pPr>
        <w:adjustRightInd w:val="0"/>
        <w:snapToGrid w:val="0"/>
        <w:ind w:firstLine="480" w:firstLineChars="200"/>
      </w:pPr>
      <w:r>
        <w:rPr>
          <w:rFonts w:hint="eastAsia"/>
        </w:rPr>
        <w:t>经计算，本项目发生事故时的雨水废水量V5=</w:t>
      </w:r>
      <w:r>
        <w:rPr>
          <w:rFonts w:hint="eastAsia"/>
          <w:lang w:val="en-US" w:eastAsia="zh-CN"/>
        </w:rPr>
        <w:t>28</w:t>
      </w:r>
      <w:r>
        <w:rPr>
          <w:rFonts w:hint="eastAsia"/>
        </w:rPr>
        <w:t>m</w:t>
      </w:r>
      <w:r>
        <w:rPr>
          <w:rFonts w:hint="eastAsia"/>
          <w:vertAlign w:val="superscript"/>
        </w:rPr>
        <w:t>3</w:t>
      </w:r>
      <w:r>
        <w:rPr>
          <w:rFonts w:hint="eastAsia"/>
        </w:rPr>
        <w:t>。事故应急池大小计算：</w:t>
      </w:r>
    </w:p>
    <w:p w14:paraId="28BD68CF">
      <w:pPr>
        <w:adjustRightInd w:val="0"/>
        <w:snapToGrid w:val="0"/>
        <w:ind w:firstLine="480" w:firstLineChars="200"/>
        <w:jc w:val="center"/>
        <w:rPr>
          <w:color w:val="000000"/>
        </w:rPr>
      </w:pPr>
      <w:r>
        <w:rPr>
          <w:rFonts w:hint="eastAsia"/>
          <w:color w:val="000000"/>
        </w:rPr>
        <w:t>（V</w:t>
      </w:r>
      <w:r>
        <w:rPr>
          <w:rFonts w:hint="eastAsia"/>
          <w:color w:val="000000"/>
          <w:vertAlign w:val="subscript"/>
        </w:rPr>
        <w:t>1</w:t>
      </w:r>
      <w:r>
        <w:rPr>
          <w:rFonts w:hint="eastAsia"/>
          <w:color w:val="000000"/>
        </w:rPr>
        <w:t>+V</w:t>
      </w:r>
      <w:r>
        <w:rPr>
          <w:rFonts w:hint="eastAsia"/>
          <w:color w:val="000000"/>
          <w:vertAlign w:val="subscript"/>
        </w:rPr>
        <w:t>2</w:t>
      </w:r>
      <w:r>
        <w:rPr>
          <w:rFonts w:hint="eastAsia"/>
          <w:color w:val="000000"/>
        </w:rPr>
        <w:t>-V</w:t>
      </w:r>
      <w:r>
        <w:rPr>
          <w:rFonts w:hint="eastAsia"/>
          <w:color w:val="000000"/>
          <w:vertAlign w:val="subscript"/>
        </w:rPr>
        <w:t>3</w:t>
      </w:r>
      <w:r>
        <w:rPr>
          <w:rFonts w:hint="eastAsia"/>
          <w:color w:val="000000"/>
        </w:rPr>
        <w:t>）max+V</w:t>
      </w:r>
      <w:r>
        <w:rPr>
          <w:rFonts w:hint="eastAsia"/>
          <w:color w:val="000000"/>
          <w:vertAlign w:val="subscript"/>
        </w:rPr>
        <w:t>4</w:t>
      </w:r>
      <w:r>
        <w:rPr>
          <w:rFonts w:hint="eastAsia"/>
          <w:color w:val="000000"/>
        </w:rPr>
        <w:t>+V</w:t>
      </w:r>
      <w:r>
        <w:rPr>
          <w:rFonts w:hint="eastAsia"/>
          <w:color w:val="000000"/>
          <w:vertAlign w:val="subscript"/>
        </w:rPr>
        <w:t>5</w:t>
      </w:r>
      <w:r>
        <w:rPr>
          <w:rFonts w:hint="eastAsia"/>
          <w:color w:val="000000"/>
        </w:rPr>
        <w:t>=</w:t>
      </w:r>
      <w:r>
        <w:rPr>
          <w:rFonts w:hint="eastAsia"/>
          <w:color w:val="000000"/>
          <w:lang w:val="en-US" w:eastAsia="zh-CN"/>
        </w:rPr>
        <w:t>1172.8</w:t>
      </w:r>
      <w:r>
        <w:rPr>
          <w:rFonts w:hint="eastAsia"/>
          <w:color w:val="000000"/>
        </w:rPr>
        <w:t>+0+</w:t>
      </w:r>
      <w:r>
        <w:rPr>
          <w:rFonts w:hint="eastAsia"/>
          <w:color w:val="000000"/>
          <w:lang w:val="en-US" w:eastAsia="zh-CN"/>
        </w:rPr>
        <w:t>28</w:t>
      </w:r>
      <w:r>
        <w:rPr>
          <w:rFonts w:hint="eastAsia"/>
          <w:color w:val="000000"/>
        </w:rPr>
        <w:t>=</w:t>
      </w:r>
      <w:r>
        <w:rPr>
          <w:rFonts w:hint="eastAsia"/>
          <w:color w:val="000000"/>
          <w:lang w:val="en-US" w:eastAsia="zh-CN"/>
        </w:rPr>
        <w:t>1200.8</w:t>
      </w:r>
      <w:r>
        <w:rPr>
          <w:rFonts w:hint="eastAsia"/>
          <w:color w:val="000000"/>
        </w:rPr>
        <w:t>m</w:t>
      </w:r>
      <w:r>
        <w:rPr>
          <w:rFonts w:hint="eastAsia"/>
          <w:color w:val="000000"/>
          <w:vertAlign w:val="superscript"/>
        </w:rPr>
        <w:t>3</w:t>
      </w:r>
    </w:p>
    <w:p w14:paraId="3D8B79A8">
      <w:pPr>
        <w:adjustRightInd w:val="0"/>
        <w:snapToGrid w:val="0"/>
        <w:ind w:firstLine="480" w:firstLineChars="200"/>
      </w:pPr>
      <w:r>
        <w:rPr>
          <w:rFonts w:hint="eastAsia"/>
          <w:color w:val="000000"/>
        </w:rPr>
        <w:t>根据上述分析，厂内现有情况下，至少应设置容积为</w:t>
      </w:r>
      <w:r>
        <w:rPr>
          <w:rFonts w:hint="eastAsia"/>
          <w:color w:val="000000"/>
          <w:lang w:val="en-US" w:eastAsia="zh-CN"/>
        </w:rPr>
        <w:t>1340</w:t>
      </w:r>
      <w:r>
        <w:rPr>
          <w:rFonts w:hint="eastAsia"/>
          <w:color w:val="000000"/>
        </w:rPr>
        <w:t>m</w:t>
      </w:r>
      <w:r>
        <w:rPr>
          <w:rFonts w:hint="eastAsia"/>
          <w:color w:val="000000"/>
          <w:vertAlign w:val="superscript"/>
        </w:rPr>
        <w:t>3</w:t>
      </w:r>
      <w:r>
        <w:rPr>
          <w:rFonts w:hint="eastAsia"/>
          <w:color w:val="000000"/>
        </w:rPr>
        <w:t>的</w:t>
      </w:r>
      <w:r>
        <w:rPr>
          <w:rFonts w:hint="eastAsia"/>
        </w:rPr>
        <w:t>事故应急池</w:t>
      </w:r>
      <w:r>
        <w:rPr>
          <w:rFonts w:hint="eastAsia"/>
          <w:lang w:eastAsia="zh-CN"/>
        </w:rPr>
        <w:t>，根据本项目设计资料，本项目拟建事故应急池容积为</w:t>
      </w:r>
      <w:r>
        <w:rPr>
          <w:rFonts w:hint="eastAsia"/>
          <w:lang w:val="en-US" w:eastAsia="zh-CN"/>
        </w:rPr>
        <w:t>3150m</w:t>
      </w:r>
      <w:r>
        <w:rPr>
          <w:rFonts w:hint="eastAsia"/>
          <w:vertAlign w:val="superscript"/>
          <w:lang w:val="en-US" w:eastAsia="zh-CN"/>
        </w:rPr>
        <w:t>3</w:t>
      </w:r>
      <w:r>
        <w:rPr>
          <w:rFonts w:hint="eastAsia"/>
          <w:lang w:val="en-US" w:eastAsia="zh-CN"/>
        </w:rPr>
        <w:t>，故本项目事故应急池满足要求</w:t>
      </w:r>
      <w:r>
        <w:rPr>
          <w:rFonts w:hint="eastAsia"/>
        </w:rPr>
        <w:t>。参照《化工建设项目环境保护设计规范》（GB50483-2009）的规定，需采取以下措施：</w:t>
      </w:r>
    </w:p>
    <w:p w14:paraId="57319B19">
      <w:pPr>
        <w:adjustRightInd w:val="0"/>
        <w:snapToGrid w:val="0"/>
        <w:ind w:firstLine="480" w:firstLineChars="200"/>
      </w:pPr>
      <w:r>
        <w:rPr>
          <w:rFonts w:hint="eastAsia"/>
        </w:rPr>
        <w:t>（1）事故应急池应加盖防止雨水进入，正常工况应保持腾空状态以备急用；</w:t>
      </w:r>
    </w:p>
    <w:p w14:paraId="7AC3916E">
      <w:pPr>
        <w:adjustRightInd w:val="0"/>
        <w:snapToGrid w:val="0"/>
        <w:ind w:firstLine="480" w:firstLineChars="200"/>
        <w:rPr>
          <w:rFonts w:hint="eastAsia"/>
        </w:rPr>
      </w:pPr>
      <w:r>
        <w:rPr>
          <w:rFonts w:hint="eastAsia"/>
        </w:rPr>
        <w:t>（2）在火灾事故发生时，关闭雨水排放口阀门，开启事故应急池阀门，确保雨水沟内的消防废水靠“重力流”流向事故应急池，不会进入周边水体。企业定期对事故应急系统进行排查，发现存在问题，马上进行检修，确保事故发生时能有效运行。项目事故应急池内的废水以及消防废水收集后交由有处理资质的单位进行处理。</w:t>
      </w:r>
    </w:p>
    <w:p w14:paraId="001FE63A">
      <w:pPr>
        <w:adjustRightInd w:val="0"/>
        <w:snapToGrid w:val="0"/>
        <w:ind w:firstLine="480" w:firstLineChars="200"/>
      </w:pPr>
      <w:r>
        <w:rPr>
          <w:rFonts w:hint="eastAsia"/>
          <w:lang w:eastAsia="zh-CN"/>
        </w:rPr>
        <w:t>根据建设单位提供资料</w:t>
      </w:r>
      <w:r>
        <w:rPr>
          <w:rFonts w:hint="eastAsia"/>
        </w:rPr>
        <w:t>，项目</w:t>
      </w:r>
      <w:r>
        <w:rPr>
          <w:rFonts w:hint="eastAsia"/>
          <w:lang w:eastAsia="zh-CN"/>
        </w:rPr>
        <w:t>拟建</w:t>
      </w:r>
      <w:r>
        <w:rPr>
          <w:rFonts w:hint="eastAsia"/>
        </w:rPr>
        <w:t>设容积为3</w:t>
      </w:r>
      <w:r>
        <w:rPr>
          <w:rFonts w:hint="eastAsia"/>
          <w:lang w:val="en-US" w:eastAsia="zh-CN"/>
        </w:rPr>
        <w:t>1</w:t>
      </w:r>
      <w:r>
        <w:rPr>
          <w:rFonts w:hint="eastAsia"/>
        </w:rPr>
        <w:t>50m</w:t>
      </w:r>
      <w:r>
        <w:rPr>
          <w:rFonts w:hint="eastAsia"/>
          <w:vertAlign w:val="superscript"/>
        </w:rPr>
        <w:t>3</w:t>
      </w:r>
      <w:r>
        <w:rPr>
          <w:rFonts w:hint="eastAsia"/>
        </w:rPr>
        <w:t>的</w:t>
      </w:r>
      <w:r>
        <w:rPr>
          <w:rFonts w:hint="eastAsia"/>
          <w:lang w:eastAsia="zh-CN"/>
        </w:rPr>
        <w:t>事故应急池，</w:t>
      </w:r>
      <w:r>
        <w:rPr>
          <w:rFonts w:hint="eastAsia"/>
        </w:rPr>
        <w:t>液氨</w:t>
      </w:r>
      <w:r>
        <w:rPr>
          <w:rFonts w:hint="eastAsia"/>
          <w:lang w:eastAsia="zh-CN"/>
        </w:rPr>
        <w:t>球罐区</w:t>
      </w:r>
      <w:r>
        <w:rPr>
          <w:rFonts w:hint="eastAsia"/>
        </w:rPr>
        <w:t>设置有</w:t>
      </w:r>
      <w:r>
        <w:rPr>
          <w:rFonts w:hint="eastAsia"/>
          <w:lang w:val="en-US" w:eastAsia="zh-CN"/>
        </w:rPr>
        <w:t>0.6m高</w:t>
      </w:r>
      <w:r>
        <w:rPr>
          <w:rFonts w:hint="eastAsia"/>
        </w:rPr>
        <w:t>围堰及其导流系统，氨水罐区</w:t>
      </w:r>
      <w:r>
        <w:rPr>
          <w:rFonts w:hint="eastAsia"/>
          <w:lang w:eastAsia="zh-CN"/>
        </w:rPr>
        <w:t>设置有</w:t>
      </w:r>
      <w:r>
        <w:rPr>
          <w:rFonts w:hint="eastAsia"/>
          <w:lang w:val="en-US" w:eastAsia="zh-CN"/>
        </w:rPr>
        <w:t>1m高</w:t>
      </w:r>
      <w:r>
        <w:rPr>
          <w:rFonts w:hint="eastAsia"/>
        </w:rPr>
        <w:t>围堰及其导流系统，确保在事故状态下能顺利收集消防废水</w:t>
      </w:r>
      <w:r>
        <w:rPr>
          <w:rFonts w:hint="eastAsia"/>
          <w:lang w:eastAsia="zh-CN"/>
        </w:rPr>
        <w:t>和泄漏物料</w:t>
      </w:r>
      <w:r>
        <w:rPr>
          <w:rFonts w:hint="eastAsia"/>
        </w:rPr>
        <w:t>。</w:t>
      </w:r>
      <w:r>
        <w:rPr>
          <w:rFonts w:hint="eastAsia"/>
          <w:lang w:eastAsia="zh-CN"/>
        </w:rPr>
        <w:t>进入事故应急池的事故废水全部按危险废物处理，事故废水交由有资质的单位进行清运处置</w:t>
      </w:r>
      <w:r>
        <w:rPr>
          <w:rFonts w:hint="eastAsia"/>
        </w:rPr>
        <w:t>。</w:t>
      </w:r>
    </w:p>
    <w:p w14:paraId="1417CEFE">
      <w:pPr>
        <w:pStyle w:val="4"/>
        <w:bidi w:val="0"/>
      </w:pPr>
      <w:r>
        <w:rPr>
          <w:rFonts w:hint="eastAsia"/>
        </w:rPr>
        <w:t>5.</w:t>
      </w:r>
      <w:r>
        <w:rPr>
          <w:rFonts w:hint="eastAsia"/>
          <w:lang w:val="en-US" w:eastAsia="zh-CN"/>
        </w:rPr>
        <w:t>2</w:t>
      </w:r>
      <w:r>
        <w:rPr>
          <w:rFonts w:hint="eastAsia"/>
        </w:rPr>
        <w:t>.4环境风险源强汇总</w:t>
      </w:r>
    </w:p>
    <w:p w14:paraId="7C0E497E">
      <w:pPr>
        <w:adjustRightInd w:val="0"/>
        <w:snapToGrid w:val="0"/>
        <w:ind w:firstLine="480" w:firstLineChars="200"/>
      </w:pPr>
      <w:r>
        <w:rPr>
          <w:rFonts w:hint="eastAsia"/>
        </w:rPr>
        <w:t>本项目环境风险源强汇总详见下表。</w:t>
      </w:r>
    </w:p>
    <w:p w14:paraId="78B2628C">
      <w:pPr>
        <w:autoSpaceDE w:val="0"/>
        <w:autoSpaceDN w:val="0"/>
        <w:adjustRightInd w:val="0"/>
        <w:snapToGrid w:val="0"/>
        <w:spacing w:line="240" w:lineRule="auto"/>
        <w:jc w:val="center"/>
        <w:textAlignment w:val="baseline"/>
        <w:rPr>
          <w:b/>
          <w:kern w:val="24"/>
          <w:szCs w:val="20"/>
        </w:rPr>
      </w:pPr>
      <w:r>
        <w:rPr>
          <w:rFonts w:hint="eastAsia"/>
          <w:b/>
          <w:kern w:val="24"/>
          <w:szCs w:val="20"/>
        </w:rPr>
        <w:t>表</w:t>
      </w:r>
      <w:r>
        <w:rPr>
          <w:rFonts w:hint="eastAsia"/>
          <w:b/>
          <w:kern w:val="24"/>
          <w:szCs w:val="20"/>
          <w:lang w:val="en-US" w:eastAsia="zh-CN"/>
        </w:rPr>
        <w:t>5-11</w:t>
      </w:r>
      <w:r>
        <w:rPr>
          <w:rFonts w:hint="eastAsia"/>
          <w:b/>
          <w:kern w:val="24"/>
          <w:szCs w:val="20"/>
        </w:rPr>
        <w:t xml:space="preserve"> 环境风险源强一览表</w:t>
      </w:r>
    </w:p>
    <w:tbl>
      <w:tblPr>
        <w:tblStyle w:val="11"/>
        <w:tblW w:w="922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57"/>
        <w:gridCol w:w="1710"/>
        <w:gridCol w:w="825"/>
        <w:gridCol w:w="600"/>
        <w:gridCol w:w="585"/>
        <w:gridCol w:w="1155"/>
        <w:gridCol w:w="795"/>
        <w:gridCol w:w="975"/>
        <w:gridCol w:w="1234"/>
        <w:gridCol w:w="788"/>
      </w:tblGrid>
      <w:tr w14:paraId="5D70F1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557" w:type="dxa"/>
            <w:tcBorders>
              <w:tl2br w:val="nil"/>
              <w:tr2bl w:val="nil"/>
            </w:tcBorders>
            <w:vAlign w:val="center"/>
          </w:tcPr>
          <w:p w14:paraId="3C44401D">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序号</w:t>
            </w:r>
          </w:p>
        </w:tc>
        <w:tc>
          <w:tcPr>
            <w:tcW w:w="1710" w:type="dxa"/>
            <w:tcBorders>
              <w:tl2br w:val="nil"/>
              <w:tr2bl w:val="nil"/>
            </w:tcBorders>
            <w:vAlign w:val="center"/>
          </w:tcPr>
          <w:p w14:paraId="3EB8883B">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风险事故情形描述</w:t>
            </w:r>
          </w:p>
        </w:tc>
        <w:tc>
          <w:tcPr>
            <w:tcW w:w="825" w:type="dxa"/>
            <w:tcBorders>
              <w:tl2br w:val="nil"/>
              <w:tr2bl w:val="nil"/>
            </w:tcBorders>
            <w:vAlign w:val="center"/>
          </w:tcPr>
          <w:p w14:paraId="5C53D40E">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危险单元</w:t>
            </w:r>
          </w:p>
        </w:tc>
        <w:tc>
          <w:tcPr>
            <w:tcW w:w="600" w:type="dxa"/>
            <w:tcBorders>
              <w:tl2br w:val="nil"/>
              <w:tr2bl w:val="nil"/>
            </w:tcBorders>
            <w:vAlign w:val="center"/>
          </w:tcPr>
          <w:p w14:paraId="02CCC613">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危险物质</w:t>
            </w:r>
          </w:p>
        </w:tc>
        <w:tc>
          <w:tcPr>
            <w:tcW w:w="585" w:type="dxa"/>
            <w:tcBorders>
              <w:tl2br w:val="nil"/>
              <w:tr2bl w:val="nil"/>
            </w:tcBorders>
            <w:vAlign w:val="center"/>
          </w:tcPr>
          <w:p w14:paraId="4C1EADF2">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影响途径</w:t>
            </w:r>
          </w:p>
        </w:tc>
        <w:tc>
          <w:tcPr>
            <w:tcW w:w="1155" w:type="dxa"/>
            <w:tcBorders>
              <w:tl2br w:val="nil"/>
              <w:tr2bl w:val="nil"/>
            </w:tcBorders>
            <w:vAlign w:val="center"/>
          </w:tcPr>
          <w:p w14:paraId="4C99726F">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释放或泄露速率（</w:t>
            </w:r>
            <w:r>
              <w:rPr>
                <w:b/>
                <w:bCs/>
                <w:color w:val="000000" w:themeColor="text1"/>
                <w:sz w:val="21"/>
                <w14:textFill>
                  <w14:solidFill>
                    <w14:schemeClr w14:val="tx1"/>
                  </w14:solidFill>
                </w14:textFill>
              </w:rPr>
              <w:t>kg/s</w:t>
            </w:r>
            <w:r>
              <w:rPr>
                <w:rFonts w:hint="eastAsia"/>
                <w:b/>
                <w:bCs/>
                <w:color w:val="000000" w:themeColor="text1"/>
                <w:sz w:val="21"/>
                <w14:textFill>
                  <w14:solidFill>
                    <w14:schemeClr w14:val="tx1"/>
                  </w14:solidFill>
                </w14:textFill>
              </w:rPr>
              <w:t>）</w:t>
            </w:r>
          </w:p>
        </w:tc>
        <w:tc>
          <w:tcPr>
            <w:tcW w:w="795" w:type="dxa"/>
            <w:tcBorders>
              <w:tl2br w:val="nil"/>
              <w:tr2bl w:val="nil"/>
            </w:tcBorders>
            <w:vAlign w:val="center"/>
          </w:tcPr>
          <w:p w14:paraId="491D8602">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释放或泄漏事件</w:t>
            </w:r>
            <w:r>
              <w:rPr>
                <w:b/>
                <w:bCs/>
                <w:color w:val="000000" w:themeColor="text1"/>
                <w:sz w:val="21"/>
                <w14:textFill>
                  <w14:solidFill>
                    <w14:schemeClr w14:val="tx1"/>
                  </w14:solidFill>
                </w14:textFill>
              </w:rPr>
              <w:t>/min</w:t>
            </w:r>
          </w:p>
        </w:tc>
        <w:tc>
          <w:tcPr>
            <w:tcW w:w="975" w:type="dxa"/>
            <w:tcBorders>
              <w:tl2br w:val="nil"/>
              <w:tr2bl w:val="nil"/>
            </w:tcBorders>
            <w:vAlign w:val="center"/>
          </w:tcPr>
          <w:p w14:paraId="66007FBB">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最大释放或泄漏量</w:t>
            </w:r>
            <w:r>
              <w:rPr>
                <w:b/>
                <w:bCs/>
                <w:color w:val="000000" w:themeColor="text1"/>
                <w:sz w:val="21"/>
                <w14:textFill>
                  <w14:solidFill>
                    <w14:schemeClr w14:val="tx1"/>
                  </w14:solidFill>
                </w14:textFill>
              </w:rPr>
              <w:t>/kg</w:t>
            </w:r>
          </w:p>
        </w:tc>
        <w:tc>
          <w:tcPr>
            <w:tcW w:w="1234" w:type="dxa"/>
            <w:tcBorders>
              <w:tl2br w:val="nil"/>
              <w:tr2bl w:val="nil"/>
            </w:tcBorders>
            <w:vAlign w:val="center"/>
          </w:tcPr>
          <w:p w14:paraId="7CBB895D">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泄漏液体蒸发速率（</w:t>
            </w:r>
            <w:r>
              <w:rPr>
                <w:b/>
                <w:bCs/>
                <w:color w:val="000000" w:themeColor="text1"/>
                <w:sz w:val="21"/>
                <w14:textFill>
                  <w14:solidFill>
                    <w14:schemeClr w14:val="tx1"/>
                  </w14:solidFill>
                </w14:textFill>
              </w:rPr>
              <w:t>kg/s</w:t>
            </w:r>
            <w:r>
              <w:rPr>
                <w:rFonts w:hint="eastAsia"/>
                <w:b/>
                <w:bCs/>
                <w:color w:val="000000" w:themeColor="text1"/>
                <w:sz w:val="21"/>
                <w14:textFill>
                  <w14:solidFill>
                    <w14:schemeClr w14:val="tx1"/>
                  </w14:solidFill>
                </w14:textFill>
              </w:rPr>
              <w:t>）</w:t>
            </w:r>
          </w:p>
        </w:tc>
        <w:tc>
          <w:tcPr>
            <w:tcW w:w="788" w:type="dxa"/>
            <w:tcBorders>
              <w:tl2br w:val="nil"/>
              <w:tr2bl w:val="nil"/>
            </w:tcBorders>
            <w:vAlign w:val="center"/>
          </w:tcPr>
          <w:p w14:paraId="4281E91C">
            <w:pPr>
              <w:adjustRightInd w:val="0"/>
              <w:snapToGrid w:val="0"/>
              <w:spacing w:line="24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其他事故预案参数</w:t>
            </w:r>
          </w:p>
        </w:tc>
      </w:tr>
      <w:tr w14:paraId="53A08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557" w:type="dxa"/>
            <w:tcBorders>
              <w:tl2br w:val="nil"/>
              <w:tr2bl w:val="nil"/>
            </w:tcBorders>
            <w:vAlign w:val="center"/>
          </w:tcPr>
          <w:p w14:paraId="15C0837C">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710" w:type="dxa"/>
            <w:tcBorders>
              <w:tl2br w:val="nil"/>
              <w:tr2bl w:val="nil"/>
            </w:tcBorders>
            <w:vAlign w:val="center"/>
          </w:tcPr>
          <w:p w14:paraId="77F6C036">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液氨连接管线管道泄漏，泄漏孔径为10%孔径的事件</w:t>
            </w:r>
          </w:p>
        </w:tc>
        <w:tc>
          <w:tcPr>
            <w:tcW w:w="825" w:type="dxa"/>
            <w:tcBorders>
              <w:tl2br w:val="nil"/>
              <w:tr2bl w:val="nil"/>
            </w:tcBorders>
            <w:vAlign w:val="center"/>
          </w:tcPr>
          <w:p w14:paraId="40E7FB40">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液氨充装、氨水生产区、储运单元</w:t>
            </w:r>
          </w:p>
        </w:tc>
        <w:tc>
          <w:tcPr>
            <w:tcW w:w="600" w:type="dxa"/>
            <w:tcBorders>
              <w:tl2br w:val="nil"/>
              <w:tr2bl w:val="nil"/>
            </w:tcBorders>
            <w:vAlign w:val="center"/>
          </w:tcPr>
          <w:p w14:paraId="565F3569">
            <w:pPr>
              <w:pStyle w:val="14"/>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w:t>
            </w:r>
          </w:p>
        </w:tc>
        <w:tc>
          <w:tcPr>
            <w:tcW w:w="585" w:type="dxa"/>
            <w:tcBorders>
              <w:tl2br w:val="nil"/>
              <w:tr2bl w:val="nil"/>
            </w:tcBorders>
            <w:vAlign w:val="center"/>
          </w:tcPr>
          <w:p w14:paraId="43E48EE9">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大气</w:t>
            </w:r>
          </w:p>
        </w:tc>
        <w:tc>
          <w:tcPr>
            <w:tcW w:w="1155" w:type="dxa"/>
            <w:tcBorders>
              <w:tl2br w:val="nil"/>
              <w:tr2bl w:val="nil"/>
            </w:tcBorders>
            <w:vAlign w:val="center"/>
          </w:tcPr>
          <w:p w14:paraId="0E1C2EBE">
            <w:pPr>
              <w:pStyle w:val="14"/>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0.10666</w:t>
            </w:r>
          </w:p>
        </w:tc>
        <w:tc>
          <w:tcPr>
            <w:tcW w:w="795" w:type="dxa"/>
            <w:tcBorders>
              <w:tl2br w:val="nil"/>
              <w:tr2bl w:val="nil"/>
            </w:tcBorders>
            <w:vAlign w:val="center"/>
          </w:tcPr>
          <w:p w14:paraId="615D794E">
            <w:pPr>
              <w:pStyle w:val="14"/>
              <w:bidi w:val="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975" w:type="dxa"/>
            <w:tcBorders>
              <w:tl2br w:val="nil"/>
              <w:tr2bl w:val="nil"/>
            </w:tcBorders>
            <w:vAlign w:val="center"/>
          </w:tcPr>
          <w:p w14:paraId="10D40D65">
            <w:pPr>
              <w:pStyle w:val="14"/>
              <w:bidi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3839.76</w:t>
            </w:r>
          </w:p>
        </w:tc>
        <w:tc>
          <w:tcPr>
            <w:tcW w:w="1234" w:type="dxa"/>
            <w:tcBorders>
              <w:tl2br w:val="nil"/>
              <w:tr2bl w:val="nil"/>
            </w:tcBorders>
            <w:vAlign w:val="center"/>
          </w:tcPr>
          <w:p w14:paraId="0E9EAF73">
            <w:pPr>
              <w:pStyle w:val="14"/>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2.0961</w:t>
            </w:r>
          </w:p>
        </w:tc>
        <w:tc>
          <w:tcPr>
            <w:tcW w:w="788" w:type="dxa"/>
            <w:tcBorders>
              <w:tl2br w:val="nil"/>
              <w:tr2bl w:val="nil"/>
            </w:tcBorders>
            <w:vAlign w:val="center"/>
          </w:tcPr>
          <w:p w14:paraId="13BEFD11">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14:paraId="21824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557" w:type="dxa"/>
            <w:tcBorders>
              <w:tl2br w:val="nil"/>
              <w:tr2bl w:val="nil"/>
            </w:tcBorders>
            <w:vAlign w:val="center"/>
          </w:tcPr>
          <w:p w14:paraId="0053D332">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w:t>
            </w:r>
          </w:p>
        </w:tc>
        <w:tc>
          <w:tcPr>
            <w:tcW w:w="1710" w:type="dxa"/>
            <w:tcBorders>
              <w:tl2br w:val="nil"/>
              <w:tr2bl w:val="nil"/>
            </w:tcBorders>
            <w:vAlign w:val="center"/>
          </w:tcPr>
          <w:p w14:paraId="5664B8FA">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氨水连接管线管道泄漏，泄漏孔径为10%孔径的事件</w:t>
            </w:r>
          </w:p>
        </w:tc>
        <w:tc>
          <w:tcPr>
            <w:tcW w:w="825" w:type="dxa"/>
            <w:tcBorders>
              <w:tl2br w:val="nil"/>
              <w:tr2bl w:val="nil"/>
            </w:tcBorders>
            <w:vAlign w:val="center"/>
          </w:tcPr>
          <w:p w14:paraId="5C65A772">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氨水生产区、储运单元</w:t>
            </w:r>
          </w:p>
        </w:tc>
        <w:tc>
          <w:tcPr>
            <w:tcW w:w="600" w:type="dxa"/>
            <w:tcBorders>
              <w:tl2br w:val="nil"/>
              <w:tr2bl w:val="nil"/>
            </w:tcBorders>
            <w:vAlign w:val="center"/>
          </w:tcPr>
          <w:p w14:paraId="4E91187A">
            <w:pPr>
              <w:pStyle w:val="14"/>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w:t>
            </w:r>
          </w:p>
        </w:tc>
        <w:tc>
          <w:tcPr>
            <w:tcW w:w="585" w:type="dxa"/>
            <w:tcBorders>
              <w:tl2br w:val="nil"/>
              <w:tr2bl w:val="nil"/>
            </w:tcBorders>
            <w:vAlign w:val="center"/>
          </w:tcPr>
          <w:p w14:paraId="1DE3B1BB">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大气</w:t>
            </w:r>
          </w:p>
        </w:tc>
        <w:tc>
          <w:tcPr>
            <w:tcW w:w="1155" w:type="dxa"/>
            <w:tcBorders>
              <w:tl2br w:val="nil"/>
              <w:tr2bl w:val="nil"/>
            </w:tcBorders>
            <w:vAlign w:val="center"/>
          </w:tcPr>
          <w:p w14:paraId="40BB6DBF">
            <w:pPr>
              <w:pStyle w:val="14"/>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0.1719</w:t>
            </w:r>
          </w:p>
        </w:tc>
        <w:tc>
          <w:tcPr>
            <w:tcW w:w="795" w:type="dxa"/>
            <w:tcBorders>
              <w:tl2br w:val="nil"/>
              <w:tr2bl w:val="nil"/>
            </w:tcBorders>
            <w:vAlign w:val="center"/>
          </w:tcPr>
          <w:p w14:paraId="569B27DE">
            <w:pPr>
              <w:pStyle w:val="14"/>
              <w:bidi w:val="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975" w:type="dxa"/>
            <w:tcBorders>
              <w:tl2br w:val="nil"/>
              <w:tr2bl w:val="nil"/>
            </w:tcBorders>
            <w:vAlign w:val="center"/>
          </w:tcPr>
          <w:p w14:paraId="5A9385A8">
            <w:pPr>
              <w:pStyle w:val="14"/>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103.14</w:t>
            </w:r>
          </w:p>
        </w:tc>
        <w:tc>
          <w:tcPr>
            <w:tcW w:w="1234" w:type="dxa"/>
            <w:tcBorders>
              <w:tl2br w:val="nil"/>
              <w:tr2bl w:val="nil"/>
            </w:tcBorders>
            <w:vAlign w:val="center"/>
          </w:tcPr>
          <w:p w14:paraId="34EF0F2C">
            <w:pPr>
              <w:pStyle w:val="14"/>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0.0693</w:t>
            </w:r>
          </w:p>
        </w:tc>
        <w:tc>
          <w:tcPr>
            <w:tcW w:w="788" w:type="dxa"/>
            <w:tcBorders>
              <w:tl2br w:val="nil"/>
              <w:tr2bl w:val="nil"/>
            </w:tcBorders>
            <w:vAlign w:val="center"/>
          </w:tcPr>
          <w:p w14:paraId="523D2C62">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14:paraId="6D78F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jc w:val="center"/>
        </w:trPr>
        <w:tc>
          <w:tcPr>
            <w:tcW w:w="557" w:type="dxa"/>
            <w:tcBorders>
              <w:tl2br w:val="nil"/>
              <w:tr2bl w:val="nil"/>
            </w:tcBorders>
            <w:vAlign w:val="center"/>
          </w:tcPr>
          <w:p w14:paraId="24891770">
            <w:pPr>
              <w:adjustRightInd w:val="0"/>
              <w:snapToGrid w:val="0"/>
              <w:spacing w:line="24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710" w:type="dxa"/>
            <w:tcBorders>
              <w:tl2br w:val="nil"/>
              <w:tr2bl w:val="nil"/>
            </w:tcBorders>
            <w:vAlign w:val="center"/>
          </w:tcPr>
          <w:p w14:paraId="5E50F149">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泄漏事故引发火灾等产生事故废水</w:t>
            </w:r>
          </w:p>
        </w:tc>
        <w:tc>
          <w:tcPr>
            <w:tcW w:w="825" w:type="dxa"/>
            <w:tcBorders>
              <w:tl2br w:val="nil"/>
              <w:tr2bl w:val="nil"/>
            </w:tcBorders>
            <w:vAlign w:val="center"/>
          </w:tcPr>
          <w:p w14:paraId="2D304D9B">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液氨、氨水生产区</w:t>
            </w:r>
          </w:p>
        </w:tc>
        <w:tc>
          <w:tcPr>
            <w:tcW w:w="600" w:type="dxa"/>
            <w:tcBorders>
              <w:tl2br w:val="nil"/>
              <w:tr2bl w:val="nil"/>
            </w:tcBorders>
            <w:vAlign w:val="center"/>
          </w:tcPr>
          <w:p w14:paraId="4B82F5E5">
            <w:pPr>
              <w:pStyle w:val="14"/>
              <w:bidi w:val="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氨等</w:t>
            </w:r>
          </w:p>
        </w:tc>
        <w:tc>
          <w:tcPr>
            <w:tcW w:w="585" w:type="dxa"/>
            <w:tcBorders>
              <w:tl2br w:val="nil"/>
              <w:tr2bl w:val="nil"/>
            </w:tcBorders>
            <w:vAlign w:val="center"/>
          </w:tcPr>
          <w:p w14:paraId="4E6F1C63">
            <w:pPr>
              <w:adjustRightInd w:val="0"/>
              <w:snapToGrid w:val="0"/>
              <w:spacing w:line="240" w:lineRule="auto"/>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地表水、地下水</w:t>
            </w:r>
          </w:p>
        </w:tc>
        <w:tc>
          <w:tcPr>
            <w:tcW w:w="1155" w:type="dxa"/>
            <w:tcBorders>
              <w:tl2br w:val="nil"/>
              <w:tr2bl w:val="nil"/>
            </w:tcBorders>
            <w:vAlign w:val="center"/>
          </w:tcPr>
          <w:p w14:paraId="0B44C69B">
            <w:pPr>
              <w:pStyle w:val="14"/>
              <w:bidi w:val="0"/>
              <w:jc w:val="center"/>
              <w:rPr>
                <w:color w:val="000000" w:themeColor="text1"/>
                <w14:textFill>
                  <w14:solidFill>
                    <w14:schemeClr w14:val="tx1"/>
                  </w14:solidFill>
                </w14:textFill>
              </w:rPr>
            </w:pPr>
          </w:p>
          <w:p w14:paraId="56243CB5">
            <w:pPr>
              <w:pStyle w:val="14"/>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795" w:type="dxa"/>
            <w:tcBorders>
              <w:tl2br w:val="nil"/>
              <w:tr2bl w:val="nil"/>
            </w:tcBorders>
            <w:vAlign w:val="center"/>
          </w:tcPr>
          <w:p w14:paraId="4E314431">
            <w:pPr>
              <w:pStyle w:val="14"/>
              <w:bidi w:val="0"/>
              <w:jc w:val="center"/>
              <w:rPr>
                <w:color w:val="000000" w:themeColor="text1"/>
                <w14:textFill>
                  <w14:solidFill>
                    <w14:schemeClr w14:val="tx1"/>
                  </w14:solidFill>
                </w14:textFill>
              </w:rPr>
            </w:pPr>
          </w:p>
          <w:p w14:paraId="34B7CC72">
            <w:pPr>
              <w:pStyle w:val="14"/>
              <w:bidi w:val="0"/>
              <w:jc w:val="center"/>
              <w:rPr>
                <w:color w:val="000000" w:themeColor="text1"/>
                <w14:textFill>
                  <w14:solidFill>
                    <w14:schemeClr w14:val="tx1"/>
                  </w14:solidFill>
                </w14:textFill>
              </w:rPr>
            </w:pPr>
            <w:r>
              <w:rPr>
                <w:color w:val="000000" w:themeColor="text1"/>
                <w14:textFill>
                  <w14:solidFill>
                    <w14:schemeClr w14:val="tx1"/>
                  </w14:solidFill>
                </w14:textFill>
              </w:rPr>
              <w:t>360</w:t>
            </w:r>
          </w:p>
        </w:tc>
        <w:tc>
          <w:tcPr>
            <w:tcW w:w="975" w:type="dxa"/>
            <w:tcBorders>
              <w:tl2br w:val="nil"/>
              <w:tr2bl w:val="nil"/>
            </w:tcBorders>
            <w:vAlign w:val="center"/>
          </w:tcPr>
          <w:p w14:paraId="563B38DB">
            <w:pPr>
              <w:pStyle w:val="14"/>
              <w:bidi w:val="0"/>
              <w:jc w:val="center"/>
              <w:rPr>
                <w:color w:val="000000" w:themeColor="text1"/>
                <w14:textFill>
                  <w14:solidFill>
                    <w14:schemeClr w14:val="tx1"/>
                  </w14:solidFill>
                </w14:textFill>
              </w:rPr>
            </w:pPr>
          </w:p>
          <w:p w14:paraId="2F028167">
            <w:pPr>
              <w:pStyle w:val="14"/>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1200800</w:t>
            </w:r>
          </w:p>
        </w:tc>
        <w:tc>
          <w:tcPr>
            <w:tcW w:w="1234" w:type="dxa"/>
            <w:tcBorders>
              <w:tl2br w:val="nil"/>
              <w:tr2bl w:val="nil"/>
            </w:tcBorders>
            <w:vAlign w:val="center"/>
          </w:tcPr>
          <w:p w14:paraId="2EACF2CB">
            <w:pPr>
              <w:pStyle w:val="14"/>
              <w:bidi w:val="0"/>
              <w:jc w:val="center"/>
              <w:rPr>
                <w:color w:val="000000" w:themeColor="text1"/>
                <w14:textFill>
                  <w14:solidFill>
                    <w14:schemeClr w14:val="tx1"/>
                  </w14:solidFill>
                </w14:textFill>
              </w:rPr>
            </w:pPr>
          </w:p>
          <w:p w14:paraId="1E757F48">
            <w:pPr>
              <w:pStyle w:val="14"/>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788" w:type="dxa"/>
            <w:tcBorders>
              <w:tl2br w:val="nil"/>
              <w:tr2bl w:val="nil"/>
            </w:tcBorders>
            <w:vAlign w:val="center"/>
          </w:tcPr>
          <w:p w14:paraId="7F39BB7B">
            <w:pPr>
              <w:adjustRightInd w:val="0"/>
              <w:snapToGrid w:val="0"/>
              <w:spacing w:line="24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bl>
    <w:p w14:paraId="7D36C424">
      <w:pPr>
        <w:pStyle w:val="14"/>
        <w:bidi w:val="0"/>
        <w:rPr>
          <w:rFonts w:hint="eastAsia"/>
        </w:rPr>
      </w:pPr>
      <w:r>
        <w:rPr>
          <w:rFonts w:hint="eastAsia"/>
        </w:rPr>
        <w:tab/>
      </w:r>
    </w:p>
    <w:p w14:paraId="2FCFBC98">
      <w:pPr>
        <w:ind w:firstLine="480" w:firstLineChars="20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97D08B5">
      <w:pPr>
        <w:pStyle w:val="2"/>
        <w:bidi w:val="0"/>
        <w:rPr>
          <w:rFonts w:hint="eastAsia"/>
          <w:lang w:val="en-US" w:eastAsia="zh-CN"/>
        </w:rPr>
      </w:pPr>
      <w:bookmarkStart w:id="27" w:name="_Toc22675"/>
      <w:r>
        <w:rPr>
          <w:rFonts w:hint="eastAsia"/>
          <w:lang w:val="en-US" w:eastAsia="zh-CN"/>
        </w:rPr>
        <w:t>6风险预测与评价</w:t>
      </w:r>
      <w:bookmarkEnd w:id="27"/>
    </w:p>
    <w:p w14:paraId="7BCD0152">
      <w:pPr>
        <w:pStyle w:val="3"/>
        <w:bidi w:val="0"/>
        <w:rPr>
          <w:rFonts w:hint="eastAsia"/>
          <w:lang w:val="en-US" w:eastAsia="zh-CN"/>
        </w:rPr>
      </w:pPr>
      <w:r>
        <w:rPr>
          <w:rFonts w:hint="eastAsia"/>
          <w:lang w:val="en-US" w:eastAsia="zh-CN"/>
        </w:rPr>
        <w:t>6.1大气环境风险分析</w:t>
      </w:r>
    </w:p>
    <w:p w14:paraId="01F5F40D">
      <w:pPr>
        <w:pStyle w:val="4"/>
        <w:bidi w:val="0"/>
        <w:rPr>
          <w:rFonts w:hint="eastAsia"/>
          <w:lang w:val="en-US" w:eastAsia="zh-CN"/>
        </w:rPr>
      </w:pPr>
      <w:r>
        <w:rPr>
          <w:rFonts w:hint="eastAsia"/>
          <w:lang w:val="en-US" w:eastAsia="zh-CN"/>
        </w:rPr>
        <w:t>6.1.1预测模型及评价标准</w:t>
      </w:r>
    </w:p>
    <w:p w14:paraId="7B061057">
      <w:pPr>
        <w:adjustRightInd w:val="0"/>
        <w:snapToGrid w:val="0"/>
        <w:ind w:firstLine="482" w:firstLineChars="200"/>
        <w:rPr>
          <w:b/>
          <w:bCs/>
        </w:rPr>
      </w:pPr>
      <w:r>
        <w:rPr>
          <w:rFonts w:hint="eastAsia"/>
          <w:b/>
          <w:bCs/>
        </w:rPr>
        <w:t>1、排放形式判断</w:t>
      </w:r>
    </w:p>
    <w:p w14:paraId="547E8940">
      <w:pPr>
        <w:adjustRightInd w:val="0"/>
        <w:snapToGrid w:val="0"/>
        <w:ind w:firstLine="480" w:firstLineChars="200"/>
      </w:pPr>
      <w:r>
        <w:rPr>
          <w:rFonts w:hint="eastAsia"/>
        </w:rPr>
        <w:t>根据《建设项目环境风险评价技术导则》（HJ169-2018）附录G，判定连续排放还是瞬时排放，可以通过对比排放时间Td和污染物到达最近的受体点</w:t>
      </w:r>
      <w:r>
        <w:rPr>
          <w:rFonts w:hint="eastAsia"/>
          <w:color w:val="000000"/>
        </w:rPr>
        <w:t>（道城洞村，距离本项目约</w:t>
      </w:r>
      <w:r>
        <w:rPr>
          <w:rFonts w:hint="eastAsia"/>
          <w:color w:val="000000"/>
          <w:lang w:val="en-US" w:eastAsia="zh-CN"/>
        </w:rPr>
        <w:t>430</w:t>
      </w:r>
      <w:r>
        <w:rPr>
          <w:rFonts w:hint="eastAsia"/>
          <w:color w:val="000000"/>
        </w:rPr>
        <w:t>m）</w:t>
      </w:r>
      <w:r>
        <w:rPr>
          <w:rFonts w:hint="eastAsia"/>
        </w:rPr>
        <w:t>的时间T确定。</w:t>
      </w:r>
    </w:p>
    <w:p w14:paraId="0D6C09AD">
      <w:pPr>
        <w:adjustRightInd w:val="0"/>
        <w:snapToGrid w:val="0"/>
        <w:ind w:firstLine="482" w:firstLineChars="200"/>
        <w:jc w:val="center"/>
        <w:rPr>
          <w:b/>
          <w:bCs/>
        </w:rPr>
      </w:pPr>
      <w:r>
        <w:rPr>
          <w:rFonts w:hint="eastAsia"/>
          <w:b/>
          <w:bCs/>
        </w:rPr>
        <w:t>T=2X/Ur</w:t>
      </w:r>
    </w:p>
    <w:p w14:paraId="329787A5">
      <w:pPr>
        <w:adjustRightInd w:val="0"/>
        <w:snapToGrid w:val="0"/>
        <w:ind w:firstLine="480" w:firstLineChars="200"/>
      </w:pPr>
      <w:r>
        <w:rPr>
          <w:rFonts w:hint="eastAsia"/>
        </w:rPr>
        <w:t>式中：X——事故发生地与计算点的距离，m；</w:t>
      </w:r>
    </w:p>
    <w:p w14:paraId="165F86C0">
      <w:pPr>
        <w:adjustRightInd w:val="0"/>
        <w:snapToGrid w:val="0"/>
        <w:ind w:firstLine="1200" w:firstLineChars="500"/>
      </w:pPr>
      <w:r>
        <w:rPr>
          <w:rFonts w:hint="eastAsia"/>
        </w:rPr>
        <w:t>Ur——10m高处风速，m/s。假设风速和风向的T时间段内保持不变。</w:t>
      </w:r>
    </w:p>
    <w:p w14:paraId="2019F466">
      <w:pPr>
        <w:adjustRightInd w:val="0"/>
        <w:snapToGrid w:val="0"/>
        <w:ind w:firstLine="480" w:firstLineChars="200"/>
        <w:rPr>
          <w:color w:val="000000"/>
        </w:rPr>
      </w:pPr>
      <w:r>
        <w:rPr>
          <w:rFonts w:hint="eastAsia"/>
          <w:color w:val="000000"/>
        </w:rPr>
        <w:t>当Td＞T时，可认为是连续排放的；当Td≤T时，可被认为是瞬时排放的。对于连续排放，Ri≥1/6为重质气体，Ri＜1/6为轻质气体；对于瞬时排放，Ri＞0.04为重质气体，Ri≤0.04为轻质气体。</w:t>
      </w:r>
    </w:p>
    <w:p w14:paraId="236EF85E">
      <w:pPr>
        <w:pStyle w:val="15"/>
        <w:bidi w:val="0"/>
        <w:rPr>
          <w:lang w:val="en-US" w:eastAsia="zh-CN"/>
        </w:rPr>
      </w:pPr>
      <w:r>
        <w:t>表6-1 连续排放或瞬时排放判定</w:t>
      </w:r>
    </w:p>
    <w:tbl>
      <w:tblPr>
        <w:tblStyle w:val="11"/>
        <w:tblW w:w="85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674"/>
        <w:gridCol w:w="1135"/>
        <w:gridCol w:w="1133"/>
        <w:gridCol w:w="1322"/>
        <w:gridCol w:w="1066"/>
        <w:gridCol w:w="1066"/>
        <w:gridCol w:w="1067"/>
        <w:gridCol w:w="1066"/>
      </w:tblGrid>
      <w:tr w14:paraId="7B34C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4" w:type="dxa"/>
            <w:tcBorders>
              <w:tl2br w:val="nil"/>
              <w:tr2bl w:val="nil"/>
            </w:tcBorders>
            <w:vAlign w:val="center"/>
          </w:tcPr>
          <w:p w14:paraId="08F0C78E">
            <w:pPr>
              <w:pStyle w:val="14"/>
              <w:bidi w:val="0"/>
              <w:jc w:val="center"/>
              <w:rPr>
                <w:rFonts w:hint="eastAsia"/>
                <w:b/>
                <w:bCs/>
                <w:lang w:val="en-US" w:eastAsia="zh-CN"/>
              </w:rPr>
            </w:pPr>
            <w:r>
              <w:rPr>
                <w:rFonts w:hint="eastAsia"/>
                <w:b/>
                <w:bCs/>
                <w:lang w:val="en-US" w:eastAsia="zh-CN"/>
              </w:rPr>
              <w:t>序号</w:t>
            </w:r>
          </w:p>
        </w:tc>
        <w:tc>
          <w:tcPr>
            <w:tcW w:w="1135" w:type="dxa"/>
            <w:tcBorders>
              <w:tl2br w:val="nil"/>
              <w:tr2bl w:val="nil"/>
            </w:tcBorders>
            <w:vAlign w:val="center"/>
          </w:tcPr>
          <w:p w14:paraId="37EFA83A">
            <w:pPr>
              <w:pStyle w:val="14"/>
              <w:bidi w:val="0"/>
              <w:jc w:val="center"/>
              <w:rPr>
                <w:rFonts w:hint="eastAsia"/>
                <w:b/>
                <w:bCs/>
                <w:lang w:val="en-US" w:eastAsia="zh-CN"/>
              </w:rPr>
            </w:pPr>
            <w:r>
              <w:rPr>
                <w:rFonts w:hint="eastAsia"/>
                <w:b/>
                <w:bCs/>
                <w:lang w:val="en-US" w:eastAsia="zh-CN"/>
              </w:rPr>
              <w:t>风险物质</w:t>
            </w:r>
          </w:p>
        </w:tc>
        <w:tc>
          <w:tcPr>
            <w:tcW w:w="1133" w:type="dxa"/>
            <w:tcBorders>
              <w:tl2br w:val="nil"/>
              <w:tr2bl w:val="nil"/>
            </w:tcBorders>
            <w:vAlign w:val="center"/>
          </w:tcPr>
          <w:p w14:paraId="6CF5EB01">
            <w:pPr>
              <w:pStyle w:val="14"/>
              <w:bidi w:val="0"/>
              <w:jc w:val="center"/>
              <w:rPr>
                <w:rFonts w:hint="eastAsia"/>
                <w:b/>
                <w:bCs/>
                <w:lang w:val="en-US" w:eastAsia="zh-CN"/>
              </w:rPr>
            </w:pPr>
            <w:r>
              <w:rPr>
                <w:rFonts w:hint="eastAsia"/>
                <w:b/>
                <w:bCs/>
                <w:lang w:val="en-US" w:eastAsia="zh-CN"/>
              </w:rPr>
              <w:t>最大可信事故类别</w:t>
            </w:r>
          </w:p>
        </w:tc>
        <w:tc>
          <w:tcPr>
            <w:tcW w:w="1322" w:type="dxa"/>
            <w:tcBorders>
              <w:tl2br w:val="nil"/>
              <w:tr2bl w:val="nil"/>
            </w:tcBorders>
            <w:vAlign w:val="center"/>
          </w:tcPr>
          <w:p w14:paraId="2A889C06">
            <w:pPr>
              <w:pStyle w:val="14"/>
              <w:bidi w:val="0"/>
              <w:jc w:val="center"/>
              <w:rPr>
                <w:rFonts w:hint="eastAsia"/>
                <w:b/>
                <w:bCs/>
                <w:lang w:val="en-US" w:eastAsia="zh-CN"/>
              </w:rPr>
            </w:pPr>
            <w:r>
              <w:rPr>
                <w:b/>
                <w:bCs/>
                <w:lang w:val="en-US" w:eastAsia="zh-CN"/>
              </w:rPr>
              <w:t>X-</w:t>
            </w:r>
            <w:r>
              <w:rPr>
                <w:rFonts w:hint="eastAsia"/>
                <w:b/>
                <w:bCs/>
                <w:lang w:val="en-US" w:eastAsia="zh-CN"/>
              </w:rPr>
              <w:t>事故发生地与计算点距离（</w:t>
            </w:r>
            <w:r>
              <w:rPr>
                <w:b/>
                <w:bCs/>
                <w:lang w:val="en-US" w:eastAsia="zh-CN"/>
              </w:rPr>
              <w:t>m</w:t>
            </w:r>
            <w:r>
              <w:rPr>
                <w:rFonts w:hint="eastAsia"/>
                <w:b/>
                <w:bCs/>
                <w:lang w:val="en-US" w:eastAsia="zh-CN"/>
              </w:rPr>
              <w:t>）</w:t>
            </w:r>
          </w:p>
        </w:tc>
        <w:tc>
          <w:tcPr>
            <w:tcW w:w="1066" w:type="dxa"/>
            <w:tcBorders>
              <w:tl2br w:val="nil"/>
              <w:tr2bl w:val="nil"/>
            </w:tcBorders>
            <w:vAlign w:val="center"/>
          </w:tcPr>
          <w:p w14:paraId="3EE43541">
            <w:pPr>
              <w:pStyle w:val="14"/>
              <w:bidi w:val="0"/>
              <w:jc w:val="center"/>
              <w:rPr>
                <w:rFonts w:hint="eastAsia"/>
                <w:b/>
                <w:bCs/>
                <w:lang w:val="en-US" w:eastAsia="zh-CN"/>
              </w:rPr>
            </w:pPr>
            <w:r>
              <w:rPr>
                <w:b/>
                <w:bCs/>
                <w:lang w:val="en-US" w:eastAsia="zh-CN"/>
              </w:rPr>
              <w:t>Ur-10m</w:t>
            </w:r>
            <w:r>
              <w:rPr>
                <w:rFonts w:hint="eastAsia"/>
                <w:b/>
                <w:bCs/>
                <w:lang w:val="en-US" w:eastAsia="zh-CN"/>
              </w:rPr>
              <w:t>高处风速（</w:t>
            </w:r>
            <w:r>
              <w:rPr>
                <w:b/>
                <w:bCs/>
                <w:lang w:val="en-US" w:eastAsia="zh-CN"/>
              </w:rPr>
              <w:t>m/s</w:t>
            </w:r>
            <w:r>
              <w:rPr>
                <w:rFonts w:hint="eastAsia"/>
                <w:b/>
                <w:bCs/>
                <w:lang w:val="en-US" w:eastAsia="zh-CN"/>
              </w:rPr>
              <w:t>）</w:t>
            </w:r>
          </w:p>
        </w:tc>
        <w:tc>
          <w:tcPr>
            <w:tcW w:w="1066" w:type="dxa"/>
            <w:tcBorders>
              <w:tl2br w:val="nil"/>
              <w:tr2bl w:val="nil"/>
            </w:tcBorders>
            <w:vAlign w:val="center"/>
          </w:tcPr>
          <w:p w14:paraId="101F67CD">
            <w:pPr>
              <w:pStyle w:val="14"/>
              <w:bidi w:val="0"/>
              <w:jc w:val="center"/>
              <w:rPr>
                <w:rFonts w:hint="eastAsia"/>
                <w:b/>
                <w:bCs/>
                <w:lang w:val="en-US" w:eastAsia="zh-CN"/>
              </w:rPr>
            </w:pPr>
            <w:r>
              <w:rPr>
                <w:b/>
                <w:bCs/>
                <w:lang w:val="en-US" w:eastAsia="zh-CN"/>
              </w:rPr>
              <w:t>T-</w:t>
            </w:r>
            <w:r>
              <w:rPr>
                <w:rFonts w:hint="eastAsia"/>
                <w:b/>
                <w:bCs/>
                <w:lang w:val="en-US" w:eastAsia="zh-CN"/>
              </w:rPr>
              <w:t>到达时间（</w:t>
            </w:r>
            <w:r>
              <w:rPr>
                <w:b/>
                <w:bCs/>
                <w:lang w:val="en-US" w:eastAsia="zh-CN"/>
              </w:rPr>
              <w:t>s</w:t>
            </w:r>
            <w:r>
              <w:rPr>
                <w:rFonts w:hint="eastAsia"/>
                <w:b/>
                <w:bCs/>
                <w:lang w:val="en-US" w:eastAsia="zh-CN"/>
              </w:rPr>
              <w:t>）</w:t>
            </w:r>
          </w:p>
        </w:tc>
        <w:tc>
          <w:tcPr>
            <w:tcW w:w="1067" w:type="dxa"/>
            <w:tcBorders>
              <w:tl2br w:val="nil"/>
              <w:tr2bl w:val="nil"/>
            </w:tcBorders>
            <w:vAlign w:val="center"/>
          </w:tcPr>
          <w:p w14:paraId="612D96AA">
            <w:pPr>
              <w:pStyle w:val="14"/>
              <w:bidi w:val="0"/>
              <w:jc w:val="center"/>
              <w:rPr>
                <w:rFonts w:hint="eastAsia"/>
                <w:b/>
                <w:bCs/>
                <w:lang w:val="en-US" w:eastAsia="zh-CN"/>
              </w:rPr>
            </w:pPr>
            <w:r>
              <w:rPr>
                <w:b/>
                <w:bCs/>
                <w:lang w:val="en-US" w:eastAsia="zh-CN"/>
              </w:rPr>
              <w:t>Td-</w:t>
            </w:r>
            <w:r>
              <w:rPr>
                <w:rFonts w:hint="eastAsia"/>
                <w:b/>
                <w:bCs/>
                <w:lang w:val="en-US" w:eastAsia="zh-CN"/>
              </w:rPr>
              <w:t>排放时间（</w:t>
            </w:r>
            <w:r>
              <w:rPr>
                <w:b/>
                <w:bCs/>
                <w:lang w:val="en-US" w:eastAsia="zh-CN"/>
              </w:rPr>
              <w:t>s</w:t>
            </w:r>
            <w:r>
              <w:rPr>
                <w:rFonts w:hint="eastAsia"/>
                <w:b/>
                <w:bCs/>
                <w:lang w:val="en-US" w:eastAsia="zh-CN"/>
              </w:rPr>
              <w:t>）</w:t>
            </w:r>
          </w:p>
        </w:tc>
        <w:tc>
          <w:tcPr>
            <w:tcW w:w="1066" w:type="dxa"/>
            <w:tcBorders>
              <w:tl2br w:val="nil"/>
              <w:tr2bl w:val="nil"/>
            </w:tcBorders>
            <w:vAlign w:val="center"/>
          </w:tcPr>
          <w:p w14:paraId="270A61B6">
            <w:pPr>
              <w:pStyle w:val="14"/>
              <w:bidi w:val="0"/>
              <w:jc w:val="center"/>
              <w:rPr>
                <w:rFonts w:hint="eastAsia"/>
                <w:b/>
                <w:bCs/>
                <w:lang w:val="en-US" w:eastAsia="zh-CN"/>
              </w:rPr>
            </w:pPr>
            <w:r>
              <w:rPr>
                <w:rFonts w:hint="eastAsia"/>
                <w:b/>
                <w:bCs/>
                <w:lang w:val="en-US" w:eastAsia="zh-CN"/>
              </w:rPr>
              <w:t>判定</w:t>
            </w:r>
          </w:p>
        </w:tc>
      </w:tr>
      <w:tr w14:paraId="7A05B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4" w:type="dxa"/>
            <w:tcBorders>
              <w:tl2br w:val="nil"/>
              <w:tr2bl w:val="nil"/>
            </w:tcBorders>
            <w:vAlign w:val="center"/>
          </w:tcPr>
          <w:p w14:paraId="20556CB7">
            <w:pPr>
              <w:pStyle w:val="14"/>
              <w:bidi w:val="0"/>
              <w:jc w:val="center"/>
              <w:rPr>
                <w:lang w:val="en-US" w:eastAsia="zh-CN"/>
              </w:rPr>
            </w:pPr>
            <w:r>
              <w:rPr>
                <w:lang w:val="en-US" w:eastAsia="zh-CN"/>
              </w:rPr>
              <w:t>1</w:t>
            </w:r>
          </w:p>
        </w:tc>
        <w:tc>
          <w:tcPr>
            <w:tcW w:w="1135" w:type="dxa"/>
            <w:tcBorders>
              <w:tl2br w:val="nil"/>
              <w:tr2bl w:val="nil"/>
            </w:tcBorders>
            <w:vAlign w:val="center"/>
          </w:tcPr>
          <w:p w14:paraId="01D5D584">
            <w:pPr>
              <w:pStyle w:val="14"/>
              <w:bidi w:val="0"/>
              <w:jc w:val="center"/>
              <w:rPr>
                <w:rFonts w:hint="eastAsia"/>
                <w:lang w:val="en-US" w:eastAsia="zh-CN"/>
              </w:rPr>
            </w:pPr>
            <w:r>
              <w:rPr>
                <w:rFonts w:hint="eastAsia"/>
                <w:lang w:val="en-US" w:eastAsia="zh-CN"/>
              </w:rPr>
              <w:t>液氨</w:t>
            </w:r>
          </w:p>
        </w:tc>
        <w:tc>
          <w:tcPr>
            <w:tcW w:w="1133" w:type="dxa"/>
            <w:tcBorders>
              <w:tl2br w:val="nil"/>
              <w:tr2bl w:val="nil"/>
            </w:tcBorders>
            <w:vAlign w:val="center"/>
          </w:tcPr>
          <w:p w14:paraId="61646AC7">
            <w:pPr>
              <w:pStyle w:val="14"/>
              <w:bidi w:val="0"/>
              <w:jc w:val="center"/>
              <w:rPr>
                <w:rFonts w:hint="eastAsia"/>
                <w:lang w:val="en-US" w:eastAsia="zh-CN"/>
              </w:rPr>
            </w:pPr>
            <w:r>
              <w:rPr>
                <w:rFonts w:hint="eastAsia"/>
                <w:lang w:val="en-US" w:eastAsia="zh-CN"/>
              </w:rPr>
              <w:t>液氨管线</w:t>
            </w:r>
          </w:p>
          <w:p w14:paraId="7872995F">
            <w:pPr>
              <w:pStyle w:val="14"/>
              <w:bidi w:val="0"/>
              <w:jc w:val="center"/>
              <w:rPr>
                <w:rFonts w:hint="eastAsia"/>
                <w:lang w:val="en-US" w:eastAsia="zh-CN"/>
              </w:rPr>
            </w:pPr>
            <w:r>
              <w:rPr>
                <w:rFonts w:hint="eastAsia"/>
                <w:lang w:val="en-US" w:eastAsia="zh-CN"/>
              </w:rPr>
              <w:t>泄漏</w:t>
            </w:r>
          </w:p>
        </w:tc>
        <w:tc>
          <w:tcPr>
            <w:tcW w:w="1322" w:type="dxa"/>
            <w:tcBorders>
              <w:tl2br w:val="nil"/>
              <w:tr2bl w:val="nil"/>
            </w:tcBorders>
            <w:vAlign w:val="center"/>
          </w:tcPr>
          <w:p w14:paraId="7A2EFBAE">
            <w:pPr>
              <w:pStyle w:val="14"/>
              <w:bidi w:val="0"/>
              <w:jc w:val="center"/>
              <w:rPr>
                <w:lang w:val="en-US" w:eastAsia="zh-CN"/>
              </w:rPr>
            </w:pPr>
            <w:r>
              <w:rPr>
                <w:rFonts w:hint="eastAsia"/>
                <w:lang w:val="en-US" w:eastAsia="zh-CN"/>
              </w:rPr>
              <w:t>43</w:t>
            </w:r>
            <w:r>
              <w:rPr>
                <w:lang w:val="en-US" w:eastAsia="zh-CN"/>
              </w:rPr>
              <w:t>0</w:t>
            </w:r>
          </w:p>
        </w:tc>
        <w:tc>
          <w:tcPr>
            <w:tcW w:w="1066" w:type="dxa"/>
            <w:tcBorders>
              <w:tl2br w:val="nil"/>
              <w:tr2bl w:val="nil"/>
            </w:tcBorders>
            <w:vAlign w:val="center"/>
          </w:tcPr>
          <w:p w14:paraId="0C1341A9">
            <w:pPr>
              <w:pStyle w:val="14"/>
              <w:bidi w:val="0"/>
              <w:jc w:val="center"/>
              <w:rPr>
                <w:lang w:val="en-US" w:eastAsia="zh-CN"/>
              </w:rPr>
            </w:pPr>
            <w:r>
              <w:rPr>
                <w:lang w:val="en-US" w:eastAsia="zh-CN"/>
              </w:rPr>
              <w:t>1.5</w:t>
            </w:r>
          </w:p>
        </w:tc>
        <w:tc>
          <w:tcPr>
            <w:tcW w:w="1066" w:type="dxa"/>
            <w:tcBorders>
              <w:tl2br w:val="nil"/>
              <w:tr2bl w:val="nil"/>
            </w:tcBorders>
            <w:vAlign w:val="center"/>
          </w:tcPr>
          <w:p w14:paraId="2304032F">
            <w:pPr>
              <w:pStyle w:val="14"/>
              <w:bidi w:val="0"/>
              <w:jc w:val="center"/>
              <w:rPr>
                <w:rFonts w:hint="default"/>
                <w:lang w:val="en-US" w:eastAsia="zh-CN"/>
              </w:rPr>
            </w:pPr>
            <w:r>
              <w:rPr>
                <w:rFonts w:hint="eastAsia"/>
                <w:lang w:val="en-US" w:eastAsia="zh-CN"/>
              </w:rPr>
              <w:t>573</w:t>
            </w:r>
          </w:p>
        </w:tc>
        <w:tc>
          <w:tcPr>
            <w:tcW w:w="1067" w:type="dxa"/>
            <w:tcBorders>
              <w:tl2br w:val="nil"/>
              <w:tr2bl w:val="nil"/>
            </w:tcBorders>
            <w:vAlign w:val="center"/>
          </w:tcPr>
          <w:p w14:paraId="3D117AA9">
            <w:pPr>
              <w:pStyle w:val="14"/>
              <w:bidi w:val="0"/>
              <w:jc w:val="center"/>
              <w:rPr>
                <w:lang w:val="en-US" w:eastAsia="zh-CN"/>
              </w:rPr>
            </w:pPr>
            <w:r>
              <w:rPr>
                <w:lang w:val="en-US" w:eastAsia="zh-CN"/>
              </w:rPr>
              <w:t>900</w:t>
            </w:r>
          </w:p>
        </w:tc>
        <w:tc>
          <w:tcPr>
            <w:tcW w:w="1066" w:type="dxa"/>
            <w:tcBorders>
              <w:tl2br w:val="nil"/>
              <w:tr2bl w:val="nil"/>
            </w:tcBorders>
            <w:vAlign w:val="center"/>
          </w:tcPr>
          <w:p w14:paraId="31795640">
            <w:pPr>
              <w:pStyle w:val="14"/>
              <w:bidi w:val="0"/>
              <w:jc w:val="center"/>
              <w:rPr>
                <w:rFonts w:hint="eastAsia"/>
                <w:lang w:val="en-US" w:eastAsia="zh-CN"/>
              </w:rPr>
            </w:pPr>
            <w:r>
              <w:rPr>
                <w:rFonts w:hint="eastAsia"/>
                <w:lang w:val="en-US" w:eastAsia="zh-CN"/>
              </w:rPr>
              <w:t>瞬时排放</w:t>
            </w:r>
          </w:p>
        </w:tc>
      </w:tr>
      <w:tr w14:paraId="0BB340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674" w:type="dxa"/>
            <w:tcBorders>
              <w:tl2br w:val="nil"/>
              <w:tr2bl w:val="nil"/>
            </w:tcBorders>
            <w:vAlign w:val="center"/>
          </w:tcPr>
          <w:p w14:paraId="7E71958C">
            <w:pPr>
              <w:pStyle w:val="14"/>
              <w:bidi w:val="0"/>
              <w:jc w:val="center"/>
              <w:rPr>
                <w:lang w:val="en-US" w:eastAsia="zh-CN"/>
              </w:rPr>
            </w:pPr>
            <w:r>
              <w:rPr>
                <w:lang w:val="en-US" w:eastAsia="zh-CN"/>
              </w:rPr>
              <w:t>2</w:t>
            </w:r>
          </w:p>
        </w:tc>
        <w:tc>
          <w:tcPr>
            <w:tcW w:w="1135" w:type="dxa"/>
            <w:tcBorders>
              <w:tl2br w:val="nil"/>
              <w:tr2bl w:val="nil"/>
            </w:tcBorders>
            <w:vAlign w:val="center"/>
          </w:tcPr>
          <w:p w14:paraId="66B839C8">
            <w:pPr>
              <w:pStyle w:val="14"/>
              <w:bidi w:val="0"/>
              <w:jc w:val="center"/>
              <w:rPr>
                <w:rFonts w:hint="eastAsia"/>
                <w:lang w:val="en-US" w:eastAsia="zh-CN"/>
              </w:rPr>
            </w:pPr>
            <w:r>
              <w:rPr>
                <w:rFonts w:hint="eastAsia"/>
                <w:lang w:val="en-US" w:eastAsia="zh-CN"/>
              </w:rPr>
              <w:t>氨水</w:t>
            </w:r>
          </w:p>
        </w:tc>
        <w:tc>
          <w:tcPr>
            <w:tcW w:w="1133" w:type="dxa"/>
            <w:tcBorders>
              <w:tl2br w:val="nil"/>
              <w:tr2bl w:val="nil"/>
            </w:tcBorders>
            <w:vAlign w:val="center"/>
          </w:tcPr>
          <w:p w14:paraId="5AE856CF">
            <w:pPr>
              <w:pStyle w:val="14"/>
              <w:bidi w:val="0"/>
              <w:jc w:val="center"/>
              <w:rPr>
                <w:rFonts w:hint="eastAsia"/>
                <w:lang w:val="en-US" w:eastAsia="zh-CN"/>
              </w:rPr>
            </w:pPr>
            <w:r>
              <w:rPr>
                <w:rFonts w:hint="eastAsia"/>
                <w:lang w:val="en-US" w:eastAsia="zh-CN"/>
              </w:rPr>
              <w:t>氨水管线</w:t>
            </w:r>
          </w:p>
          <w:p w14:paraId="7F71D1EB">
            <w:pPr>
              <w:pStyle w:val="14"/>
              <w:bidi w:val="0"/>
              <w:jc w:val="center"/>
              <w:rPr>
                <w:rFonts w:hint="eastAsia"/>
                <w:lang w:val="en-US" w:eastAsia="zh-CN"/>
              </w:rPr>
            </w:pPr>
            <w:r>
              <w:rPr>
                <w:rFonts w:hint="eastAsia"/>
                <w:lang w:val="en-US" w:eastAsia="zh-CN"/>
              </w:rPr>
              <w:t>泄漏</w:t>
            </w:r>
          </w:p>
        </w:tc>
        <w:tc>
          <w:tcPr>
            <w:tcW w:w="1322" w:type="dxa"/>
            <w:tcBorders>
              <w:tl2br w:val="nil"/>
              <w:tr2bl w:val="nil"/>
            </w:tcBorders>
            <w:vAlign w:val="center"/>
          </w:tcPr>
          <w:p w14:paraId="2FC00538">
            <w:pPr>
              <w:pStyle w:val="14"/>
              <w:bidi w:val="0"/>
              <w:jc w:val="center"/>
              <w:rPr>
                <w:lang w:val="en-US" w:eastAsia="zh-CN"/>
              </w:rPr>
            </w:pPr>
            <w:r>
              <w:rPr>
                <w:rFonts w:hint="eastAsia"/>
                <w:lang w:val="en-US" w:eastAsia="zh-CN"/>
              </w:rPr>
              <w:t>43</w:t>
            </w:r>
            <w:r>
              <w:rPr>
                <w:lang w:val="en-US" w:eastAsia="zh-CN"/>
              </w:rPr>
              <w:t>0</w:t>
            </w:r>
          </w:p>
        </w:tc>
        <w:tc>
          <w:tcPr>
            <w:tcW w:w="1066" w:type="dxa"/>
            <w:tcBorders>
              <w:tl2br w:val="nil"/>
              <w:tr2bl w:val="nil"/>
            </w:tcBorders>
            <w:vAlign w:val="center"/>
          </w:tcPr>
          <w:p w14:paraId="1F291264">
            <w:pPr>
              <w:pStyle w:val="14"/>
              <w:bidi w:val="0"/>
              <w:jc w:val="center"/>
              <w:rPr>
                <w:lang w:val="en-US" w:eastAsia="zh-CN"/>
              </w:rPr>
            </w:pPr>
            <w:r>
              <w:rPr>
                <w:lang w:val="en-US" w:eastAsia="zh-CN"/>
              </w:rPr>
              <w:t>1.5</w:t>
            </w:r>
          </w:p>
        </w:tc>
        <w:tc>
          <w:tcPr>
            <w:tcW w:w="1066" w:type="dxa"/>
            <w:tcBorders>
              <w:tl2br w:val="nil"/>
              <w:tr2bl w:val="nil"/>
            </w:tcBorders>
            <w:vAlign w:val="center"/>
          </w:tcPr>
          <w:p w14:paraId="66281150">
            <w:pPr>
              <w:pStyle w:val="14"/>
              <w:bidi w:val="0"/>
              <w:jc w:val="center"/>
              <w:rPr>
                <w:rFonts w:hint="default"/>
                <w:lang w:val="en-US" w:eastAsia="zh-CN"/>
              </w:rPr>
            </w:pPr>
            <w:r>
              <w:rPr>
                <w:rFonts w:hint="eastAsia"/>
                <w:lang w:val="en-US" w:eastAsia="zh-CN"/>
              </w:rPr>
              <w:t>573</w:t>
            </w:r>
          </w:p>
        </w:tc>
        <w:tc>
          <w:tcPr>
            <w:tcW w:w="1067" w:type="dxa"/>
            <w:tcBorders>
              <w:tl2br w:val="nil"/>
              <w:tr2bl w:val="nil"/>
            </w:tcBorders>
            <w:vAlign w:val="center"/>
          </w:tcPr>
          <w:p w14:paraId="79DA64BE">
            <w:pPr>
              <w:pStyle w:val="14"/>
              <w:bidi w:val="0"/>
              <w:jc w:val="center"/>
              <w:rPr>
                <w:lang w:val="en-US" w:eastAsia="zh-CN"/>
              </w:rPr>
            </w:pPr>
            <w:r>
              <w:rPr>
                <w:lang w:val="en-US" w:eastAsia="zh-CN"/>
              </w:rPr>
              <w:t>900</w:t>
            </w:r>
          </w:p>
        </w:tc>
        <w:tc>
          <w:tcPr>
            <w:tcW w:w="1066" w:type="dxa"/>
            <w:tcBorders>
              <w:tl2br w:val="nil"/>
              <w:tr2bl w:val="nil"/>
            </w:tcBorders>
            <w:vAlign w:val="center"/>
          </w:tcPr>
          <w:p w14:paraId="39FC5C87">
            <w:pPr>
              <w:pStyle w:val="14"/>
              <w:bidi w:val="0"/>
              <w:jc w:val="center"/>
              <w:rPr>
                <w:rFonts w:hint="eastAsia"/>
                <w:lang w:val="en-US" w:eastAsia="zh-CN"/>
              </w:rPr>
            </w:pPr>
            <w:r>
              <w:rPr>
                <w:rFonts w:hint="eastAsia"/>
                <w:lang w:val="en-US" w:eastAsia="zh-CN"/>
              </w:rPr>
              <w:t>瞬时排放</w:t>
            </w:r>
          </w:p>
        </w:tc>
      </w:tr>
    </w:tbl>
    <w:p w14:paraId="5D99AC74">
      <w:pPr>
        <w:pStyle w:val="14"/>
        <w:bidi w:val="0"/>
        <w:jc w:val="left"/>
        <w:rPr>
          <w:lang w:val="en-US" w:eastAsia="zh-CN"/>
        </w:rPr>
      </w:pPr>
      <w:r>
        <w:rPr>
          <w:lang w:val="en-US" w:eastAsia="zh-CN"/>
        </w:rPr>
        <w:t>注：①根据《建设项目环境风险评价技术导则》（HJ169-2018），本评价以最不利气象条件（F类稳定度，1.5m/s风速，温度25℃，相对湿度50%）进行后果预测，故Ut-10m高处风速取1.5m/s。</w:t>
      </w:r>
    </w:p>
    <w:p w14:paraId="60CF701A">
      <w:pPr>
        <w:bidi w:val="0"/>
      </w:pPr>
    </w:p>
    <w:p w14:paraId="495B9E60">
      <w:pPr>
        <w:adjustRightInd w:val="0"/>
        <w:snapToGrid w:val="0"/>
        <w:ind w:firstLine="482" w:firstLineChars="200"/>
        <w:rPr>
          <w:b/>
          <w:bCs/>
        </w:rPr>
      </w:pPr>
      <w:r>
        <w:rPr>
          <w:rFonts w:hint="eastAsia"/>
          <w:b/>
          <w:bCs/>
        </w:rPr>
        <w:t>2、是否为重质气体判断</w:t>
      </w:r>
    </w:p>
    <w:p w14:paraId="6FA08BE9">
      <w:pPr>
        <w:bidi w:val="0"/>
        <w:ind w:firstLine="480" w:firstLineChars="200"/>
      </w:pPr>
      <w:r>
        <w:rPr>
          <w:rFonts w:hint="eastAsia"/>
        </w:rPr>
        <w:t>通常采用理查德森数(Ri)作为标准进行判断，在连续排放情况下Ri计算公式为：</w:t>
      </w:r>
    </w:p>
    <w:p w14:paraId="7B159701">
      <w:pPr>
        <w:adjustRightInd w:val="0"/>
        <w:snapToGrid w:val="0"/>
        <w:jc w:val="center"/>
      </w:pPr>
      <w:r>
        <w:drawing>
          <wp:inline distT="0" distB="0" distL="114300" distR="114300">
            <wp:extent cx="2609850" cy="742950"/>
            <wp:effectExtent l="0" t="0" r="0" b="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55"/>
                    <a:stretch>
                      <a:fillRect/>
                    </a:stretch>
                  </pic:blipFill>
                  <pic:spPr>
                    <a:xfrm>
                      <a:off x="0" y="0"/>
                      <a:ext cx="2609850" cy="742950"/>
                    </a:xfrm>
                    <a:prstGeom prst="rect">
                      <a:avLst/>
                    </a:prstGeom>
                    <a:noFill/>
                    <a:ln>
                      <a:noFill/>
                    </a:ln>
                  </pic:spPr>
                </pic:pic>
              </a:graphicData>
            </a:graphic>
          </wp:inline>
        </w:drawing>
      </w:r>
    </w:p>
    <w:p w14:paraId="27123233">
      <w:pPr>
        <w:bidi w:val="0"/>
        <w:ind w:firstLine="480" w:firstLineChars="200"/>
        <w:rPr>
          <w:lang w:val="en-US" w:eastAsia="zh-CN"/>
        </w:rPr>
      </w:pPr>
      <w:r>
        <w:rPr>
          <w:lang w:val="en-US" w:eastAsia="zh-CN"/>
        </w:rPr>
        <w:t>式中：ρ</w:t>
      </w:r>
      <w:r>
        <w:rPr>
          <w:vertAlign w:val="subscript"/>
          <w:lang w:val="en-US" w:eastAsia="zh-CN"/>
        </w:rPr>
        <w:t>rel</w:t>
      </w:r>
      <w:r>
        <w:rPr>
          <w:lang w:val="en-US" w:eastAsia="zh-CN"/>
        </w:rPr>
        <w:t>——排放物质进入大气的初始密度，kg/m</w:t>
      </w:r>
      <w:r>
        <w:rPr>
          <w:vertAlign w:val="superscript"/>
          <w:lang w:val="en-US" w:eastAsia="zh-CN"/>
        </w:rPr>
        <w:t>3</w:t>
      </w:r>
      <w:r>
        <w:rPr>
          <w:lang w:val="en-US" w:eastAsia="zh-CN"/>
        </w:rPr>
        <w:t>；</w:t>
      </w:r>
    </w:p>
    <w:p w14:paraId="652EA06C">
      <w:pPr>
        <w:bidi w:val="0"/>
        <w:ind w:firstLine="1200" w:firstLineChars="500"/>
        <w:rPr>
          <w:lang w:val="en-US" w:eastAsia="zh-CN"/>
        </w:rPr>
      </w:pPr>
      <w:r>
        <w:rPr>
          <w:lang w:val="en-US" w:eastAsia="zh-CN"/>
        </w:rPr>
        <w:t>ρ</w:t>
      </w:r>
      <w:r>
        <w:rPr>
          <w:rFonts w:hint="default" w:ascii="Times New Roman" w:hAnsi="Times New Roman" w:cs="Times New Roman"/>
          <w:vertAlign w:val="subscript"/>
          <w:lang w:val="en-US" w:eastAsia="zh-CN"/>
        </w:rPr>
        <w:t>α</w:t>
      </w:r>
      <w:r>
        <w:rPr>
          <w:lang w:val="en-US" w:eastAsia="zh-CN"/>
        </w:rPr>
        <w:t>——环境空气密度，kg/m</w:t>
      </w:r>
      <w:r>
        <w:rPr>
          <w:vertAlign w:val="superscript"/>
          <w:lang w:val="en-US" w:eastAsia="zh-CN"/>
        </w:rPr>
        <w:t>3</w:t>
      </w:r>
      <w:r>
        <w:rPr>
          <w:lang w:val="en-US" w:eastAsia="zh-CN"/>
        </w:rPr>
        <w:t>；</w:t>
      </w:r>
    </w:p>
    <w:p w14:paraId="329BDF4C">
      <w:pPr>
        <w:bidi w:val="0"/>
        <w:ind w:firstLine="1200" w:firstLineChars="500"/>
        <w:rPr>
          <w:lang w:val="en-US" w:eastAsia="zh-CN"/>
        </w:rPr>
      </w:pPr>
      <w:r>
        <w:rPr>
          <w:lang w:val="en-US" w:eastAsia="zh-CN"/>
        </w:rPr>
        <w:t>Q</w:t>
      </w:r>
      <w:r>
        <w:rPr>
          <w:vertAlign w:val="subscript"/>
          <w:lang w:val="en-US" w:eastAsia="zh-CN"/>
        </w:rPr>
        <w:t>t</w:t>
      </w:r>
      <w:r>
        <w:rPr>
          <w:lang w:val="en-US" w:eastAsia="zh-CN"/>
        </w:rPr>
        <w:t>——瞬时排放的物质质量，kg；</w:t>
      </w:r>
    </w:p>
    <w:p w14:paraId="13FEA571">
      <w:pPr>
        <w:bidi w:val="0"/>
        <w:ind w:firstLine="1200" w:firstLineChars="500"/>
        <w:rPr>
          <w:lang w:val="en-US" w:eastAsia="zh-CN"/>
        </w:rPr>
      </w:pPr>
      <w:r>
        <w:rPr>
          <w:lang w:val="en-US" w:eastAsia="zh-CN"/>
        </w:rPr>
        <w:t>U</w:t>
      </w:r>
      <w:r>
        <w:rPr>
          <w:vertAlign w:val="subscript"/>
          <w:lang w:val="en-US" w:eastAsia="zh-CN"/>
        </w:rPr>
        <w:t>r</w:t>
      </w:r>
      <w:r>
        <w:rPr>
          <w:lang w:val="en-US" w:eastAsia="zh-CN"/>
        </w:rPr>
        <w:t>——10m高处的风速，m/s。</w:t>
      </w:r>
    </w:p>
    <w:p w14:paraId="07F7B7E9">
      <w:pPr>
        <w:bidi w:val="0"/>
        <w:ind w:firstLine="480" w:firstLineChars="200"/>
        <w:rPr>
          <w:lang w:val="en-US" w:eastAsia="zh-CN"/>
        </w:rPr>
      </w:pPr>
      <w:r>
        <w:rPr>
          <w:lang w:val="en-US" w:eastAsia="zh-CN"/>
        </w:rPr>
        <w:t>计算所需的参数见表6-2</w:t>
      </w:r>
      <w:r>
        <w:rPr>
          <w:rFonts w:hint="eastAsia"/>
          <w:lang w:val="en-US" w:eastAsia="zh-CN"/>
        </w:rPr>
        <w:t>。</w:t>
      </w:r>
    </w:p>
    <w:p w14:paraId="072A2841">
      <w:pPr>
        <w:pStyle w:val="15"/>
        <w:bidi w:val="0"/>
      </w:pPr>
      <w:r>
        <w:t>表6-2 理查德森数（R</w:t>
      </w:r>
      <w:r>
        <w:rPr>
          <w:vertAlign w:val="subscript"/>
        </w:rPr>
        <w:t>i</w:t>
      </w:r>
      <w:r>
        <w:t>）计算参数表</w:t>
      </w:r>
    </w:p>
    <w:tbl>
      <w:tblPr>
        <w:tblStyle w:val="11"/>
        <w:tblW w:w="804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829"/>
        <w:gridCol w:w="1013"/>
        <w:gridCol w:w="764"/>
        <w:gridCol w:w="1105"/>
        <w:gridCol w:w="842"/>
        <w:gridCol w:w="1013"/>
        <w:gridCol w:w="829"/>
        <w:gridCol w:w="658"/>
        <w:gridCol w:w="995"/>
      </w:tblGrid>
      <w:tr w14:paraId="7A06D0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29" w:type="dxa"/>
            <w:tcBorders>
              <w:tl2br w:val="nil"/>
              <w:tr2bl w:val="nil"/>
            </w:tcBorders>
            <w:vAlign w:val="center"/>
          </w:tcPr>
          <w:p w14:paraId="35985E37">
            <w:pPr>
              <w:pStyle w:val="14"/>
              <w:bidi w:val="0"/>
              <w:jc w:val="center"/>
              <w:rPr>
                <w:rFonts w:hint="eastAsia"/>
                <w:b/>
                <w:bCs/>
                <w:lang w:val="en-US" w:eastAsia="zh-CN"/>
              </w:rPr>
            </w:pPr>
            <w:r>
              <w:rPr>
                <w:rFonts w:hint="eastAsia"/>
                <w:b/>
                <w:bCs/>
                <w:lang w:val="en-US" w:eastAsia="zh-CN"/>
              </w:rPr>
              <w:t>风险源</w:t>
            </w:r>
          </w:p>
        </w:tc>
        <w:tc>
          <w:tcPr>
            <w:tcW w:w="1013" w:type="dxa"/>
            <w:tcBorders>
              <w:tl2br w:val="nil"/>
              <w:tr2bl w:val="nil"/>
            </w:tcBorders>
            <w:vAlign w:val="center"/>
          </w:tcPr>
          <w:p w14:paraId="084D7482">
            <w:pPr>
              <w:pStyle w:val="14"/>
              <w:bidi w:val="0"/>
              <w:jc w:val="center"/>
              <w:rPr>
                <w:rFonts w:hint="eastAsia"/>
                <w:b/>
                <w:bCs/>
                <w:lang w:val="en-US" w:eastAsia="zh-CN"/>
              </w:rPr>
            </w:pPr>
            <w:r>
              <w:rPr>
                <w:rFonts w:hint="eastAsia"/>
                <w:b/>
                <w:bCs/>
                <w:lang w:val="en-US" w:eastAsia="zh-CN"/>
              </w:rPr>
              <w:t>危险物质</w:t>
            </w:r>
          </w:p>
        </w:tc>
        <w:tc>
          <w:tcPr>
            <w:tcW w:w="764" w:type="dxa"/>
            <w:tcBorders>
              <w:tl2br w:val="nil"/>
              <w:tr2bl w:val="nil"/>
            </w:tcBorders>
            <w:vAlign w:val="center"/>
          </w:tcPr>
          <w:p w14:paraId="0B5619E4">
            <w:pPr>
              <w:pStyle w:val="14"/>
              <w:bidi w:val="0"/>
              <w:jc w:val="center"/>
              <w:rPr>
                <w:b/>
                <w:bCs/>
                <w:lang w:val="en-US" w:eastAsia="zh-CN"/>
              </w:rPr>
            </w:pPr>
            <w:r>
              <w:rPr>
                <w:b/>
                <w:bCs/>
                <w:lang w:val="en-US" w:eastAsia="zh-CN"/>
              </w:rPr>
              <w:t>Q</w:t>
            </w:r>
            <w:r>
              <w:rPr>
                <w:b/>
                <w:bCs/>
                <w:vertAlign w:val="subscript"/>
                <w:lang w:val="en-US" w:eastAsia="zh-CN"/>
              </w:rPr>
              <w:t>t</w:t>
            </w:r>
            <w:r>
              <w:rPr>
                <w:b/>
                <w:bCs/>
                <w:lang w:val="en-US" w:eastAsia="zh-CN"/>
              </w:rPr>
              <w:t>(kg)</w:t>
            </w:r>
          </w:p>
        </w:tc>
        <w:tc>
          <w:tcPr>
            <w:tcW w:w="1105" w:type="dxa"/>
            <w:tcBorders>
              <w:tl2br w:val="nil"/>
              <w:tr2bl w:val="nil"/>
            </w:tcBorders>
            <w:vAlign w:val="center"/>
          </w:tcPr>
          <w:p w14:paraId="06ACEDE4">
            <w:pPr>
              <w:pStyle w:val="14"/>
              <w:bidi w:val="0"/>
              <w:jc w:val="center"/>
              <w:rPr>
                <w:b/>
                <w:bCs/>
                <w:lang w:val="en-US" w:eastAsia="zh-CN"/>
              </w:rPr>
            </w:pPr>
            <w:r>
              <w:rPr>
                <w:b/>
                <w:bCs/>
                <w:lang w:val="en-US" w:eastAsia="zh-CN"/>
              </w:rPr>
              <w:t>ρ</w:t>
            </w:r>
            <w:r>
              <w:rPr>
                <w:b/>
                <w:bCs/>
                <w:vertAlign w:val="subscript"/>
                <w:lang w:val="en-US" w:eastAsia="zh-CN"/>
              </w:rPr>
              <w:t>rel</w:t>
            </w:r>
            <w:r>
              <w:rPr>
                <w:b/>
                <w:bCs/>
                <w:lang w:val="en-US" w:eastAsia="zh-CN"/>
              </w:rPr>
              <w:t>(kg/m</w:t>
            </w:r>
            <w:r>
              <w:rPr>
                <w:b/>
                <w:bCs/>
                <w:vertAlign w:val="superscript"/>
                <w:lang w:val="en-US" w:eastAsia="zh-CN"/>
              </w:rPr>
              <w:t>3</w:t>
            </w:r>
            <w:r>
              <w:rPr>
                <w:b/>
                <w:bCs/>
                <w:lang w:val="en-US" w:eastAsia="zh-CN"/>
              </w:rPr>
              <w:t>)</w:t>
            </w:r>
          </w:p>
        </w:tc>
        <w:tc>
          <w:tcPr>
            <w:tcW w:w="842" w:type="dxa"/>
            <w:tcBorders>
              <w:tl2br w:val="nil"/>
              <w:tr2bl w:val="nil"/>
            </w:tcBorders>
            <w:vAlign w:val="center"/>
          </w:tcPr>
          <w:p w14:paraId="647D94C5">
            <w:pPr>
              <w:pStyle w:val="14"/>
              <w:bidi w:val="0"/>
              <w:jc w:val="center"/>
              <w:rPr>
                <w:b/>
                <w:bCs/>
                <w:lang w:val="en-US" w:eastAsia="zh-CN"/>
              </w:rPr>
            </w:pPr>
            <w:r>
              <w:rPr>
                <w:b/>
                <w:bCs/>
                <w:lang w:val="en-US" w:eastAsia="zh-CN"/>
              </w:rPr>
              <w:t>D</w:t>
            </w:r>
            <w:r>
              <w:rPr>
                <w:b/>
                <w:bCs/>
                <w:vertAlign w:val="subscript"/>
                <w:lang w:val="en-US" w:eastAsia="zh-CN"/>
              </w:rPr>
              <w:t>rel</w:t>
            </w:r>
            <w:r>
              <w:rPr>
                <w:b/>
                <w:bCs/>
                <w:lang w:val="en-US" w:eastAsia="zh-CN"/>
              </w:rPr>
              <w:t>(m)</w:t>
            </w:r>
          </w:p>
        </w:tc>
        <w:tc>
          <w:tcPr>
            <w:tcW w:w="1013" w:type="dxa"/>
            <w:tcBorders>
              <w:tl2br w:val="nil"/>
              <w:tr2bl w:val="nil"/>
            </w:tcBorders>
            <w:vAlign w:val="center"/>
          </w:tcPr>
          <w:p w14:paraId="00D0CFA2">
            <w:pPr>
              <w:pStyle w:val="14"/>
              <w:bidi w:val="0"/>
              <w:jc w:val="center"/>
              <w:rPr>
                <w:b/>
                <w:bCs/>
                <w:lang w:val="en-US" w:eastAsia="zh-CN"/>
              </w:rPr>
            </w:pPr>
            <w:r>
              <w:rPr>
                <w:b/>
                <w:bCs/>
                <w:lang w:val="en-US" w:eastAsia="zh-CN"/>
              </w:rPr>
              <w:t>ρ</w:t>
            </w:r>
            <w:r>
              <w:rPr>
                <w:rFonts w:hint="default" w:ascii="Times New Roman" w:hAnsi="Times New Roman" w:cs="Times New Roman"/>
                <w:b/>
                <w:bCs/>
                <w:vertAlign w:val="subscript"/>
                <w:lang w:val="en-US" w:eastAsia="zh-CN"/>
              </w:rPr>
              <w:t>α</w:t>
            </w:r>
            <w:r>
              <w:rPr>
                <w:b/>
                <w:bCs/>
                <w:lang w:val="en-US" w:eastAsia="zh-CN"/>
              </w:rPr>
              <w:t>(kg/m</w:t>
            </w:r>
            <w:r>
              <w:rPr>
                <w:b/>
                <w:bCs/>
                <w:vertAlign w:val="superscript"/>
                <w:lang w:val="en-US" w:eastAsia="zh-CN"/>
              </w:rPr>
              <w:t>3</w:t>
            </w:r>
            <w:r>
              <w:rPr>
                <w:b/>
                <w:bCs/>
                <w:lang w:val="en-US" w:eastAsia="zh-CN"/>
              </w:rPr>
              <w:t>)</w:t>
            </w:r>
          </w:p>
        </w:tc>
        <w:tc>
          <w:tcPr>
            <w:tcW w:w="829" w:type="dxa"/>
            <w:tcBorders>
              <w:tl2br w:val="nil"/>
              <w:tr2bl w:val="nil"/>
            </w:tcBorders>
            <w:vAlign w:val="center"/>
          </w:tcPr>
          <w:p w14:paraId="27152B1C">
            <w:pPr>
              <w:pStyle w:val="14"/>
              <w:bidi w:val="0"/>
              <w:jc w:val="center"/>
              <w:rPr>
                <w:b/>
                <w:bCs/>
                <w:lang w:val="en-US" w:eastAsia="zh-CN"/>
              </w:rPr>
            </w:pPr>
            <w:r>
              <w:rPr>
                <w:b/>
                <w:bCs/>
                <w:lang w:val="en-US" w:eastAsia="zh-CN"/>
              </w:rPr>
              <w:t>U</w:t>
            </w:r>
            <w:r>
              <w:rPr>
                <w:b/>
                <w:bCs/>
                <w:vertAlign w:val="subscript"/>
                <w:lang w:val="en-US" w:eastAsia="zh-CN"/>
              </w:rPr>
              <w:t>r</w:t>
            </w:r>
            <w:r>
              <w:rPr>
                <w:b/>
                <w:bCs/>
                <w:lang w:val="en-US" w:eastAsia="zh-CN"/>
              </w:rPr>
              <w:t>(m/s)</w:t>
            </w:r>
          </w:p>
        </w:tc>
        <w:tc>
          <w:tcPr>
            <w:tcW w:w="658" w:type="dxa"/>
            <w:tcBorders>
              <w:tl2br w:val="nil"/>
              <w:tr2bl w:val="nil"/>
            </w:tcBorders>
            <w:vAlign w:val="center"/>
          </w:tcPr>
          <w:p w14:paraId="389D86A8">
            <w:pPr>
              <w:pStyle w:val="14"/>
              <w:bidi w:val="0"/>
              <w:jc w:val="center"/>
              <w:rPr>
                <w:b/>
                <w:bCs/>
                <w:lang w:val="en-US" w:eastAsia="zh-CN"/>
              </w:rPr>
            </w:pPr>
            <w:r>
              <w:rPr>
                <w:b/>
                <w:bCs/>
                <w:lang w:val="en-US" w:eastAsia="zh-CN"/>
              </w:rPr>
              <w:t>R</w:t>
            </w:r>
            <w:r>
              <w:rPr>
                <w:b/>
                <w:bCs/>
                <w:vertAlign w:val="subscript"/>
                <w:lang w:val="en-US" w:eastAsia="zh-CN"/>
              </w:rPr>
              <w:t>i</w:t>
            </w:r>
          </w:p>
        </w:tc>
        <w:tc>
          <w:tcPr>
            <w:tcW w:w="995" w:type="dxa"/>
            <w:tcBorders>
              <w:tl2br w:val="nil"/>
              <w:tr2bl w:val="nil"/>
            </w:tcBorders>
            <w:vAlign w:val="center"/>
          </w:tcPr>
          <w:p w14:paraId="201DB537">
            <w:pPr>
              <w:pStyle w:val="14"/>
              <w:bidi w:val="0"/>
              <w:jc w:val="center"/>
              <w:rPr>
                <w:rFonts w:hint="eastAsia"/>
                <w:b/>
                <w:bCs/>
                <w:lang w:val="en-US" w:eastAsia="zh-CN"/>
              </w:rPr>
            </w:pPr>
            <w:r>
              <w:rPr>
                <w:rFonts w:hint="eastAsia"/>
                <w:b/>
                <w:bCs/>
                <w:lang w:val="en-US" w:eastAsia="zh-CN"/>
              </w:rPr>
              <w:t>预测模型</w:t>
            </w:r>
          </w:p>
        </w:tc>
      </w:tr>
      <w:tr w14:paraId="78E08F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29" w:type="dxa"/>
            <w:tcBorders>
              <w:tl2br w:val="nil"/>
              <w:tr2bl w:val="nil"/>
            </w:tcBorders>
            <w:vAlign w:val="center"/>
          </w:tcPr>
          <w:p w14:paraId="21F077E3">
            <w:pPr>
              <w:pStyle w:val="14"/>
              <w:bidi w:val="0"/>
              <w:jc w:val="center"/>
              <w:rPr>
                <w:rFonts w:hint="eastAsia"/>
                <w:lang w:val="en-US" w:eastAsia="zh-CN"/>
              </w:rPr>
            </w:pPr>
            <w:r>
              <w:rPr>
                <w:rFonts w:hint="eastAsia"/>
                <w:lang w:val="en-US" w:eastAsia="zh-CN"/>
              </w:rPr>
              <w:t>液氨</w:t>
            </w:r>
          </w:p>
        </w:tc>
        <w:tc>
          <w:tcPr>
            <w:tcW w:w="1013" w:type="dxa"/>
            <w:tcBorders>
              <w:tl2br w:val="nil"/>
              <w:tr2bl w:val="nil"/>
            </w:tcBorders>
            <w:vAlign w:val="center"/>
          </w:tcPr>
          <w:p w14:paraId="73554B39">
            <w:pPr>
              <w:pStyle w:val="14"/>
              <w:bidi w:val="0"/>
              <w:jc w:val="center"/>
              <w:rPr>
                <w:rFonts w:hint="eastAsia"/>
                <w:lang w:val="en-US" w:eastAsia="zh-CN"/>
              </w:rPr>
            </w:pPr>
            <w:r>
              <w:rPr>
                <w:rFonts w:hint="eastAsia"/>
                <w:lang w:val="en-US" w:eastAsia="zh-CN"/>
              </w:rPr>
              <w:t>氨气</w:t>
            </w:r>
          </w:p>
        </w:tc>
        <w:tc>
          <w:tcPr>
            <w:tcW w:w="764" w:type="dxa"/>
            <w:tcBorders>
              <w:tl2br w:val="nil"/>
              <w:tr2bl w:val="nil"/>
            </w:tcBorders>
            <w:vAlign w:val="center"/>
          </w:tcPr>
          <w:p w14:paraId="4C2DA9E2">
            <w:pPr>
              <w:pStyle w:val="14"/>
              <w:bidi w:val="0"/>
              <w:jc w:val="center"/>
              <w:rPr>
                <w:lang w:val="en-US" w:eastAsia="zh-CN"/>
              </w:rPr>
            </w:pPr>
            <w:r>
              <w:rPr>
                <w:lang w:val="en-US" w:eastAsia="zh-CN"/>
              </w:rPr>
              <w:t>39.6</w:t>
            </w:r>
          </w:p>
        </w:tc>
        <w:tc>
          <w:tcPr>
            <w:tcW w:w="1105" w:type="dxa"/>
            <w:tcBorders>
              <w:tl2br w:val="nil"/>
              <w:tr2bl w:val="nil"/>
            </w:tcBorders>
            <w:vAlign w:val="center"/>
          </w:tcPr>
          <w:p w14:paraId="21BECAC7">
            <w:pPr>
              <w:pStyle w:val="14"/>
              <w:bidi w:val="0"/>
              <w:jc w:val="center"/>
              <w:rPr>
                <w:lang w:val="en-US" w:eastAsia="zh-CN"/>
              </w:rPr>
            </w:pPr>
            <w:r>
              <w:rPr>
                <w:lang w:val="en-US" w:eastAsia="zh-CN"/>
              </w:rPr>
              <w:t>10.96</w:t>
            </w:r>
          </w:p>
        </w:tc>
        <w:tc>
          <w:tcPr>
            <w:tcW w:w="842" w:type="dxa"/>
            <w:tcBorders>
              <w:tl2br w:val="nil"/>
              <w:tr2bl w:val="nil"/>
            </w:tcBorders>
            <w:vAlign w:val="center"/>
          </w:tcPr>
          <w:p w14:paraId="29F6656C">
            <w:pPr>
              <w:pStyle w:val="14"/>
              <w:bidi w:val="0"/>
              <w:jc w:val="center"/>
              <w:rPr>
                <w:lang w:val="en-US" w:eastAsia="zh-CN"/>
              </w:rPr>
            </w:pPr>
            <w:r>
              <w:rPr>
                <w:lang w:val="en-US" w:eastAsia="zh-CN"/>
              </w:rPr>
              <w:t>3</w:t>
            </w:r>
          </w:p>
        </w:tc>
        <w:tc>
          <w:tcPr>
            <w:tcW w:w="1013" w:type="dxa"/>
            <w:tcBorders>
              <w:tl2br w:val="nil"/>
              <w:tr2bl w:val="nil"/>
            </w:tcBorders>
            <w:vAlign w:val="center"/>
          </w:tcPr>
          <w:p w14:paraId="391E12E1">
            <w:pPr>
              <w:pStyle w:val="14"/>
              <w:bidi w:val="0"/>
              <w:jc w:val="center"/>
              <w:rPr>
                <w:lang w:val="en-US" w:eastAsia="zh-CN"/>
              </w:rPr>
            </w:pPr>
            <w:r>
              <w:rPr>
                <w:lang w:val="en-US" w:eastAsia="zh-CN"/>
              </w:rPr>
              <w:t>1.185</w:t>
            </w:r>
          </w:p>
        </w:tc>
        <w:tc>
          <w:tcPr>
            <w:tcW w:w="829" w:type="dxa"/>
            <w:tcBorders>
              <w:tl2br w:val="nil"/>
              <w:tr2bl w:val="nil"/>
            </w:tcBorders>
            <w:vAlign w:val="center"/>
          </w:tcPr>
          <w:p w14:paraId="2A64BC95">
            <w:pPr>
              <w:pStyle w:val="14"/>
              <w:bidi w:val="0"/>
              <w:jc w:val="center"/>
              <w:rPr>
                <w:lang w:val="en-US" w:eastAsia="zh-CN"/>
              </w:rPr>
            </w:pPr>
            <w:r>
              <w:rPr>
                <w:lang w:val="en-US" w:eastAsia="zh-CN"/>
              </w:rPr>
              <w:t>1.5</w:t>
            </w:r>
          </w:p>
        </w:tc>
        <w:tc>
          <w:tcPr>
            <w:tcW w:w="658" w:type="dxa"/>
            <w:tcBorders>
              <w:tl2br w:val="nil"/>
              <w:tr2bl w:val="nil"/>
            </w:tcBorders>
            <w:vAlign w:val="center"/>
          </w:tcPr>
          <w:p w14:paraId="64001876">
            <w:pPr>
              <w:pStyle w:val="14"/>
              <w:bidi w:val="0"/>
              <w:jc w:val="center"/>
              <w:rPr>
                <w:lang w:val="en-US" w:eastAsia="zh-CN"/>
              </w:rPr>
            </w:pPr>
            <w:r>
              <w:rPr>
                <w:lang w:val="en-US" w:eastAsia="zh-CN"/>
              </w:rPr>
              <w:t>55.19</w:t>
            </w:r>
          </w:p>
        </w:tc>
        <w:tc>
          <w:tcPr>
            <w:tcW w:w="995" w:type="dxa"/>
            <w:tcBorders>
              <w:tl2br w:val="nil"/>
              <w:tr2bl w:val="nil"/>
            </w:tcBorders>
            <w:vAlign w:val="center"/>
          </w:tcPr>
          <w:p w14:paraId="496F4603">
            <w:pPr>
              <w:pStyle w:val="14"/>
              <w:bidi w:val="0"/>
              <w:jc w:val="center"/>
              <w:rPr>
                <w:lang w:val="en-US" w:eastAsia="zh-CN"/>
              </w:rPr>
            </w:pPr>
            <w:r>
              <w:rPr>
                <w:lang w:val="en-US" w:eastAsia="zh-CN"/>
              </w:rPr>
              <w:t>SLAB</w:t>
            </w:r>
          </w:p>
        </w:tc>
      </w:tr>
      <w:tr w14:paraId="23BDD1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829" w:type="dxa"/>
            <w:tcBorders>
              <w:tl2br w:val="nil"/>
              <w:tr2bl w:val="nil"/>
            </w:tcBorders>
            <w:vAlign w:val="center"/>
          </w:tcPr>
          <w:p w14:paraId="46F0EF21">
            <w:pPr>
              <w:pStyle w:val="14"/>
              <w:bidi w:val="0"/>
              <w:jc w:val="center"/>
              <w:rPr>
                <w:rFonts w:hint="eastAsia"/>
                <w:lang w:val="en-US" w:eastAsia="zh-CN"/>
              </w:rPr>
            </w:pPr>
            <w:r>
              <w:rPr>
                <w:rFonts w:hint="eastAsia"/>
                <w:lang w:val="en-US" w:eastAsia="zh-CN"/>
              </w:rPr>
              <w:t>氨水</w:t>
            </w:r>
          </w:p>
        </w:tc>
        <w:tc>
          <w:tcPr>
            <w:tcW w:w="1013" w:type="dxa"/>
            <w:tcBorders>
              <w:tl2br w:val="nil"/>
              <w:tr2bl w:val="nil"/>
            </w:tcBorders>
            <w:vAlign w:val="center"/>
          </w:tcPr>
          <w:p w14:paraId="043C7039">
            <w:pPr>
              <w:pStyle w:val="14"/>
              <w:bidi w:val="0"/>
              <w:jc w:val="center"/>
              <w:rPr>
                <w:rFonts w:hint="eastAsia"/>
                <w:lang w:val="en-US" w:eastAsia="zh-CN"/>
              </w:rPr>
            </w:pPr>
            <w:r>
              <w:rPr>
                <w:rFonts w:hint="eastAsia"/>
                <w:lang w:val="en-US" w:eastAsia="zh-CN"/>
              </w:rPr>
              <w:t>氨气</w:t>
            </w:r>
          </w:p>
        </w:tc>
        <w:tc>
          <w:tcPr>
            <w:tcW w:w="764" w:type="dxa"/>
            <w:tcBorders>
              <w:tl2br w:val="nil"/>
              <w:tr2bl w:val="nil"/>
            </w:tcBorders>
            <w:vAlign w:val="center"/>
          </w:tcPr>
          <w:p w14:paraId="0E06A75C">
            <w:pPr>
              <w:pStyle w:val="14"/>
              <w:bidi w:val="0"/>
              <w:jc w:val="center"/>
              <w:rPr>
                <w:lang w:val="en-US" w:eastAsia="zh-CN"/>
              </w:rPr>
            </w:pPr>
            <w:r>
              <w:rPr>
                <w:lang w:val="en-US" w:eastAsia="zh-CN"/>
              </w:rPr>
              <w:t>27</w:t>
            </w:r>
          </w:p>
        </w:tc>
        <w:tc>
          <w:tcPr>
            <w:tcW w:w="1105" w:type="dxa"/>
            <w:tcBorders>
              <w:tl2br w:val="nil"/>
              <w:tr2bl w:val="nil"/>
            </w:tcBorders>
            <w:vAlign w:val="center"/>
          </w:tcPr>
          <w:p w14:paraId="28678B39">
            <w:pPr>
              <w:pStyle w:val="14"/>
              <w:bidi w:val="0"/>
              <w:jc w:val="center"/>
              <w:rPr>
                <w:lang w:val="en-US" w:eastAsia="zh-CN"/>
              </w:rPr>
            </w:pPr>
            <w:r>
              <w:rPr>
                <w:lang w:val="en-US" w:eastAsia="zh-CN"/>
              </w:rPr>
              <w:t>0.711</w:t>
            </w:r>
          </w:p>
        </w:tc>
        <w:tc>
          <w:tcPr>
            <w:tcW w:w="842" w:type="dxa"/>
            <w:tcBorders>
              <w:tl2br w:val="nil"/>
              <w:tr2bl w:val="nil"/>
            </w:tcBorders>
            <w:vAlign w:val="center"/>
          </w:tcPr>
          <w:p w14:paraId="5297124D">
            <w:pPr>
              <w:pStyle w:val="14"/>
              <w:bidi w:val="0"/>
              <w:jc w:val="center"/>
              <w:rPr>
                <w:lang w:val="en-US" w:eastAsia="zh-CN"/>
              </w:rPr>
            </w:pPr>
            <w:r>
              <w:rPr>
                <w:lang w:val="en-US" w:eastAsia="zh-CN"/>
              </w:rPr>
              <w:t>5.92</w:t>
            </w:r>
          </w:p>
        </w:tc>
        <w:tc>
          <w:tcPr>
            <w:tcW w:w="1013" w:type="dxa"/>
            <w:tcBorders>
              <w:tl2br w:val="nil"/>
              <w:tr2bl w:val="nil"/>
            </w:tcBorders>
            <w:vAlign w:val="center"/>
          </w:tcPr>
          <w:p w14:paraId="309EC2EB">
            <w:pPr>
              <w:pStyle w:val="14"/>
              <w:bidi w:val="0"/>
              <w:jc w:val="center"/>
              <w:rPr>
                <w:lang w:val="en-US" w:eastAsia="zh-CN"/>
              </w:rPr>
            </w:pPr>
            <w:r>
              <w:rPr>
                <w:lang w:val="en-US" w:eastAsia="zh-CN"/>
              </w:rPr>
              <w:t>1.185</w:t>
            </w:r>
          </w:p>
        </w:tc>
        <w:tc>
          <w:tcPr>
            <w:tcW w:w="829" w:type="dxa"/>
            <w:tcBorders>
              <w:tl2br w:val="nil"/>
              <w:tr2bl w:val="nil"/>
            </w:tcBorders>
            <w:vAlign w:val="center"/>
          </w:tcPr>
          <w:p w14:paraId="35CAE280">
            <w:pPr>
              <w:pStyle w:val="14"/>
              <w:bidi w:val="0"/>
              <w:jc w:val="center"/>
              <w:rPr>
                <w:lang w:val="en-US" w:eastAsia="zh-CN"/>
              </w:rPr>
            </w:pPr>
            <w:r>
              <w:rPr>
                <w:lang w:val="en-US" w:eastAsia="zh-CN"/>
              </w:rPr>
              <w:t>1.5</w:t>
            </w:r>
          </w:p>
        </w:tc>
        <w:tc>
          <w:tcPr>
            <w:tcW w:w="658" w:type="dxa"/>
            <w:tcBorders>
              <w:tl2br w:val="nil"/>
              <w:tr2bl w:val="nil"/>
            </w:tcBorders>
            <w:vAlign w:val="center"/>
          </w:tcPr>
          <w:p w14:paraId="12EBE889">
            <w:pPr>
              <w:pStyle w:val="14"/>
              <w:bidi w:val="0"/>
              <w:jc w:val="center"/>
              <w:rPr>
                <w:lang w:val="en-US" w:eastAsia="zh-CN"/>
              </w:rPr>
            </w:pPr>
            <w:r>
              <w:rPr>
                <w:lang w:val="en-US" w:eastAsia="zh-CN"/>
              </w:rPr>
              <w:t>-5.86</w:t>
            </w:r>
          </w:p>
        </w:tc>
        <w:tc>
          <w:tcPr>
            <w:tcW w:w="995" w:type="dxa"/>
            <w:tcBorders>
              <w:tl2br w:val="nil"/>
              <w:tr2bl w:val="nil"/>
            </w:tcBorders>
            <w:vAlign w:val="center"/>
          </w:tcPr>
          <w:p w14:paraId="2B3DC6A8">
            <w:pPr>
              <w:pStyle w:val="14"/>
              <w:bidi w:val="0"/>
              <w:jc w:val="center"/>
              <w:rPr>
                <w:lang w:val="en-US" w:eastAsia="zh-CN"/>
              </w:rPr>
            </w:pPr>
            <w:r>
              <w:rPr>
                <w:lang w:val="en-US" w:eastAsia="zh-CN"/>
              </w:rPr>
              <w:t>AFTOX</w:t>
            </w:r>
          </w:p>
        </w:tc>
      </w:tr>
    </w:tbl>
    <w:p w14:paraId="1E7ED3FD">
      <w:pPr>
        <w:pStyle w:val="14"/>
        <w:bidi w:val="0"/>
        <w:jc w:val="left"/>
        <w:rPr>
          <w:lang w:val="en-US" w:eastAsia="zh-CN"/>
        </w:rPr>
      </w:pPr>
      <w:r>
        <w:rPr>
          <w:lang w:val="en-US" w:eastAsia="zh-CN"/>
        </w:rPr>
        <w:t>注：根据《化学化工物性数据手册 无机卷 增订版）》，液氨在298.15K下1.2MPa</w:t>
      </w:r>
      <w:r>
        <w:rPr>
          <w:rFonts w:hint="eastAsia"/>
          <w:lang w:val="en-US" w:eastAsia="zh-CN"/>
        </w:rPr>
        <w:t>，</w:t>
      </w:r>
      <w:r>
        <w:rPr>
          <w:lang w:val="en-US" w:eastAsia="zh-CN"/>
        </w:rPr>
        <w:t>氨气的密度为10.96kg/m</w:t>
      </w:r>
      <w:r>
        <w:rPr>
          <w:rFonts w:hint="eastAsia"/>
          <w:vertAlign w:val="superscript"/>
          <w:lang w:val="en-US" w:eastAsia="zh-CN"/>
        </w:rPr>
        <w:t>3</w:t>
      </w:r>
      <w:r>
        <w:rPr>
          <w:lang w:val="en-US" w:eastAsia="zh-CN"/>
        </w:rPr>
        <w:t>（取300K，1MPa的氨气密度7.70761kg/m</w:t>
      </w:r>
      <w:r>
        <w:rPr>
          <w:vertAlign w:val="superscript"/>
          <w:lang w:val="en-US" w:eastAsia="zh-CN"/>
        </w:rPr>
        <w:t>3</w:t>
      </w:r>
      <w:r>
        <w:rPr>
          <w:lang w:val="en-US" w:eastAsia="zh-CN"/>
        </w:rPr>
        <w:t>的外推值11.099kg/m</w:t>
      </w:r>
      <w:r>
        <w:rPr>
          <w:vertAlign w:val="superscript"/>
          <w:lang w:val="en-US" w:eastAsia="zh-CN"/>
        </w:rPr>
        <w:t>3</w:t>
      </w:r>
      <w:r>
        <w:rPr>
          <w:lang w:val="en-US" w:eastAsia="zh-CN"/>
        </w:rPr>
        <w:t>，再取300K下1.2MPa氨气密度为11.099kg/m</w:t>
      </w:r>
      <w:r>
        <w:rPr>
          <w:vertAlign w:val="superscript"/>
          <w:lang w:val="en-US" w:eastAsia="zh-CN"/>
        </w:rPr>
        <w:t>3</w:t>
      </w:r>
      <w:r>
        <w:rPr>
          <w:lang w:val="en-US" w:eastAsia="zh-CN"/>
        </w:rPr>
        <w:t>得外推值）；氨水在25℃下氨气蒸汽密度为0.711kg/m</w:t>
      </w:r>
      <w:r>
        <w:rPr>
          <w:vertAlign w:val="superscript"/>
          <w:lang w:val="en-US" w:eastAsia="zh-CN"/>
        </w:rPr>
        <w:t>3</w:t>
      </w:r>
      <w:r>
        <w:rPr>
          <w:lang w:val="en-US" w:eastAsia="zh-CN"/>
        </w:rPr>
        <w:t>（取0℃氨气密度0.771kg/m</w:t>
      </w:r>
      <w:r>
        <w:rPr>
          <w:vertAlign w:val="superscript"/>
          <w:lang w:val="en-US" w:eastAsia="zh-CN"/>
        </w:rPr>
        <w:t>3</w:t>
      </w:r>
      <w:r>
        <w:rPr>
          <w:lang w:val="en-US" w:eastAsia="zh-CN"/>
        </w:rPr>
        <w:t>和30℃氨气密度0.700kg/m</w:t>
      </w:r>
      <w:r>
        <w:rPr>
          <w:vertAlign w:val="superscript"/>
          <w:lang w:val="en-US" w:eastAsia="zh-CN"/>
        </w:rPr>
        <w:t>3</w:t>
      </w:r>
      <w:r>
        <w:rPr>
          <w:lang w:val="en-US" w:eastAsia="zh-CN"/>
        </w:rPr>
        <w:t>的内插值）。</w:t>
      </w:r>
    </w:p>
    <w:p w14:paraId="19BFDF5E">
      <w:pPr>
        <w:bidi w:val="0"/>
        <w:ind w:firstLine="480" w:firstLineChars="200"/>
      </w:pPr>
      <w:r>
        <w:rPr>
          <w:lang w:val="en-US" w:eastAsia="zh-CN"/>
        </w:rPr>
        <w:t>由计算可知，液氨泄漏中氨气的理查德森数Ri大于0.04，因此为重质气体，采用SLAB模型进行预测；氨水泄漏中氨气的理查德森数Ri小于0.04，因此为轻质气体，采用AFTOX模型进行预测。上述结果与软件中风险源强估算推荐的预测模型一致。</w:t>
      </w:r>
    </w:p>
    <w:p w14:paraId="11678AE9">
      <w:pPr>
        <w:adjustRightInd w:val="0"/>
        <w:snapToGrid w:val="0"/>
        <w:ind w:firstLine="482" w:firstLineChars="200"/>
        <w:rPr>
          <w:b/>
          <w:bCs/>
          <w:color w:val="000000"/>
        </w:rPr>
      </w:pPr>
      <w:r>
        <w:rPr>
          <w:rFonts w:hint="eastAsia"/>
          <w:b/>
          <w:bCs/>
          <w:color w:val="000000"/>
        </w:rPr>
        <w:t>3、推荐模式选择</w:t>
      </w:r>
    </w:p>
    <w:p w14:paraId="3A8E228C">
      <w:pPr>
        <w:adjustRightInd w:val="0"/>
        <w:snapToGrid w:val="0"/>
        <w:ind w:firstLine="480" w:firstLineChars="200"/>
        <w:rPr>
          <w:rFonts w:hint="eastAsia"/>
          <w:color w:val="000000"/>
        </w:rPr>
      </w:pPr>
      <w:r>
        <w:rPr>
          <w:rFonts w:hint="eastAsia"/>
          <w:color w:val="000000"/>
        </w:rPr>
        <w:t>根据《建设项目环境风险评价技术导则》（HJ169-2018），AFTOX模型适用于平坦地形下中性气体和轻质气体排放以及液池蒸发气体的扩散模，因此本次评价氨水泄漏中氨气选择AFTOX模型作为本次环境风险预测模型。SLAB模型适用于平坦地形下重质气体排放的扩散模，因此本次评价液氨泄漏中氨气选择SLAB模型作为本次环境风险预测模型。</w:t>
      </w:r>
    </w:p>
    <w:p w14:paraId="0D2018B5">
      <w:pPr>
        <w:bidi w:val="0"/>
        <w:ind w:firstLine="480" w:firstLineChars="200"/>
        <w:rPr>
          <w:lang w:val="en-US" w:eastAsia="zh-CN"/>
        </w:rPr>
      </w:pPr>
      <w:r>
        <w:rPr>
          <w:lang w:val="en-US" w:eastAsia="zh-CN"/>
        </w:rPr>
        <w:t>大气毒性终点浓度值分为1、2级。其中1级为当大气中的危险物质浓度低于该限值时，绝大多数人员暴露1h不会对生命造成威胁，当超过该限值时，有可能对人群造成生命威胁；2级为当大气中危险物质浓度低于该限值时，暴露1h一般不会对人体造成不可逆的伤害，或出现的症状一般不会损伤该个体采取有效防护措施的能力。大气毒性重点浓度值采用HJ169-2018附录H的标准，具体如下表。</w:t>
      </w:r>
    </w:p>
    <w:p w14:paraId="268006F8">
      <w:pPr>
        <w:pStyle w:val="15"/>
        <w:bidi w:val="0"/>
        <w:rPr>
          <w:lang w:val="en-US" w:eastAsia="zh-CN"/>
        </w:rPr>
      </w:pPr>
      <w:r>
        <w:rPr>
          <w:lang w:val="en-US" w:eastAsia="zh-CN"/>
        </w:rPr>
        <w:t>表6-3 危险物质大气毒性终点浓度值选取一览表</w:t>
      </w:r>
    </w:p>
    <w:tbl>
      <w:tblPr>
        <w:tblStyle w:val="11"/>
        <w:tblW w:w="852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1198"/>
        <w:gridCol w:w="2737"/>
        <w:gridCol w:w="2498"/>
      </w:tblGrid>
      <w:tr w14:paraId="5E0C6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16" w:type="dxa"/>
            <w:tcBorders>
              <w:tl2br w:val="nil"/>
              <w:tr2bl w:val="nil"/>
            </w:tcBorders>
            <w:vAlign w:val="center"/>
          </w:tcPr>
          <w:p w14:paraId="4867EB00">
            <w:pPr>
              <w:pStyle w:val="14"/>
              <w:bidi w:val="0"/>
              <w:rPr>
                <w:rFonts w:hint="eastAsia"/>
                <w:b/>
                <w:bCs/>
                <w:lang w:val="en-US" w:eastAsia="zh-CN"/>
              </w:rPr>
            </w:pPr>
            <w:r>
              <w:rPr>
                <w:rFonts w:hint="eastAsia"/>
                <w:b/>
                <w:bCs/>
                <w:lang w:val="en-US" w:eastAsia="zh-CN"/>
              </w:rPr>
              <w:t>序号</w:t>
            </w:r>
          </w:p>
        </w:tc>
        <w:tc>
          <w:tcPr>
            <w:tcW w:w="1277" w:type="dxa"/>
            <w:tcBorders>
              <w:tl2br w:val="nil"/>
              <w:tr2bl w:val="nil"/>
            </w:tcBorders>
            <w:vAlign w:val="center"/>
          </w:tcPr>
          <w:p w14:paraId="2DBDE5BB">
            <w:pPr>
              <w:pStyle w:val="14"/>
              <w:bidi w:val="0"/>
              <w:rPr>
                <w:rFonts w:hint="eastAsia"/>
                <w:b/>
                <w:bCs/>
                <w:lang w:val="en-US" w:eastAsia="zh-CN"/>
              </w:rPr>
            </w:pPr>
            <w:r>
              <w:rPr>
                <w:rFonts w:hint="eastAsia"/>
                <w:b/>
                <w:bCs/>
                <w:lang w:val="en-US" w:eastAsia="zh-CN"/>
              </w:rPr>
              <w:t>物质名称</w:t>
            </w:r>
          </w:p>
        </w:tc>
        <w:tc>
          <w:tcPr>
            <w:tcW w:w="1198" w:type="dxa"/>
            <w:tcBorders>
              <w:tl2br w:val="nil"/>
              <w:tr2bl w:val="nil"/>
            </w:tcBorders>
            <w:vAlign w:val="center"/>
          </w:tcPr>
          <w:p w14:paraId="0E20101F">
            <w:pPr>
              <w:pStyle w:val="14"/>
              <w:bidi w:val="0"/>
              <w:rPr>
                <w:b/>
                <w:bCs/>
                <w:lang w:val="en-US" w:eastAsia="zh-CN"/>
              </w:rPr>
            </w:pPr>
            <w:r>
              <w:rPr>
                <w:b/>
                <w:bCs/>
                <w:lang w:val="en-US" w:eastAsia="zh-CN"/>
              </w:rPr>
              <w:t>CAS</w:t>
            </w:r>
          </w:p>
        </w:tc>
        <w:tc>
          <w:tcPr>
            <w:tcW w:w="2737" w:type="dxa"/>
            <w:tcBorders>
              <w:tl2br w:val="nil"/>
              <w:tr2bl w:val="nil"/>
            </w:tcBorders>
            <w:vAlign w:val="center"/>
          </w:tcPr>
          <w:p w14:paraId="680C8729">
            <w:pPr>
              <w:pStyle w:val="14"/>
              <w:bidi w:val="0"/>
              <w:rPr>
                <w:rFonts w:hint="eastAsia"/>
                <w:b/>
                <w:bCs/>
                <w:lang w:val="en-US" w:eastAsia="zh-CN"/>
              </w:rPr>
            </w:pPr>
            <w:r>
              <w:rPr>
                <w:rFonts w:hint="eastAsia"/>
                <w:b/>
                <w:bCs/>
                <w:lang w:val="en-US" w:eastAsia="zh-CN"/>
              </w:rPr>
              <w:t>毒性终点浓度</w:t>
            </w:r>
            <w:r>
              <w:rPr>
                <w:b/>
                <w:bCs/>
                <w:lang w:val="en-US" w:eastAsia="zh-CN"/>
              </w:rPr>
              <w:t>-1/</w:t>
            </w:r>
            <w:r>
              <w:rPr>
                <w:rFonts w:hint="eastAsia"/>
                <w:b/>
                <w:bCs/>
                <w:lang w:val="en-US" w:eastAsia="zh-CN"/>
              </w:rPr>
              <w:t>（</w:t>
            </w:r>
            <w:r>
              <w:rPr>
                <w:b/>
                <w:bCs/>
                <w:lang w:val="en-US" w:eastAsia="zh-CN"/>
              </w:rPr>
              <w:t>mg/m</w:t>
            </w:r>
            <w:r>
              <w:rPr>
                <w:b/>
                <w:bCs/>
                <w:vertAlign w:val="superscript"/>
                <w:lang w:val="en-US" w:eastAsia="zh-CN"/>
              </w:rPr>
              <w:t>3</w:t>
            </w:r>
            <w:r>
              <w:rPr>
                <w:rFonts w:hint="eastAsia"/>
                <w:b/>
                <w:bCs/>
                <w:lang w:val="en-US" w:eastAsia="zh-CN"/>
              </w:rPr>
              <w:t>）</w:t>
            </w:r>
          </w:p>
        </w:tc>
        <w:tc>
          <w:tcPr>
            <w:tcW w:w="2498" w:type="dxa"/>
            <w:tcBorders>
              <w:tl2br w:val="nil"/>
              <w:tr2bl w:val="nil"/>
            </w:tcBorders>
            <w:vAlign w:val="center"/>
          </w:tcPr>
          <w:p w14:paraId="6072CB26">
            <w:pPr>
              <w:pStyle w:val="14"/>
              <w:bidi w:val="0"/>
              <w:rPr>
                <w:rFonts w:hint="eastAsia"/>
                <w:b/>
                <w:bCs/>
                <w:lang w:val="en-US" w:eastAsia="zh-CN"/>
              </w:rPr>
            </w:pPr>
            <w:r>
              <w:rPr>
                <w:rFonts w:hint="eastAsia"/>
                <w:b/>
                <w:bCs/>
                <w:lang w:val="en-US" w:eastAsia="zh-CN"/>
              </w:rPr>
              <w:t>毒性终点浓度</w:t>
            </w:r>
            <w:r>
              <w:rPr>
                <w:b/>
                <w:bCs/>
                <w:lang w:val="en-US" w:eastAsia="zh-CN"/>
              </w:rPr>
              <w:t>-2/</w:t>
            </w:r>
            <w:r>
              <w:rPr>
                <w:rFonts w:hint="eastAsia"/>
                <w:b/>
                <w:bCs/>
                <w:lang w:val="en-US" w:eastAsia="zh-CN"/>
              </w:rPr>
              <w:t>（</w:t>
            </w:r>
            <w:r>
              <w:rPr>
                <w:b/>
                <w:bCs/>
                <w:lang w:val="en-US" w:eastAsia="zh-CN"/>
              </w:rPr>
              <w:t>mg/m</w:t>
            </w:r>
            <w:r>
              <w:rPr>
                <w:b/>
                <w:bCs/>
                <w:vertAlign w:val="superscript"/>
                <w:lang w:val="en-US" w:eastAsia="zh-CN"/>
              </w:rPr>
              <w:t>3</w:t>
            </w:r>
            <w:r>
              <w:rPr>
                <w:rFonts w:hint="eastAsia"/>
                <w:b/>
                <w:bCs/>
                <w:lang w:val="en-US" w:eastAsia="zh-CN"/>
              </w:rPr>
              <w:t>）</w:t>
            </w:r>
          </w:p>
        </w:tc>
      </w:tr>
      <w:tr w14:paraId="74F84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16" w:type="dxa"/>
            <w:tcBorders>
              <w:tl2br w:val="nil"/>
              <w:tr2bl w:val="nil"/>
            </w:tcBorders>
            <w:vAlign w:val="center"/>
          </w:tcPr>
          <w:p w14:paraId="2567BEA6">
            <w:pPr>
              <w:pStyle w:val="14"/>
              <w:bidi w:val="0"/>
              <w:rPr>
                <w:lang w:val="en-US" w:eastAsia="zh-CN"/>
              </w:rPr>
            </w:pPr>
            <w:r>
              <w:rPr>
                <w:lang w:val="en-US" w:eastAsia="zh-CN"/>
              </w:rPr>
              <w:t>1</w:t>
            </w:r>
          </w:p>
        </w:tc>
        <w:tc>
          <w:tcPr>
            <w:tcW w:w="1277" w:type="dxa"/>
            <w:tcBorders>
              <w:tl2br w:val="nil"/>
              <w:tr2bl w:val="nil"/>
            </w:tcBorders>
            <w:vAlign w:val="center"/>
          </w:tcPr>
          <w:p w14:paraId="6C2836E3">
            <w:pPr>
              <w:pStyle w:val="14"/>
              <w:bidi w:val="0"/>
              <w:rPr>
                <w:rFonts w:hint="eastAsia"/>
                <w:lang w:val="en-US" w:eastAsia="zh-CN"/>
              </w:rPr>
            </w:pPr>
            <w:r>
              <w:rPr>
                <w:rFonts w:hint="eastAsia"/>
                <w:lang w:val="en-US" w:eastAsia="zh-CN"/>
              </w:rPr>
              <w:t>氨气</w:t>
            </w:r>
          </w:p>
        </w:tc>
        <w:tc>
          <w:tcPr>
            <w:tcW w:w="1198" w:type="dxa"/>
            <w:tcBorders>
              <w:tl2br w:val="nil"/>
              <w:tr2bl w:val="nil"/>
            </w:tcBorders>
            <w:vAlign w:val="center"/>
          </w:tcPr>
          <w:p w14:paraId="7355E693">
            <w:pPr>
              <w:pStyle w:val="14"/>
              <w:bidi w:val="0"/>
              <w:rPr>
                <w:lang w:val="en-US" w:eastAsia="zh-CN"/>
              </w:rPr>
            </w:pPr>
            <w:r>
              <w:rPr>
                <w:lang w:val="en-US" w:eastAsia="zh-CN"/>
              </w:rPr>
              <w:t>7664-41-7</w:t>
            </w:r>
          </w:p>
        </w:tc>
        <w:tc>
          <w:tcPr>
            <w:tcW w:w="2737" w:type="dxa"/>
            <w:tcBorders>
              <w:tl2br w:val="nil"/>
              <w:tr2bl w:val="nil"/>
            </w:tcBorders>
            <w:vAlign w:val="center"/>
          </w:tcPr>
          <w:p w14:paraId="08E69EF5">
            <w:pPr>
              <w:pStyle w:val="14"/>
              <w:bidi w:val="0"/>
              <w:rPr>
                <w:lang w:val="en-US" w:eastAsia="zh-CN"/>
              </w:rPr>
            </w:pPr>
            <w:r>
              <w:rPr>
                <w:lang w:val="en-US" w:eastAsia="zh-CN"/>
              </w:rPr>
              <w:t>770</w:t>
            </w:r>
          </w:p>
        </w:tc>
        <w:tc>
          <w:tcPr>
            <w:tcW w:w="2498" w:type="dxa"/>
            <w:tcBorders>
              <w:tl2br w:val="nil"/>
              <w:tr2bl w:val="nil"/>
            </w:tcBorders>
            <w:vAlign w:val="center"/>
          </w:tcPr>
          <w:p w14:paraId="6413027C">
            <w:pPr>
              <w:pStyle w:val="14"/>
              <w:bidi w:val="0"/>
              <w:rPr>
                <w:lang w:val="en-US" w:eastAsia="zh-CN"/>
              </w:rPr>
            </w:pPr>
            <w:r>
              <w:rPr>
                <w:lang w:val="en-US" w:eastAsia="zh-CN"/>
              </w:rPr>
              <w:t>110</w:t>
            </w:r>
          </w:p>
        </w:tc>
      </w:tr>
    </w:tbl>
    <w:p w14:paraId="01081E28">
      <w:pPr>
        <w:pStyle w:val="14"/>
        <w:bidi w:val="0"/>
        <w:rPr>
          <w:rFonts w:hint="eastAsia"/>
        </w:rPr>
      </w:pPr>
    </w:p>
    <w:p w14:paraId="4AC2B5BF">
      <w:pPr>
        <w:pStyle w:val="4"/>
        <w:bidi w:val="0"/>
        <w:rPr>
          <w:rFonts w:hint="eastAsia"/>
        </w:rPr>
      </w:pPr>
      <w:r>
        <w:rPr>
          <w:rFonts w:hint="eastAsia"/>
        </w:rPr>
        <w:t>6.1.2预测范围与计算点</w:t>
      </w:r>
    </w:p>
    <w:p w14:paraId="4A4E411C">
      <w:pPr>
        <w:bidi w:val="0"/>
        <w:ind w:firstLine="480" w:firstLineChars="200"/>
        <w:rPr>
          <w:rFonts w:hint="eastAsia"/>
        </w:rPr>
      </w:pPr>
      <w:r>
        <w:rPr>
          <w:rFonts w:hint="eastAsia"/>
        </w:rPr>
        <w:t>本次大气环境风险计算点包括：特殊计算点（项目5km范围内环境空气保护目标）和一般计算点（评价范围内的网格点）。</w:t>
      </w:r>
    </w:p>
    <w:p w14:paraId="0039B4DB">
      <w:pPr>
        <w:bidi w:val="0"/>
        <w:ind w:firstLine="480" w:firstLineChars="200"/>
        <w:rPr>
          <w:rFonts w:hint="eastAsia"/>
        </w:rPr>
      </w:pPr>
      <w:r>
        <w:rPr>
          <w:rFonts w:hint="eastAsia"/>
        </w:rPr>
        <w:t>项目预测范围取5km。根据评价范围内的网格点和环境空气保护目标，距离风险源500m范围内的网格点设50m间距，500m到5000m范围设100m的间距。</w:t>
      </w:r>
    </w:p>
    <w:p w14:paraId="46C2FE82">
      <w:pPr>
        <w:pStyle w:val="4"/>
        <w:bidi w:val="0"/>
        <w:rPr>
          <w:rFonts w:hint="eastAsia"/>
        </w:rPr>
      </w:pPr>
      <w:r>
        <w:rPr>
          <w:rFonts w:hint="eastAsia"/>
        </w:rPr>
        <w:t>6.1</w:t>
      </w:r>
      <w:r>
        <w:rPr>
          <w:rFonts w:hint="eastAsia"/>
          <w:lang w:val="en-US" w:eastAsia="zh-CN"/>
        </w:rPr>
        <w:t>.</w:t>
      </w:r>
      <w:r>
        <w:rPr>
          <w:rFonts w:hint="eastAsia"/>
        </w:rPr>
        <w:t>3预测参数</w:t>
      </w:r>
    </w:p>
    <w:p w14:paraId="3A04C734">
      <w:pPr>
        <w:bidi w:val="0"/>
        <w:ind w:firstLine="480" w:firstLineChars="200"/>
        <w:rPr>
          <w:rFonts w:hint="eastAsia"/>
        </w:rPr>
      </w:pPr>
      <w:r>
        <w:rPr>
          <w:rFonts w:hint="eastAsia"/>
        </w:rPr>
        <w:t>本次大气环境风险评价等级为二级，按照《建设项目环境风险评价技术导则》</w:t>
      </w:r>
    </w:p>
    <w:p w14:paraId="1AFB1A84">
      <w:pPr>
        <w:bidi w:val="0"/>
        <w:rPr>
          <w:rFonts w:hint="eastAsia"/>
        </w:rPr>
      </w:pPr>
      <w:r>
        <w:rPr>
          <w:rFonts w:hint="eastAsia"/>
        </w:rPr>
        <w:t>（HJ169-2018），只需选取最不利气象条件进行后果预测，预测模式中有关参数的选取情况见下表。</w:t>
      </w:r>
    </w:p>
    <w:p w14:paraId="286CDF13">
      <w:pPr>
        <w:pStyle w:val="15"/>
        <w:bidi w:val="0"/>
        <w:rPr>
          <w:rFonts w:hint="eastAsia"/>
        </w:rPr>
      </w:pPr>
      <w:r>
        <w:rPr>
          <w:rFonts w:hint="eastAsia"/>
        </w:rPr>
        <w:t>表6-4 大气风险预测模型主要参数表</w:t>
      </w:r>
    </w:p>
    <w:tbl>
      <w:tblPr>
        <w:tblStyle w:val="11"/>
        <w:tblW w:w="84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6"/>
        <w:gridCol w:w="1776"/>
        <w:gridCol w:w="2780"/>
        <w:gridCol w:w="2826"/>
      </w:tblGrid>
      <w:tr w14:paraId="322F63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tcBorders>
              <w:tl2br w:val="nil"/>
              <w:tr2bl w:val="nil"/>
            </w:tcBorders>
            <w:vAlign w:val="center"/>
          </w:tcPr>
          <w:p w14:paraId="73128363">
            <w:pPr>
              <w:pStyle w:val="14"/>
              <w:bidi w:val="0"/>
              <w:jc w:val="center"/>
              <w:rPr>
                <w:rFonts w:hint="eastAsia"/>
                <w:b/>
                <w:bCs/>
                <w:lang w:val="en-US" w:eastAsia="zh-CN"/>
              </w:rPr>
            </w:pPr>
            <w:r>
              <w:rPr>
                <w:rFonts w:hint="eastAsia"/>
                <w:b/>
                <w:bCs/>
                <w:lang w:val="en-US" w:eastAsia="zh-CN"/>
              </w:rPr>
              <w:t>参数类型</w:t>
            </w:r>
          </w:p>
        </w:tc>
        <w:tc>
          <w:tcPr>
            <w:tcW w:w="1776" w:type="dxa"/>
            <w:tcBorders>
              <w:tl2br w:val="nil"/>
              <w:tr2bl w:val="nil"/>
            </w:tcBorders>
            <w:vAlign w:val="center"/>
          </w:tcPr>
          <w:p w14:paraId="49658B03">
            <w:pPr>
              <w:pStyle w:val="14"/>
              <w:bidi w:val="0"/>
              <w:jc w:val="center"/>
              <w:rPr>
                <w:rFonts w:hint="eastAsia"/>
                <w:b/>
                <w:bCs/>
                <w:lang w:val="en-US" w:eastAsia="zh-CN"/>
              </w:rPr>
            </w:pPr>
            <w:r>
              <w:rPr>
                <w:rFonts w:hint="eastAsia"/>
                <w:b/>
                <w:bCs/>
                <w:lang w:val="en-US" w:eastAsia="zh-CN"/>
              </w:rPr>
              <w:t>选项</w:t>
            </w:r>
          </w:p>
        </w:tc>
        <w:tc>
          <w:tcPr>
            <w:tcW w:w="2780" w:type="dxa"/>
            <w:tcBorders>
              <w:tl2br w:val="nil"/>
              <w:tr2bl w:val="nil"/>
            </w:tcBorders>
            <w:vAlign w:val="center"/>
          </w:tcPr>
          <w:p w14:paraId="4F244267">
            <w:pPr>
              <w:pStyle w:val="14"/>
              <w:bidi w:val="0"/>
              <w:jc w:val="center"/>
              <w:rPr>
                <w:rFonts w:hint="eastAsia"/>
                <w:lang w:val="en-US" w:eastAsia="zh-CN"/>
              </w:rPr>
            </w:pPr>
            <w:r>
              <w:rPr>
                <w:rFonts w:hint="eastAsia"/>
                <w:lang w:val="en-US" w:eastAsia="zh-CN"/>
              </w:rPr>
              <w:t>液氨</w:t>
            </w:r>
          </w:p>
        </w:tc>
        <w:tc>
          <w:tcPr>
            <w:tcW w:w="2826" w:type="dxa"/>
            <w:tcBorders>
              <w:tl2br w:val="nil"/>
              <w:tr2bl w:val="nil"/>
            </w:tcBorders>
            <w:vAlign w:val="center"/>
          </w:tcPr>
          <w:p w14:paraId="03AA06A4">
            <w:pPr>
              <w:pStyle w:val="14"/>
              <w:bidi w:val="0"/>
              <w:jc w:val="center"/>
              <w:rPr>
                <w:rFonts w:hint="eastAsia"/>
                <w:lang w:val="en-US" w:eastAsia="zh-CN"/>
              </w:rPr>
            </w:pPr>
            <w:r>
              <w:rPr>
                <w:rFonts w:hint="eastAsia"/>
                <w:lang w:val="en-US" w:eastAsia="zh-CN"/>
              </w:rPr>
              <w:t>氨水</w:t>
            </w:r>
          </w:p>
        </w:tc>
      </w:tr>
      <w:tr w14:paraId="17E11B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restart"/>
            <w:tcBorders>
              <w:tl2br w:val="nil"/>
              <w:tr2bl w:val="nil"/>
            </w:tcBorders>
            <w:vAlign w:val="center"/>
          </w:tcPr>
          <w:p w14:paraId="0984A734">
            <w:pPr>
              <w:pStyle w:val="14"/>
              <w:bidi w:val="0"/>
              <w:jc w:val="center"/>
              <w:rPr>
                <w:rFonts w:hint="eastAsia"/>
                <w:b/>
                <w:bCs/>
                <w:lang w:val="en-US" w:eastAsia="zh-CN"/>
              </w:rPr>
            </w:pPr>
            <w:r>
              <w:rPr>
                <w:rFonts w:hint="eastAsia"/>
                <w:b/>
                <w:bCs/>
                <w:lang w:val="en-US" w:eastAsia="zh-CN"/>
              </w:rPr>
              <w:t>基本情况</w:t>
            </w:r>
          </w:p>
        </w:tc>
        <w:tc>
          <w:tcPr>
            <w:tcW w:w="1776" w:type="dxa"/>
            <w:tcBorders>
              <w:tl2br w:val="nil"/>
              <w:tr2bl w:val="nil"/>
            </w:tcBorders>
            <w:vAlign w:val="center"/>
          </w:tcPr>
          <w:p w14:paraId="70F8C668">
            <w:pPr>
              <w:pStyle w:val="14"/>
              <w:bidi w:val="0"/>
              <w:jc w:val="center"/>
              <w:rPr>
                <w:rFonts w:hint="eastAsia"/>
                <w:b/>
                <w:bCs/>
                <w:lang w:val="en-US" w:eastAsia="zh-CN"/>
              </w:rPr>
            </w:pPr>
            <w:r>
              <w:rPr>
                <w:rFonts w:hint="eastAsia"/>
                <w:b/>
                <w:bCs/>
                <w:lang w:val="en-US" w:eastAsia="zh-CN"/>
              </w:rPr>
              <w:t>事故源经度</w:t>
            </w:r>
            <w:r>
              <w:rPr>
                <w:b/>
                <w:bCs/>
                <w:lang w:val="en-US" w:eastAsia="zh-CN"/>
              </w:rPr>
              <w:t>/</w:t>
            </w:r>
            <w:r>
              <w:rPr>
                <w:rFonts w:hint="eastAsia"/>
                <w:b/>
                <w:bCs/>
                <w:lang w:val="en-US" w:eastAsia="zh-CN"/>
              </w:rPr>
              <w:t>（</w:t>
            </w:r>
            <w:r>
              <w:rPr>
                <w:b/>
                <w:bCs/>
                <w:lang w:val="en-US" w:eastAsia="zh-CN"/>
              </w:rPr>
              <w:t>˚</w:t>
            </w:r>
            <w:r>
              <w:rPr>
                <w:rFonts w:hint="eastAsia"/>
                <w:b/>
                <w:bCs/>
                <w:lang w:val="en-US" w:eastAsia="zh-CN"/>
              </w:rPr>
              <w:t>）</w:t>
            </w:r>
          </w:p>
        </w:tc>
        <w:tc>
          <w:tcPr>
            <w:tcW w:w="2780" w:type="dxa"/>
            <w:tcBorders>
              <w:tl2br w:val="nil"/>
              <w:tr2bl w:val="nil"/>
            </w:tcBorders>
            <w:vAlign w:val="center"/>
          </w:tcPr>
          <w:p w14:paraId="3BF6774A">
            <w:pPr>
              <w:pStyle w:val="14"/>
              <w:bidi w:val="0"/>
              <w:jc w:val="center"/>
              <w:rPr>
                <w:lang w:val="en-US" w:eastAsia="zh-CN"/>
              </w:rPr>
            </w:pPr>
            <w:r>
              <w:rPr>
                <w:rFonts w:hint="eastAsia"/>
                <w:lang w:val="en-US" w:eastAsia="zh-CN"/>
              </w:rPr>
              <w:t>112.019105741</w:t>
            </w:r>
          </w:p>
        </w:tc>
        <w:tc>
          <w:tcPr>
            <w:tcW w:w="2826" w:type="dxa"/>
            <w:tcBorders>
              <w:tl2br w:val="nil"/>
              <w:tr2bl w:val="nil"/>
            </w:tcBorders>
            <w:vAlign w:val="center"/>
          </w:tcPr>
          <w:p w14:paraId="2B484633">
            <w:pPr>
              <w:pStyle w:val="14"/>
              <w:bidi w:val="0"/>
              <w:jc w:val="center"/>
              <w:rPr>
                <w:lang w:val="en-US" w:eastAsia="zh-CN"/>
              </w:rPr>
            </w:pPr>
            <w:r>
              <w:rPr>
                <w:rFonts w:hint="eastAsia"/>
                <w:lang w:val="en-US" w:eastAsia="zh-CN"/>
              </w:rPr>
              <w:t>112.019108423</w:t>
            </w:r>
          </w:p>
        </w:tc>
      </w:tr>
      <w:tr w14:paraId="69F753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4EF87BD8">
            <w:pPr>
              <w:pStyle w:val="14"/>
              <w:bidi w:val="0"/>
              <w:jc w:val="center"/>
              <w:rPr>
                <w:b/>
                <w:bCs/>
              </w:rPr>
            </w:pPr>
          </w:p>
        </w:tc>
        <w:tc>
          <w:tcPr>
            <w:tcW w:w="1776" w:type="dxa"/>
            <w:tcBorders>
              <w:tl2br w:val="nil"/>
              <w:tr2bl w:val="nil"/>
            </w:tcBorders>
            <w:vAlign w:val="center"/>
          </w:tcPr>
          <w:p w14:paraId="1FDAC22D">
            <w:pPr>
              <w:pStyle w:val="14"/>
              <w:bidi w:val="0"/>
              <w:jc w:val="center"/>
              <w:rPr>
                <w:rFonts w:hint="eastAsia"/>
                <w:b/>
                <w:bCs/>
                <w:lang w:val="en-US" w:eastAsia="zh-CN"/>
              </w:rPr>
            </w:pPr>
            <w:r>
              <w:rPr>
                <w:rFonts w:hint="eastAsia"/>
                <w:b/>
                <w:bCs/>
                <w:lang w:val="en-US" w:eastAsia="zh-CN"/>
              </w:rPr>
              <w:t>事故源纬度</w:t>
            </w:r>
            <w:r>
              <w:rPr>
                <w:b/>
                <w:bCs/>
                <w:lang w:val="en-US" w:eastAsia="zh-CN"/>
              </w:rPr>
              <w:t>/</w:t>
            </w:r>
            <w:r>
              <w:rPr>
                <w:rFonts w:hint="eastAsia"/>
                <w:b/>
                <w:bCs/>
                <w:lang w:val="en-US" w:eastAsia="zh-CN"/>
              </w:rPr>
              <w:t>（</w:t>
            </w:r>
            <w:r>
              <w:rPr>
                <w:b/>
                <w:bCs/>
                <w:lang w:val="en-US" w:eastAsia="zh-CN"/>
              </w:rPr>
              <w:t>˚</w:t>
            </w:r>
            <w:r>
              <w:rPr>
                <w:rFonts w:hint="eastAsia"/>
                <w:b/>
                <w:bCs/>
                <w:lang w:val="en-US" w:eastAsia="zh-CN"/>
              </w:rPr>
              <w:t>）</w:t>
            </w:r>
          </w:p>
        </w:tc>
        <w:tc>
          <w:tcPr>
            <w:tcW w:w="2780" w:type="dxa"/>
            <w:tcBorders>
              <w:tl2br w:val="nil"/>
              <w:tr2bl w:val="nil"/>
            </w:tcBorders>
            <w:vAlign w:val="center"/>
          </w:tcPr>
          <w:p w14:paraId="3DEAE8D0">
            <w:pPr>
              <w:pStyle w:val="14"/>
              <w:bidi w:val="0"/>
              <w:jc w:val="center"/>
              <w:rPr>
                <w:lang w:val="en-US" w:eastAsia="zh-CN"/>
              </w:rPr>
            </w:pPr>
            <w:r>
              <w:rPr>
                <w:rFonts w:hint="eastAsia"/>
                <w:lang w:val="en-US" w:eastAsia="zh-CN"/>
              </w:rPr>
              <w:t>23.025180150</w:t>
            </w:r>
          </w:p>
        </w:tc>
        <w:tc>
          <w:tcPr>
            <w:tcW w:w="2826" w:type="dxa"/>
            <w:tcBorders>
              <w:tl2br w:val="nil"/>
              <w:tr2bl w:val="nil"/>
            </w:tcBorders>
            <w:vAlign w:val="center"/>
          </w:tcPr>
          <w:p w14:paraId="15C9A4AE">
            <w:pPr>
              <w:pStyle w:val="14"/>
              <w:bidi w:val="0"/>
              <w:jc w:val="center"/>
              <w:rPr>
                <w:lang w:val="en-US" w:eastAsia="zh-CN"/>
              </w:rPr>
            </w:pPr>
            <w:r>
              <w:rPr>
                <w:rFonts w:hint="eastAsia"/>
                <w:lang w:val="en-US" w:eastAsia="zh-CN"/>
              </w:rPr>
              <w:t>23.024936069</w:t>
            </w:r>
          </w:p>
        </w:tc>
      </w:tr>
      <w:tr w14:paraId="1F3CF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6318EFAE">
            <w:pPr>
              <w:pStyle w:val="14"/>
              <w:bidi w:val="0"/>
              <w:jc w:val="center"/>
              <w:rPr>
                <w:b/>
                <w:bCs/>
              </w:rPr>
            </w:pPr>
          </w:p>
        </w:tc>
        <w:tc>
          <w:tcPr>
            <w:tcW w:w="1776" w:type="dxa"/>
            <w:tcBorders>
              <w:tl2br w:val="nil"/>
              <w:tr2bl w:val="nil"/>
            </w:tcBorders>
            <w:vAlign w:val="center"/>
          </w:tcPr>
          <w:p w14:paraId="6AEF5CC9">
            <w:pPr>
              <w:pStyle w:val="14"/>
              <w:bidi w:val="0"/>
              <w:jc w:val="center"/>
              <w:rPr>
                <w:rFonts w:hint="eastAsia"/>
                <w:b/>
                <w:bCs/>
                <w:lang w:val="en-US" w:eastAsia="zh-CN"/>
              </w:rPr>
            </w:pPr>
            <w:r>
              <w:rPr>
                <w:rFonts w:hint="eastAsia"/>
                <w:b/>
                <w:bCs/>
                <w:lang w:val="en-US" w:eastAsia="zh-CN"/>
              </w:rPr>
              <w:t>事故源类型</w:t>
            </w:r>
          </w:p>
        </w:tc>
        <w:tc>
          <w:tcPr>
            <w:tcW w:w="2780" w:type="dxa"/>
            <w:tcBorders>
              <w:tl2br w:val="nil"/>
              <w:tr2bl w:val="nil"/>
            </w:tcBorders>
            <w:vAlign w:val="center"/>
          </w:tcPr>
          <w:p w14:paraId="0083596C">
            <w:pPr>
              <w:pStyle w:val="14"/>
              <w:bidi w:val="0"/>
              <w:jc w:val="center"/>
              <w:rPr>
                <w:rFonts w:hint="eastAsia"/>
                <w:lang w:val="en-US" w:eastAsia="zh-CN"/>
              </w:rPr>
            </w:pPr>
            <w:r>
              <w:rPr>
                <w:rFonts w:hint="eastAsia"/>
                <w:lang w:val="en-US" w:eastAsia="zh-CN"/>
              </w:rPr>
              <w:t>液氨管线泄漏氨气事故排放</w:t>
            </w:r>
          </w:p>
        </w:tc>
        <w:tc>
          <w:tcPr>
            <w:tcW w:w="2826" w:type="dxa"/>
            <w:tcBorders>
              <w:tl2br w:val="nil"/>
              <w:tr2bl w:val="nil"/>
            </w:tcBorders>
            <w:vAlign w:val="center"/>
          </w:tcPr>
          <w:p w14:paraId="607CF9A6">
            <w:pPr>
              <w:pStyle w:val="14"/>
              <w:bidi w:val="0"/>
              <w:jc w:val="center"/>
              <w:rPr>
                <w:rFonts w:hint="eastAsia"/>
                <w:lang w:val="en-US" w:eastAsia="zh-CN"/>
              </w:rPr>
            </w:pPr>
            <w:r>
              <w:rPr>
                <w:rFonts w:hint="eastAsia"/>
                <w:lang w:val="en-US" w:eastAsia="zh-CN"/>
              </w:rPr>
              <w:t>氨水管线泄漏氨气事故排放</w:t>
            </w:r>
          </w:p>
        </w:tc>
      </w:tr>
      <w:tr w14:paraId="48725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restart"/>
            <w:tcBorders>
              <w:tl2br w:val="nil"/>
              <w:tr2bl w:val="nil"/>
            </w:tcBorders>
            <w:vAlign w:val="center"/>
          </w:tcPr>
          <w:p w14:paraId="46CADE79">
            <w:pPr>
              <w:pStyle w:val="14"/>
              <w:bidi w:val="0"/>
              <w:jc w:val="center"/>
              <w:rPr>
                <w:rFonts w:hint="eastAsia"/>
                <w:b/>
                <w:bCs/>
                <w:lang w:val="en-US" w:eastAsia="zh-CN"/>
              </w:rPr>
            </w:pPr>
            <w:r>
              <w:rPr>
                <w:rFonts w:hint="eastAsia"/>
                <w:b/>
                <w:bCs/>
                <w:lang w:val="en-US" w:eastAsia="zh-CN"/>
              </w:rPr>
              <w:t>气象参数</w:t>
            </w:r>
          </w:p>
        </w:tc>
        <w:tc>
          <w:tcPr>
            <w:tcW w:w="1776" w:type="dxa"/>
            <w:tcBorders>
              <w:tl2br w:val="nil"/>
              <w:tr2bl w:val="nil"/>
            </w:tcBorders>
            <w:vAlign w:val="center"/>
          </w:tcPr>
          <w:p w14:paraId="1F8305FB">
            <w:pPr>
              <w:pStyle w:val="14"/>
              <w:bidi w:val="0"/>
              <w:jc w:val="center"/>
              <w:rPr>
                <w:rFonts w:hint="eastAsia"/>
                <w:b/>
                <w:bCs/>
                <w:lang w:val="en-US" w:eastAsia="zh-CN"/>
              </w:rPr>
            </w:pPr>
            <w:r>
              <w:rPr>
                <w:rFonts w:hint="eastAsia"/>
                <w:b/>
                <w:bCs/>
                <w:lang w:val="en-US" w:eastAsia="zh-CN"/>
              </w:rPr>
              <w:t>气象条件类型</w:t>
            </w:r>
          </w:p>
        </w:tc>
        <w:tc>
          <w:tcPr>
            <w:tcW w:w="5606" w:type="dxa"/>
            <w:gridSpan w:val="2"/>
            <w:tcBorders>
              <w:tl2br w:val="nil"/>
              <w:tr2bl w:val="nil"/>
            </w:tcBorders>
            <w:vAlign w:val="center"/>
          </w:tcPr>
          <w:p w14:paraId="74BB8686">
            <w:pPr>
              <w:pStyle w:val="14"/>
              <w:bidi w:val="0"/>
              <w:jc w:val="center"/>
              <w:rPr>
                <w:rFonts w:hint="eastAsia"/>
                <w:lang w:val="en-US" w:eastAsia="zh-CN"/>
              </w:rPr>
            </w:pPr>
            <w:r>
              <w:rPr>
                <w:rFonts w:hint="eastAsia"/>
                <w:lang w:val="en-US" w:eastAsia="zh-CN"/>
              </w:rPr>
              <w:t>最不利气象</w:t>
            </w:r>
          </w:p>
        </w:tc>
      </w:tr>
      <w:tr w14:paraId="5DA265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775E057E">
            <w:pPr>
              <w:pStyle w:val="14"/>
              <w:bidi w:val="0"/>
              <w:jc w:val="center"/>
              <w:rPr>
                <w:b/>
                <w:bCs/>
              </w:rPr>
            </w:pPr>
          </w:p>
        </w:tc>
        <w:tc>
          <w:tcPr>
            <w:tcW w:w="1776" w:type="dxa"/>
            <w:tcBorders>
              <w:tl2br w:val="nil"/>
              <w:tr2bl w:val="nil"/>
            </w:tcBorders>
            <w:vAlign w:val="center"/>
          </w:tcPr>
          <w:p w14:paraId="7281D5D1">
            <w:pPr>
              <w:pStyle w:val="14"/>
              <w:bidi w:val="0"/>
              <w:jc w:val="center"/>
              <w:rPr>
                <w:rFonts w:hint="eastAsia"/>
                <w:b/>
                <w:bCs/>
                <w:lang w:val="en-US" w:eastAsia="zh-CN"/>
              </w:rPr>
            </w:pPr>
            <w:r>
              <w:rPr>
                <w:rFonts w:hint="eastAsia"/>
                <w:b/>
                <w:bCs/>
                <w:lang w:val="en-US" w:eastAsia="zh-CN"/>
              </w:rPr>
              <w:t>风速（</w:t>
            </w:r>
            <w:r>
              <w:rPr>
                <w:b/>
                <w:bCs/>
                <w:lang w:val="en-US" w:eastAsia="zh-CN"/>
              </w:rPr>
              <w:t>m/s</w:t>
            </w:r>
            <w:r>
              <w:rPr>
                <w:rFonts w:hint="eastAsia"/>
                <w:b/>
                <w:bCs/>
                <w:lang w:val="en-US" w:eastAsia="zh-CN"/>
              </w:rPr>
              <w:t>）</w:t>
            </w:r>
          </w:p>
        </w:tc>
        <w:tc>
          <w:tcPr>
            <w:tcW w:w="5606" w:type="dxa"/>
            <w:gridSpan w:val="2"/>
            <w:tcBorders>
              <w:tl2br w:val="nil"/>
              <w:tr2bl w:val="nil"/>
            </w:tcBorders>
            <w:vAlign w:val="center"/>
          </w:tcPr>
          <w:p w14:paraId="2036B3C1">
            <w:pPr>
              <w:pStyle w:val="14"/>
              <w:bidi w:val="0"/>
              <w:jc w:val="center"/>
              <w:rPr>
                <w:lang w:val="en-US" w:eastAsia="zh-CN"/>
              </w:rPr>
            </w:pPr>
            <w:r>
              <w:rPr>
                <w:lang w:val="en-US" w:eastAsia="zh-CN"/>
              </w:rPr>
              <w:t>1.5</w:t>
            </w:r>
          </w:p>
        </w:tc>
      </w:tr>
      <w:tr w14:paraId="2D6981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2A63F359">
            <w:pPr>
              <w:pStyle w:val="14"/>
              <w:bidi w:val="0"/>
              <w:jc w:val="center"/>
              <w:rPr>
                <w:b/>
                <w:bCs/>
                <w:lang w:val="en-US" w:eastAsia="zh-CN"/>
              </w:rPr>
            </w:pPr>
          </w:p>
        </w:tc>
        <w:tc>
          <w:tcPr>
            <w:tcW w:w="1776" w:type="dxa"/>
            <w:tcBorders>
              <w:tl2br w:val="nil"/>
              <w:tr2bl w:val="nil"/>
            </w:tcBorders>
            <w:vAlign w:val="center"/>
          </w:tcPr>
          <w:p w14:paraId="43D9DF33">
            <w:pPr>
              <w:pStyle w:val="14"/>
              <w:bidi w:val="0"/>
              <w:jc w:val="center"/>
              <w:rPr>
                <w:rFonts w:hint="eastAsia"/>
                <w:b/>
                <w:bCs/>
                <w:lang w:val="en-US" w:eastAsia="zh-CN"/>
              </w:rPr>
            </w:pPr>
            <w:r>
              <w:rPr>
                <w:rFonts w:hint="eastAsia"/>
                <w:b/>
                <w:bCs/>
                <w:lang w:val="en-US" w:eastAsia="zh-CN"/>
              </w:rPr>
              <w:t>环境温度</w:t>
            </w:r>
            <w:r>
              <w:rPr>
                <w:b/>
                <w:bCs/>
                <w:lang w:val="en-US" w:eastAsia="zh-CN"/>
              </w:rPr>
              <w:t>/</w:t>
            </w:r>
            <w:r>
              <w:rPr>
                <w:rFonts w:hint="eastAsia"/>
                <w:b/>
                <w:bCs/>
                <w:lang w:val="en-US" w:eastAsia="zh-CN"/>
              </w:rPr>
              <w:t>℃</w:t>
            </w:r>
          </w:p>
        </w:tc>
        <w:tc>
          <w:tcPr>
            <w:tcW w:w="5606" w:type="dxa"/>
            <w:gridSpan w:val="2"/>
            <w:tcBorders>
              <w:tl2br w:val="nil"/>
              <w:tr2bl w:val="nil"/>
            </w:tcBorders>
            <w:vAlign w:val="center"/>
          </w:tcPr>
          <w:p w14:paraId="70506CF3">
            <w:pPr>
              <w:pStyle w:val="14"/>
              <w:bidi w:val="0"/>
              <w:jc w:val="center"/>
              <w:rPr>
                <w:lang w:val="en-US" w:eastAsia="zh-CN"/>
              </w:rPr>
            </w:pPr>
            <w:r>
              <w:rPr>
                <w:lang w:val="en-US" w:eastAsia="zh-CN"/>
              </w:rPr>
              <w:t>25</w:t>
            </w:r>
          </w:p>
        </w:tc>
      </w:tr>
      <w:tr w14:paraId="7F63A0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jc w:val="center"/>
        </w:trPr>
        <w:tc>
          <w:tcPr>
            <w:tcW w:w="1116" w:type="dxa"/>
            <w:vMerge w:val="continue"/>
            <w:tcBorders>
              <w:tl2br w:val="nil"/>
              <w:tr2bl w:val="nil"/>
            </w:tcBorders>
            <w:vAlign w:val="center"/>
          </w:tcPr>
          <w:p w14:paraId="20F9670E">
            <w:pPr>
              <w:pStyle w:val="14"/>
              <w:bidi w:val="0"/>
              <w:jc w:val="center"/>
              <w:rPr>
                <w:b/>
                <w:bCs/>
              </w:rPr>
            </w:pPr>
          </w:p>
        </w:tc>
        <w:tc>
          <w:tcPr>
            <w:tcW w:w="1776" w:type="dxa"/>
            <w:tcBorders>
              <w:tl2br w:val="nil"/>
              <w:tr2bl w:val="nil"/>
            </w:tcBorders>
            <w:vAlign w:val="center"/>
          </w:tcPr>
          <w:p w14:paraId="70107B89">
            <w:pPr>
              <w:pStyle w:val="14"/>
              <w:bidi w:val="0"/>
              <w:jc w:val="center"/>
              <w:rPr>
                <w:b/>
                <w:bCs/>
                <w:lang w:val="en-US" w:eastAsia="zh-CN"/>
              </w:rPr>
            </w:pPr>
            <w:r>
              <w:rPr>
                <w:rFonts w:hint="eastAsia"/>
                <w:b/>
                <w:bCs/>
                <w:lang w:val="en-US" w:eastAsia="zh-CN"/>
              </w:rPr>
              <w:t>相对湿度</w:t>
            </w:r>
            <w:r>
              <w:rPr>
                <w:b/>
                <w:bCs/>
                <w:lang w:val="en-US" w:eastAsia="zh-CN"/>
              </w:rPr>
              <w:t>/%</w:t>
            </w:r>
          </w:p>
        </w:tc>
        <w:tc>
          <w:tcPr>
            <w:tcW w:w="5606" w:type="dxa"/>
            <w:gridSpan w:val="2"/>
            <w:tcBorders>
              <w:tl2br w:val="nil"/>
              <w:tr2bl w:val="nil"/>
            </w:tcBorders>
            <w:vAlign w:val="center"/>
          </w:tcPr>
          <w:p w14:paraId="38790D81">
            <w:pPr>
              <w:pStyle w:val="14"/>
              <w:bidi w:val="0"/>
              <w:jc w:val="center"/>
              <w:rPr>
                <w:lang w:val="en-US" w:eastAsia="zh-CN"/>
              </w:rPr>
            </w:pPr>
            <w:r>
              <w:rPr>
                <w:lang w:val="en-US" w:eastAsia="zh-CN"/>
              </w:rPr>
              <w:t>50</w:t>
            </w:r>
          </w:p>
        </w:tc>
      </w:tr>
      <w:tr w14:paraId="741561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697B5D53">
            <w:pPr>
              <w:pStyle w:val="14"/>
              <w:bidi w:val="0"/>
              <w:jc w:val="center"/>
              <w:rPr>
                <w:b/>
                <w:bCs/>
              </w:rPr>
            </w:pPr>
          </w:p>
        </w:tc>
        <w:tc>
          <w:tcPr>
            <w:tcW w:w="1776" w:type="dxa"/>
            <w:tcBorders>
              <w:tl2br w:val="nil"/>
              <w:tr2bl w:val="nil"/>
            </w:tcBorders>
            <w:vAlign w:val="center"/>
          </w:tcPr>
          <w:p w14:paraId="38118C90">
            <w:pPr>
              <w:pStyle w:val="14"/>
              <w:bidi w:val="0"/>
              <w:jc w:val="center"/>
              <w:rPr>
                <w:rFonts w:hint="eastAsia"/>
                <w:b/>
                <w:bCs/>
                <w:lang w:val="en-US" w:eastAsia="zh-CN"/>
              </w:rPr>
            </w:pPr>
            <w:r>
              <w:rPr>
                <w:rFonts w:hint="eastAsia"/>
                <w:b/>
                <w:bCs/>
                <w:lang w:val="en-US" w:eastAsia="zh-CN"/>
              </w:rPr>
              <w:t>稳定度</w:t>
            </w:r>
          </w:p>
        </w:tc>
        <w:tc>
          <w:tcPr>
            <w:tcW w:w="5606" w:type="dxa"/>
            <w:gridSpan w:val="2"/>
            <w:tcBorders>
              <w:tl2br w:val="nil"/>
              <w:tr2bl w:val="nil"/>
            </w:tcBorders>
            <w:vAlign w:val="center"/>
          </w:tcPr>
          <w:p w14:paraId="3B2BDC97">
            <w:pPr>
              <w:pStyle w:val="14"/>
              <w:bidi w:val="0"/>
              <w:jc w:val="center"/>
              <w:rPr>
                <w:lang w:val="en-US" w:eastAsia="zh-CN"/>
              </w:rPr>
            </w:pPr>
            <w:r>
              <w:rPr>
                <w:lang w:val="en-US" w:eastAsia="zh-CN"/>
              </w:rPr>
              <w:t>F</w:t>
            </w:r>
          </w:p>
        </w:tc>
      </w:tr>
      <w:tr w14:paraId="36B98E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restart"/>
            <w:tcBorders>
              <w:tl2br w:val="nil"/>
              <w:tr2bl w:val="nil"/>
            </w:tcBorders>
            <w:vAlign w:val="center"/>
          </w:tcPr>
          <w:p w14:paraId="0D95FA86">
            <w:pPr>
              <w:pStyle w:val="14"/>
              <w:bidi w:val="0"/>
              <w:jc w:val="center"/>
              <w:rPr>
                <w:b/>
                <w:bCs/>
                <w:lang w:val="en-US" w:eastAsia="zh-CN"/>
              </w:rPr>
            </w:pPr>
          </w:p>
          <w:p w14:paraId="620136B0">
            <w:pPr>
              <w:pStyle w:val="14"/>
              <w:bidi w:val="0"/>
              <w:jc w:val="center"/>
              <w:rPr>
                <w:rFonts w:hint="eastAsia"/>
                <w:b/>
                <w:bCs/>
                <w:lang w:val="en-US" w:eastAsia="zh-CN"/>
              </w:rPr>
            </w:pPr>
            <w:r>
              <w:rPr>
                <w:rFonts w:hint="eastAsia"/>
                <w:b/>
                <w:bCs/>
                <w:lang w:val="en-US" w:eastAsia="zh-CN"/>
              </w:rPr>
              <w:t>其他参数</w:t>
            </w:r>
          </w:p>
        </w:tc>
        <w:tc>
          <w:tcPr>
            <w:tcW w:w="1776" w:type="dxa"/>
            <w:tcBorders>
              <w:tl2br w:val="nil"/>
              <w:tr2bl w:val="nil"/>
            </w:tcBorders>
            <w:vAlign w:val="center"/>
          </w:tcPr>
          <w:p w14:paraId="20966CDB">
            <w:pPr>
              <w:pStyle w:val="14"/>
              <w:bidi w:val="0"/>
              <w:jc w:val="center"/>
              <w:rPr>
                <w:b/>
                <w:bCs/>
                <w:lang w:val="en-US" w:eastAsia="zh-CN"/>
              </w:rPr>
            </w:pPr>
            <w:r>
              <w:rPr>
                <w:rFonts w:hint="eastAsia"/>
                <w:b/>
                <w:bCs/>
                <w:lang w:val="en-US" w:eastAsia="zh-CN"/>
              </w:rPr>
              <w:t>地面粗糙度</w:t>
            </w:r>
            <w:r>
              <w:rPr>
                <w:b/>
                <w:bCs/>
                <w:lang w:val="en-US" w:eastAsia="zh-CN"/>
              </w:rPr>
              <w:t>/m</w:t>
            </w:r>
          </w:p>
        </w:tc>
        <w:tc>
          <w:tcPr>
            <w:tcW w:w="5606" w:type="dxa"/>
            <w:gridSpan w:val="2"/>
            <w:tcBorders>
              <w:tl2br w:val="nil"/>
              <w:tr2bl w:val="nil"/>
            </w:tcBorders>
            <w:vAlign w:val="center"/>
          </w:tcPr>
          <w:p w14:paraId="5F82BB45">
            <w:pPr>
              <w:pStyle w:val="14"/>
              <w:bidi w:val="0"/>
              <w:jc w:val="center"/>
              <w:rPr>
                <w:rFonts w:hint="eastAsia"/>
                <w:lang w:val="en-US" w:eastAsia="zh-CN"/>
              </w:rPr>
            </w:pPr>
            <w:r>
              <w:rPr>
                <w:rFonts w:hint="eastAsia"/>
                <w:lang w:val="en-US" w:eastAsia="zh-CN"/>
              </w:rPr>
              <w:t>城市（</w:t>
            </w:r>
            <w:r>
              <w:rPr>
                <w:lang w:val="en-US" w:eastAsia="zh-CN"/>
              </w:rPr>
              <w:t>1.0000m</w:t>
            </w:r>
            <w:r>
              <w:rPr>
                <w:rFonts w:hint="eastAsia"/>
                <w:lang w:val="en-US" w:eastAsia="zh-CN"/>
              </w:rPr>
              <w:t>）</w:t>
            </w:r>
          </w:p>
        </w:tc>
      </w:tr>
      <w:tr w14:paraId="0BD8A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56F028BF">
            <w:pPr>
              <w:pStyle w:val="14"/>
              <w:bidi w:val="0"/>
              <w:jc w:val="center"/>
              <w:rPr>
                <w:b/>
                <w:bCs/>
              </w:rPr>
            </w:pPr>
          </w:p>
        </w:tc>
        <w:tc>
          <w:tcPr>
            <w:tcW w:w="1776" w:type="dxa"/>
            <w:tcBorders>
              <w:tl2br w:val="nil"/>
              <w:tr2bl w:val="nil"/>
            </w:tcBorders>
            <w:vAlign w:val="center"/>
          </w:tcPr>
          <w:p w14:paraId="48FDAF8F">
            <w:pPr>
              <w:pStyle w:val="14"/>
              <w:bidi w:val="0"/>
              <w:jc w:val="center"/>
              <w:rPr>
                <w:rFonts w:hint="eastAsia"/>
                <w:b/>
                <w:bCs/>
                <w:lang w:val="en-US" w:eastAsia="zh-CN"/>
              </w:rPr>
            </w:pPr>
            <w:r>
              <w:rPr>
                <w:rFonts w:hint="eastAsia"/>
                <w:b/>
                <w:bCs/>
                <w:lang w:val="en-US" w:eastAsia="zh-CN"/>
              </w:rPr>
              <w:t>是否考虑地形</w:t>
            </w:r>
          </w:p>
        </w:tc>
        <w:tc>
          <w:tcPr>
            <w:tcW w:w="5606" w:type="dxa"/>
            <w:gridSpan w:val="2"/>
            <w:tcBorders>
              <w:tl2br w:val="nil"/>
              <w:tr2bl w:val="nil"/>
            </w:tcBorders>
            <w:vAlign w:val="center"/>
          </w:tcPr>
          <w:p w14:paraId="343F07EF">
            <w:pPr>
              <w:pStyle w:val="14"/>
              <w:bidi w:val="0"/>
              <w:jc w:val="center"/>
              <w:rPr>
                <w:rFonts w:hint="eastAsia"/>
                <w:lang w:val="en-US" w:eastAsia="zh-CN"/>
              </w:rPr>
            </w:pPr>
            <w:r>
              <w:rPr>
                <w:rFonts w:hint="eastAsia"/>
                <w:lang w:val="en-US" w:eastAsia="zh-CN"/>
              </w:rPr>
              <w:t>否</w:t>
            </w:r>
          </w:p>
        </w:tc>
      </w:tr>
      <w:tr w14:paraId="56A8E1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6" w:type="dxa"/>
            <w:vMerge w:val="continue"/>
            <w:tcBorders>
              <w:tl2br w:val="nil"/>
              <w:tr2bl w:val="nil"/>
            </w:tcBorders>
            <w:vAlign w:val="center"/>
          </w:tcPr>
          <w:p w14:paraId="7AA71CB7">
            <w:pPr>
              <w:pStyle w:val="14"/>
              <w:bidi w:val="0"/>
              <w:jc w:val="center"/>
              <w:rPr>
                <w:b/>
                <w:bCs/>
              </w:rPr>
            </w:pPr>
          </w:p>
        </w:tc>
        <w:tc>
          <w:tcPr>
            <w:tcW w:w="1776" w:type="dxa"/>
            <w:tcBorders>
              <w:tl2br w:val="nil"/>
              <w:tr2bl w:val="nil"/>
            </w:tcBorders>
            <w:vAlign w:val="center"/>
          </w:tcPr>
          <w:p w14:paraId="39B1BF44">
            <w:pPr>
              <w:pStyle w:val="14"/>
              <w:bidi w:val="0"/>
              <w:jc w:val="center"/>
              <w:rPr>
                <w:b/>
                <w:bCs/>
                <w:lang w:val="en-US" w:eastAsia="zh-CN"/>
              </w:rPr>
            </w:pPr>
            <w:r>
              <w:rPr>
                <w:rFonts w:hint="eastAsia"/>
                <w:b/>
                <w:bCs/>
                <w:lang w:val="en-US" w:eastAsia="zh-CN"/>
              </w:rPr>
              <w:t>地形数据经度</w:t>
            </w:r>
            <w:r>
              <w:rPr>
                <w:b/>
                <w:bCs/>
                <w:lang w:val="en-US" w:eastAsia="zh-CN"/>
              </w:rPr>
              <w:t>/m</w:t>
            </w:r>
          </w:p>
        </w:tc>
        <w:tc>
          <w:tcPr>
            <w:tcW w:w="5606" w:type="dxa"/>
            <w:gridSpan w:val="2"/>
            <w:tcBorders>
              <w:tl2br w:val="nil"/>
              <w:tr2bl w:val="nil"/>
            </w:tcBorders>
            <w:vAlign w:val="center"/>
          </w:tcPr>
          <w:p w14:paraId="4605A467">
            <w:pPr>
              <w:pStyle w:val="14"/>
              <w:bidi w:val="0"/>
              <w:jc w:val="center"/>
              <w:rPr>
                <w:lang w:val="en-US" w:eastAsia="zh-CN"/>
              </w:rPr>
            </w:pPr>
            <w:r>
              <w:rPr>
                <w:lang w:val="en-US" w:eastAsia="zh-CN"/>
              </w:rPr>
              <w:t>/</w:t>
            </w:r>
          </w:p>
        </w:tc>
      </w:tr>
    </w:tbl>
    <w:p w14:paraId="6A0468F6">
      <w:pPr>
        <w:pStyle w:val="15"/>
        <w:bidi w:val="0"/>
        <w:rPr>
          <w:rFonts w:hint="eastAsia"/>
        </w:rPr>
      </w:pPr>
    </w:p>
    <w:p w14:paraId="58692D47">
      <w:pPr>
        <w:adjustRightInd w:val="0"/>
        <w:snapToGrid w:val="0"/>
        <w:ind w:firstLine="480" w:firstLineChars="200"/>
      </w:pPr>
      <w:r>
        <w:rPr>
          <w:rFonts w:hint="eastAsia"/>
        </w:rPr>
        <w:t>本项目大气环境敏感程度为E2，危险物质及工艺系统危险性为P3，大气环境风险潜势为Ⅲ，大气环境风险评价范围为距离项目边界5km范围。</w:t>
      </w:r>
    </w:p>
    <w:p w14:paraId="540454FF">
      <w:pPr>
        <w:adjustRightInd w:val="0"/>
        <w:snapToGrid w:val="0"/>
        <w:ind w:firstLine="480" w:firstLineChars="200"/>
        <w:rPr>
          <w:rFonts w:hint="eastAsia"/>
        </w:rPr>
      </w:pPr>
      <w:r>
        <w:rPr>
          <w:rFonts w:hint="eastAsia"/>
        </w:rPr>
        <w:t>根据《建设项目环境风险评价技术导则》（HJ169-2018），一般计算点的设置应具有一定分辨率，距离风险源500m范围内可设置10～50m间距，大于500m范围内可设置50～100m间距。本项目风险源500m范围内设置间距50m，500m~1000m范围内设置间距100m。特殊计算点为项目北方向</w:t>
      </w:r>
      <w:r>
        <w:rPr>
          <w:rFonts w:hint="eastAsia"/>
          <w:lang w:val="en-US" w:eastAsia="zh-CN"/>
        </w:rPr>
        <w:t>430</w:t>
      </w:r>
      <w:r>
        <w:rPr>
          <w:rFonts w:hint="eastAsia"/>
        </w:rPr>
        <w:t>米的道城洞村和</w:t>
      </w:r>
      <w:r>
        <w:rPr>
          <w:rFonts w:hint="eastAsia"/>
          <w:lang w:eastAsia="zh-CN"/>
        </w:rPr>
        <w:t>东南</w:t>
      </w:r>
      <w:r>
        <w:rPr>
          <w:rFonts w:hint="eastAsia"/>
        </w:rPr>
        <w:t>方向</w:t>
      </w:r>
      <w:r>
        <w:rPr>
          <w:rFonts w:hint="eastAsia"/>
          <w:lang w:val="en-US" w:eastAsia="zh-CN"/>
        </w:rPr>
        <w:t>1300</w:t>
      </w:r>
      <w:r>
        <w:rPr>
          <w:rFonts w:hint="eastAsia"/>
        </w:rPr>
        <w:t>米的</w:t>
      </w:r>
      <w:r>
        <w:rPr>
          <w:rFonts w:hint="eastAsia"/>
          <w:lang w:eastAsia="zh-CN"/>
        </w:rPr>
        <w:t>石仔墩</w:t>
      </w:r>
      <w:r>
        <w:rPr>
          <w:rFonts w:hint="eastAsia"/>
        </w:rPr>
        <w:t>。</w:t>
      </w:r>
    </w:p>
    <w:p w14:paraId="60214F2F">
      <w:pPr>
        <w:pStyle w:val="4"/>
        <w:bidi w:val="0"/>
        <w:rPr>
          <w:rFonts w:hint="eastAsia"/>
        </w:rPr>
      </w:pPr>
      <w:r>
        <w:rPr>
          <w:rFonts w:hint="eastAsia"/>
        </w:rPr>
        <w:t>6.1.4液氨泄漏对大气环境的影响预测</w:t>
      </w:r>
    </w:p>
    <w:p w14:paraId="6BD95551">
      <w:pPr>
        <w:adjustRightInd w:val="0"/>
        <w:snapToGrid w:val="0"/>
        <w:ind w:firstLine="480" w:firstLineChars="200"/>
        <w:rPr>
          <w:rFonts w:hint="eastAsia"/>
        </w:rPr>
      </w:pPr>
      <w:r>
        <w:rPr>
          <w:rFonts w:hint="eastAsia"/>
        </w:rPr>
        <w:t>根据预测结果，氨高峰浓度为</w:t>
      </w:r>
      <w:r>
        <w:rPr>
          <w:rFonts w:hint="eastAsia"/>
          <w:lang w:eastAsia="zh-CN"/>
        </w:rPr>
        <w:t>10528</w:t>
      </w:r>
      <w:r>
        <w:rPr>
          <w:rFonts w:hint="eastAsia"/>
        </w:rPr>
        <w:t>mg/m</w:t>
      </w:r>
      <w:r>
        <w:rPr>
          <w:rFonts w:hint="eastAsia"/>
          <w:vertAlign w:val="superscript"/>
        </w:rPr>
        <w:t>3</w:t>
      </w:r>
      <w:r>
        <w:rPr>
          <w:rFonts w:hint="eastAsia"/>
        </w:rPr>
        <w:t>，出现在距离排放源</w:t>
      </w:r>
      <w:r>
        <w:rPr>
          <w:rFonts w:hint="eastAsia"/>
          <w:lang w:val="en-US" w:eastAsia="zh-CN"/>
        </w:rPr>
        <w:t>6</w:t>
      </w:r>
      <w:r>
        <w:rPr>
          <w:rFonts w:hint="eastAsia"/>
        </w:rPr>
        <w:t>0米处，出现时间为事故后第</w:t>
      </w:r>
      <w:r>
        <w:rPr>
          <w:rFonts w:hint="eastAsia"/>
          <w:lang w:eastAsia="zh-CN"/>
        </w:rPr>
        <w:t>2.2345</w:t>
      </w:r>
      <w:r>
        <w:rPr>
          <w:rFonts w:hint="eastAsia"/>
        </w:rPr>
        <w:t>分钟，质心浓度为</w:t>
      </w:r>
      <w:r>
        <w:rPr>
          <w:rFonts w:hint="eastAsia"/>
          <w:lang w:eastAsia="zh-CN"/>
        </w:rPr>
        <w:t>12606</w:t>
      </w:r>
      <w:r>
        <w:rPr>
          <w:rFonts w:hint="eastAsia"/>
        </w:rPr>
        <w:t>mg/m</w:t>
      </w:r>
      <w:r>
        <w:rPr>
          <w:rFonts w:hint="eastAsia"/>
          <w:vertAlign w:val="superscript"/>
        </w:rPr>
        <w:t>3</w:t>
      </w:r>
      <w:r>
        <w:rPr>
          <w:rFonts w:hint="eastAsia"/>
        </w:rPr>
        <w:t>，液氨泄漏过程中在最不利气象条件下1级、2级大气毒性终点浓度范围分别为</w:t>
      </w:r>
      <w:r>
        <w:rPr>
          <w:rFonts w:hint="eastAsia"/>
          <w:lang w:val="en-US" w:eastAsia="zh-CN"/>
        </w:rPr>
        <w:t>740</w:t>
      </w:r>
      <w:r>
        <w:rPr>
          <w:rFonts w:hint="eastAsia"/>
        </w:rPr>
        <w:t>m、</w:t>
      </w:r>
      <w:r>
        <w:rPr>
          <w:rFonts w:hint="eastAsia"/>
          <w:lang w:val="en-US" w:eastAsia="zh-CN"/>
        </w:rPr>
        <w:t>320</w:t>
      </w:r>
      <w:r>
        <w:rPr>
          <w:rFonts w:hint="eastAsia"/>
        </w:rPr>
        <w:t>0m；预测各敏感点的氨最大浓度为0.186mg/m</w:t>
      </w:r>
      <w:r>
        <w:rPr>
          <w:rFonts w:hint="eastAsia"/>
          <w:vertAlign w:val="superscript"/>
        </w:rPr>
        <w:t>3</w:t>
      </w:r>
      <w:r>
        <w:rPr>
          <w:rFonts w:hint="eastAsia"/>
        </w:rPr>
        <w:t>，预测敏感点未出现超过大气毒性终点浓度值，对各敏感点无明显不良影响，主要影响范围为泄漏点下风向</w:t>
      </w:r>
      <w:r>
        <w:rPr>
          <w:rFonts w:hint="eastAsia"/>
          <w:lang w:val="en-US" w:eastAsia="zh-CN"/>
        </w:rPr>
        <w:t>3200</w:t>
      </w:r>
      <w:r>
        <w:rPr>
          <w:rFonts w:hint="eastAsia"/>
        </w:rPr>
        <w:t>m范围内，影响范围主要为</w:t>
      </w:r>
      <w:r>
        <w:rPr>
          <w:rFonts w:hint="eastAsia"/>
          <w:lang w:eastAsia="zh-CN"/>
        </w:rPr>
        <w:t>工业园区、尾矿库和山林地</w:t>
      </w:r>
      <w:r>
        <w:rPr>
          <w:rFonts w:hint="eastAsia"/>
        </w:rPr>
        <w:t>内。氨随距离时间变化影响预测结果见表6-5，对周边敏感点的环境影响结果见表6-6，各阈值廓线见表6-7，轴线/质心氨最大浓度-距离曲线见图</w:t>
      </w:r>
      <w:r>
        <w:rPr>
          <w:rFonts w:hint="eastAsia"/>
          <w:lang w:val="en-US" w:eastAsia="zh-CN"/>
        </w:rPr>
        <w:t>6-3</w:t>
      </w:r>
      <w:r>
        <w:rPr>
          <w:rFonts w:hint="eastAsia"/>
        </w:rPr>
        <w:t>，</w:t>
      </w:r>
      <w:r>
        <w:rPr>
          <w:rFonts w:hint="eastAsia"/>
          <w:lang w:eastAsia="zh-CN"/>
        </w:rPr>
        <w:t>影响范围</w:t>
      </w:r>
      <w:r>
        <w:rPr>
          <w:rFonts w:hint="eastAsia"/>
        </w:rPr>
        <w:t>图见图</w:t>
      </w:r>
      <w:r>
        <w:rPr>
          <w:rFonts w:hint="eastAsia"/>
          <w:lang w:val="en-US" w:eastAsia="zh-CN"/>
        </w:rPr>
        <w:t>6-4</w:t>
      </w:r>
      <w:r>
        <w:rPr>
          <w:rFonts w:hint="eastAsia"/>
        </w:rPr>
        <w:t>。</w:t>
      </w:r>
    </w:p>
    <w:p w14:paraId="2B1F8872">
      <w:pPr>
        <w:pStyle w:val="14"/>
        <w:bidi w:val="0"/>
        <w:rPr>
          <w:rFonts w:hint="eastAsia"/>
        </w:rPr>
      </w:pPr>
      <w:r>
        <w:drawing>
          <wp:inline distT="0" distB="0" distL="114300" distR="114300">
            <wp:extent cx="5272405" cy="2912110"/>
            <wp:effectExtent l="0" t="0" r="4445" b="2540"/>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56"/>
                    <a:stretch>
                      <a:fillRect/>
                    </a:stretch>
                  </pic:blipFill>
                  <pic:spPr>
                    <a:xfrm>
                      <a:off x="0" y="0"/>
                      <a:ext cx="5272405" cy="2912110"/>
                    </a:xfrm>
                    <a:prstGeom prst="rect">
                      <a:avLst/>
                    </a:prstGeom>
                    <a:noFill/>
                    <a:ln>
                      <a:noFill/>
                    </a:ln>
                  </pic:spPr>
                </pic:pic>
              </a:graphicData>
            </a:graphic>
          </wp:inline>
        </w:drawing>
      </w:r>
    </w:p>
    <w:p w14:paraId="670CFB53">
      <w:pPr>
        <w:pStyle w:val="16"/>
        <w:bidi w:val="0"/>
        <w:rPr>
          <w:rFonts w:hint="eastAsia"/>
        </w:rPr>
      </w:pPr>
      <w:r>
        <w:rPr>
          <w:rFonts w:hint="eastAsia"/>
        </w:rPr>
        <w:t>图</w:t>
      </w:r>
      <w:r>
        <w:rPr>
          <w:rFonts w:hint="eastAsia"/>
          <w:lang w:val="en-US" w:eastAsia="zh-CN"/>
        </w:rPr>
        <w:t xml:space="preserve">6-1  </w:t>
      </w:r>
      <w:r>
        <w:rPr>
          <w:rFonts w:hint="eastAsia"/>
        </w:rPr>
        <w:t>SLAB模型污染源及环境参数</w:t>
      </w:r>
    </w:p>
    <w:p w14:paraId="23AD4298">
      <w:pPr>
        <w:pStyle w:val="14"/>
        <w:bidi w:val="0"/>
        <w:rPr>
          <w:rFonts w:hint="eastAsia"/>
        </w:rPr>
      </w:pPr>
      <w:r>
        <w:drawing>
          <wp:inline distT="0" distB="0" distL="114300" distR="114300">
            <wp:extent cx="5067300" cy="3838575"/>
            <wp:effectExtent l="0" t="0" r="0" b="952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57"/>
                    <a:stretch>
                      <a:fillRect/>
                    </a:stretch>
                  </pic:blipFill>
                  <pic:spPr>
                    <a:xfrm>
                      <a:off x="0" y="0"/>
                      <a:ext cx="5067300" cy="3838575"/>
                    </a:xfrm>
                    <a:prstGeom prst="rect">
                      <a:avLst/>
                    </a:prstGeom>
                    <a:noFill/>
                    <a:ln>
                      <a:noFill/>
                    </a:ln>
                  </pic:spPr>
                </pic:pic>
              </a:graphicData>
            </a:graphic>
          </wp:inline>
        </w:drawing>
      </w:r>
    </w:p>
    <w:p w14:paraId="5DCF11CC">
      <w:pPr>
        <w:pStyle w:val="16"/>
        <w:bidi w:val="0"/>
        <w:rPr>
          <w:rFonts w:hint="eastAsia"/>
        </w:rPr>
      </w:pPr>
      <w:r>
        <w:rPr>
          <w:rFonts w:hint="eastAsia"/>
        </w:rPr>
        <w:t>图</w:t>
      </w:r>
      <w:r>
        <w:rPr>
          <w:rFonts w:hint="eastAsia"/>
          <w:lang w:val="en-US" w:eastAsia="zh-CN"/>
        </w:rPr>
        <w:t xml:space="preserve">6-2 </w:t>
      </w:r>
      <w:r>
        <w:rPr>
          <w:rFonts w:hint="eastAsia"/>
        </w:rPr>
        <w:t xml:space="preserve"> SLAB模型计算内容</w:t>
      </w:r>
    </w:p>
    <w:p w14:paraId="3A3C820A">
      <w:pPr>
        <w:pStyle w:val="15"/>
        <w:bidi w:val="0"/>
        <w:rPr>
          <w:rFonts w:hint="eastAsia"/>
        </w:rPr>
      </w:pPr>
      <w:r>
        <w:rPr>
          <w:rFonts w:hint="eastAsia"/>
        </w:rPr>
        <w:t>表6-5 氨随距离时间变化影响预测结果</w:t>
      </w:r>
    </w:p>
    <w:tbl>
      <w:tblPr>
        <w:tblStyle w:val="11"/>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57" w:type="dxa"/>
          <w:bottom w:w="0" w:type="dxa"/>
          <w:right w:w="57" w:type="dxa"/>
        </w:tblCellMar>
      </w:tblPr>
      <w:tblGrid>
        <w:gridCol w:w="751"/>
        <w:gridCol w:w="1443"/>
        <w:gridCol w:w="1394"/>
        <w:gridCol w:w="1079"/>
        <w:gridCol w:w="1198"/>
        <w:gridCol w:w="1353"/>
      </w:tblGrid>
      <w:tr w14:paraId="599461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EA0C42A">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距离(m)</w:t>
            </w:r>
          </w:p>
        </w:tc>
        <w:tc>
          <w:tcPr>
            <w:tcW w:w="1443" w:type="dxa"/>
            <w:tcBorders>
              <w:tl2br w:val="nil"/>
              <w:tr2bl w:val="nil"/>
            </w:tcBorders>
            <w:shd w:val="clear" w:color="auto" w:fill="auto"/>
            <w:vAlign w:val="center"/>
          </w:tcPr>
          <w:p w14:paraId="791C201C">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浓度出现时间(min)</w:t>
            </w:r>
          </w:p>
        </w:tc>
        <w:tc>
          <w:tcPr>
            <w:tcW w:w="1394" w:type="dxa"/>
            <w:tcBorders>
              <w:tl2br w:val="nil"/>
              <w:tr2bl w:val="nil"/>
            </w:tcBorders>
            <w:shd w:val="clear" w:color="auto" w:fill="auto"/>
            <w:vAlign w:val="center"/>
          </w:tcPr>
          <w:p w14:paraId="33280563">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高峰浓度(mg/m</w:t>
            </w:r>
            <w:r>
              <w:rPr>
                <w:rFonts w:hint="eastAsia" w:ascii="Times New Roman" w:hAnsi="Times New Roman" w:eastAsia="宋体" w:cs="Times New Roman"/>
                <w:b/>
                <w:bCs/>
                <w:kern w:val="2"/>
                <w:sz w:val="21"/>
                <w:szCs w:val="24"/>
                <w:vertAlign w:val="superscript"/>
                <w:lang w:val="en-US" w:eastAsia="zh-CN" w:bidi="ar-SA"/>
              </w:rPr>
              <w:t>3</w:t>
            </w:r>
            <w:r>
              <w:rPr>
                <w:rFonts w:hint="eastAsia" w:ascii="Times New Roman" w:hAnsi="Times New Roman" w:eastAsia="宋体" w:cs="Times New Roman"/>
                <w:b/>
                <w:bCs/>
                <w:kern w:val="2"/>
                <w:sz w:val="21"/>
                <w:szCs w:val="24"/>
                <w:lang w:val="en-US" w:eastAsia="zh-CN" w:bidi="ar-SA"/>
              </w:rPr>
              <w:t>)</w:t>
            </w:r>
          </w:p>
        </w:tc>
        <w:tc>
          <w:tcPr>
            <w:tcW w:w="1079" w:type="dxa"/>
            <w:tcBorders>
              <w:tl2br w:val="nil"/>
              <w:tr2bl w:val="nil"/>
            </w:tcBorders>
            <w:shd w:val="clear" w:color="auto" w:fill="auto"/>
            <w:vAlign w:val="center"/>
          </w:tcPr>
          <w:p w14:paraId="143B83B7">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质心高度(m)</w:t>
            </w:r>
          </w:p>
        </w:tc>
        <w:tc>
          <w:tcPr>
            <w:tcW w:w="1198" w:type="dxa"/>
            <w:tcBorders>
              <w:tl2br w:val="nil"/>
              <w:tr2bl w:val="nil"/>
            </w:tcBorders>
            <w:shd w:val="clear" w:color="auto" w:fill="auto"/>
            <w:vAlign w:val="center"/>
          </w:tcPr>
          <w:p w14:paraId="4B02D8BB">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出现时间(min)</w:t>
            </w:r>
          </w:p>
        </w:tc>
        <w:tc>
          <w:tcPr>
            <w:tcW w:w="1353" w:type="dxa"/>
            <w:tcBorders>
              <w:tl2br w:val="nil"/>
              <w:tr2bl w:val="nil"/>
            </w:tcBorders>
            <w:shd w:val="clear" w:color="auto" w:fill="auto"/>
            <w:vAlign w:val="center"/>
          </w:tcPr>
          <w:p w14:paraId="7C07FD90">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质心浓度(mg/m</w:t>
            </w:r>
            <w:r>
              <w:rPr>
                <w:rFonts w:hint="eastAsia" w:ascii="Times New Roman" w:hAnsi="Times New Roman" w:eastAsia="宋体" w:cs="Times New Roman"/>
                <w:b/>
                <w:bCs/>
                <w:kern w:val="2"/>
                <w:sz w:val="21"/>
                <w:szCs w:val="24"/>
                <w:vertAlign w:val="superscript"/>
                <w:lang w:val="en-US" w:eastAsia="zh-CN" w:bidi="ar-SA"/>
              </w:rPr>
              <w:t>3</w:t>
            </w:r>
            <w:r>
              <w:rPr>
                <w:rFonts w:hint="eastAsia" w:ascii="Times New Roman" w:hAnsi="Times New Roman" w:eastAsia="宋体" w:cs="Times New Roman"/>
                <w:b/>
                <w:bCs/>
                <w:kern w:val="2"/>
                <w:sz w:val="21"/>
                <w:szCs w:val="24"/>
                <w:lang w:val="en-US" w:eastAsia="zh-CN" w:bidi="ar-SA"/>
              </w:rPr>
              <w:t>)</w:t>
            </w:r>
          </w:p>
        </w:tc>
      </w:tr>
      <w:tr w14:paraId="4CC648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21C26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 </w:t>
            </w:r>
          </w:p>
        </w:tc>
        <w:tc>
          <w:tcPr>
            <w:tcW w:w="1443" w:type="dxa"/>
            <w:tcBorders>
              <w:tl2br w:val="nil"/>
              <w:tr2bl w:val="nil"/>
            </w:tcBorders>
            <w:shd w:val="clear" w:color="auto" w:fill="auto"/>
            <w:vAlign w:val="center"/>
          </w:tcPr>
          <w:p w14:paraId="547212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1.6275 </w:t>
            </w:r>
          </w:p>
        </w:tc>
        <w:tc>
          <w:tcPr>
            <w:tcW w:w="1394" w:type="dxa"/>
            <w:tcBorders>
              <w:tl2br w:val="nil"/>
              <w:tr2bl w:val="nil"/>
            </w:tcBorders>
            <w:shd w:val="clear" w:color="auto" w:fill="auto"/>
            <w:vAlign w:val="center"/>
          </w:tcPr>
          <w:p w14:paraId="0713DE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7698.5000 </w:t>
            </w:r>
          </w:p>
        </w:tc>
        <w:tc>
          <w:tcPr>
            <w:tcW w:w="1079" w:type="dxa"/>
            <w:tcBorders>
              <w:tl2br w:val="nil"/>
              <w:tr2bl w:val="nil"/>
            </w:tcBorders>
            <w:shd w:val="clear" w:color="auto" w:fill="auto"/>
            <w:vAlign w:val="center"/>
          </w:tcPr>
          <w:p w14:paraId="1F6756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75017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0.6275 </w:t>
            </w:r>
          </w:p>
        </w:tc>
        <w:tc>
          <w:tcPr>
            <w:tcW w:w="1353" w:type="dxa"/>
            <w:tcBorders>
              <w:tl2br w:val="nil"/>
              <w:tr2bl w:val="nil"/>
            </w:tcBorders>
            <w:shd w:val="clear" w:color="auto" w:fill="auto"/>
            <w:vAlign w:val="center"/>
          </w:tcPr>
          <w:p w14:paraId="019AD3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61849.0000 </w:t>
            </w:r>
          </w:p>
        </w:tc>
      </w:tr>
      <w:tr w14:paraId="12505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78B2A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 </w:t>
            </w:r>
          </w:p>
        </w:tc>
        <w:tc>
          <w:tcPr>
            <w:tcW w:w="1443" w:type="dxa"/>
            <w:tcBorders>
              <w:tl2br w:val="nil"/>
              <w:tr2bl w:val="nil"/>
            </w:tcBorders>
            <w:shd w:val="clear" w:color="auto" w:fill="auto"/>
            <w:vAlign w:val="center"/>
          </w:tcPr>
          <w:p w14:paraId="7E4E02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1.9596 </w:t>
            </w:r>
          </w:p>
        </w:tc>
        <w:tc>
          <w:tcPr>
            <w:tcW w:w="1394" w:type="dxa"/>
            <w:tcBorders>
              <w:tl2br w:val="nil"/>
              <w:tr2bl w:val="nil"/>
            </w:tcBorders>
            <w:shd w:val="clear" w:color="auto" w:fill="auto"/>
            <w:vAlign w:val="center"/>
          </w:tcPr>
          <w:p w14:paraId="75EC23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8705.2000 </w:t>
            </w:r>
          </w:p>
        </w:tc>
        <w:tc>
          <w:tcPr>
            <w:tcW w:w="1079" w:type="dxa"/>
            <w:tcBorders>
              <w:tl2br w:val="nil"/>
              <w:tr2bl w:val="nil"/>
            </w:tcBorders>
            <w:shd w:val="clear" w:color="auto" w:fill="auto"/>
            <w:vAlign w:val="center"/>
          </w:tcPr>
          <w:p w14:paraId="503E5E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9357C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0.9596 </w:t>
            </w:r>
          </w:p>
        </w:tc>
        <w:tc>
          <w:tcPr>
            <w:tcW w:w="1353" w:type="dxa"/>
            <w:tcBorders>
              <w:tl2br w:val="nil"/>
              <w:tr2bl w:val="nil"/>
            </w:tcBorders>
            <w:shd w:val="clear" w:color="auto" w:fill="auto"/>
            <w:vAlign w:val="center"/>
          </w:tcPr>
          <w:p w14:paraId="599DAF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34729.0000 </w:t>
            </w:r>
          </w:p>
        </w:tc>
      </w:tr>
      <w:tr w14:paraId="051BB2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84C9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 </w:t>
            </w:r>
          </w:p>
        </w:tc>
        <w:tc>
          <w:tcPr>
            <w:tcW w:w="1443" w:type="dxa"/>
            <w:tcBorders>
              <w:tl2br w:val="nil"/>
              <w:tr2bl w:val="nil"/>
            </w:tcBorders>
            <w:shd w:val="clear" w:color="auto" w:fill="auto"/>
            <w:vAlign w:val="center"/>
          </w:tcPr>
          <w:p w14:paraId="5DABA6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2.2474 </w:t>
            </w:r>
          </w:p>
        </w:tc>
        <w:tc>
          <w:tcPr>
            <w:tcW w:w="1394" w:type="dxa"/>
            <w:tcBorders>
              <w:tl2br w:val="nil"/>
              <w:tr2bl w:val="nil"/>
            </w:tcBorders>
            <w:shd w:val="clear" w:color="auto" w:fill="auto"/>
            <w:vAlign w:val="center"/>
          </w:tcPr>
          <w:p w14:paraId="6D8A92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9001.8000 </w:t>
            </w:r>
          </w:p>
        </w:tc>
        <w:tc>
          <w:tcPr>
            <w:tcW w:w="1079" w:type="dxa"/>
            <w:tcBorders>
              <w:tl2br w:val="nil"/>
              <w:tr2bl w:val="nil"/>
            </w:tcBorders>
            <w:shd w:val="clear" w:color="auto" w:fill="auto"/>
            <w:vAlign w:val="center"/>
          </w:tcPr>
          <w:p w14:paraId="5A8DB5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D638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1.2474 </w:t>
            </w:r>
          </w:p>
        </w:tc>
        <w:tc>
          <w:tcPr>
            <w:tcW w:w="1353" w:type="dxa"/>
            <w:tcBorders>
              <w:tl2br w:val="nil"/>
              <w:tr2bl w:val="nil"/>
            </w:tcBorders>
            <w:shd w:val="clear" w:color="auto" w:fill="auto"/>
            <w:vAlign w:val="center"/>
          </w:tcPr>
          <w:p w14:paraId="6DC813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24299.0000 </w:t>
            </w:r>
          </w:p>
        </w:tc>
      </w:tr>
      <w:tr w14:paraId="5E30A3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B8AE4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 </w:t>
            </w:r>
          </w:p>
        </w:tc>
        <w:tc>
          <w:tcPr>
            <w:tcW w:w="1443" w:type="dxa"/>
            <w:tcBorders>
              <w:tl2br w:val="nil"/>
              <w:tr2bl w:val="nil"/>
            </w:tcBorders>
            <w:shd w:val="clear" w:color="auto" w:fill="auto"/>
            <w:vAlign w:val="center"/>
          </w:tcPr>
          <w:p w14:paraId="3249B9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2.5130 </w:t>
            </w:r>
          </w:p>
        </w:tc>
        <w:tc>
          <w:tcPr>
            <w:tcW w:w="1394" w:type="dxa"/>
            <w:tcBorders>
              <w:tl2br w:val="nil"/>
              <w:tr2bl w:val="nil"/>
            </w:tcBorders>
            <w:shd w:val="clear" w:color="auto" w:fill="auto"/>
            <w:vAlign w:val="center"/>
          </w:tcPr>
          <w:p w14:paraId="4FD5A1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9046.7000 </w:t>
            </w:r>
          </w:p>
        </w:tc>
        <w:tc>
          <w:tcPr>
            <w:tcW w:w="1079" w:type="dxa"/>
            <w:tcBorders>
              <w:tl2br w:val="nil"/>
              <w:tr2bl w:val="nil"/>
            </w:tcBorders>
            <w:shd w:val="clear" w:color="auto" w:fill="auto"/>
            <w:vAlign w:val="center"/>
          </w:tcPr>
          <w:p w14:paraId="772E77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3AB86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1.5130 </w:t>
            </w:r>
          </w:p>
        </w:tc>
        <w:tc>
          <w:tcPr>
            <w:tcW w:w="1353" w:type="dxa"/>
            <w:tcBorders>
              <w:tl2br w:val="nil"/>
              <w:tr2bl w:val="nil"/>
            </w:tcBorders>
            <w:shd w:val="clear" w:color="auto" w:fill="auto"/>
            <w:vAlign w:val="center"/>
          </w:tcPr>
          <w:p w14:paraId="088D23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18575.0000 </w:t>
            </w:r>
          </w:p>
        </w:tc>
      </w:tr>
      <w:tr w14:paraId="75790D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12F09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 </w:t>
            </w:r>
          </w:p>
        </w:tc>
        <w:tc>
          <w:tcPr>
            <w:tcW w:w="1443" w:type="dxa"/>
            <w:tcBorders>
              <w:tl2br w:val="nil"/>
              <w:tr2bl w:val="nil"/>
            </w:tcBorders>
            <w:shd w:val="clear" w:color="auto" w:fill="auto"/>
            <w:vAlign w:val="center"/>
          </w:tcPr>
          <w:p w14:paraId="3DADD2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1.7637 </w:t>
            </w:r>
          </w:p>
        </w:tc>
        <w:tc>
          <w:tcPr>
            <w:tcW w:w="1394" w:type="dxa"/>
            <w:tcBorders>
              <w:tl2br w:val="nil"/>
              <w:tr2bl w:val="nil"/>
            </w:tcBorders>
            <w:shd w:val="clear" w:color="auto" w:fill="auto"/>
            <w:vAlign w:val="center"/>
          </w:tcPr>
          <w:p w14:paraId="08B75E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9674.4000 </w:t>
            </w:r>
          </w:p>
        </w:tc>
        <w:tc>
          <w:tcPr>
            <w:tcW w:w="1079" w:type="dxa"/>
            <w:tcBorders>
              <w:tl2br w:val="nil"/>
              <w:tr2bl w:val="nil"/>
            </w:tcBorders>
            <w:shd w:val="clear" w:color="auto" w:fill="auto"/>
            <w:vAlign w:val="center"/>
          </w:tcPr>
          <w:p w14:paraId="076514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1D00B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1.7637 </w:t>
            </w:r>
          </w:p>
        </w:tc>
        <w:tc>
          <w:tcPr>
            <w:tcW w:w="1353" w:type="dxa"/>
            <w:tcBorders>
              <w:tl2br w:val="nil"/>
              <w:tr2bl w:val="nil"/>
            </w:tcBorders>
            <w:shd w:val="clear" w:color="auto" w:fill="auto"/>
            <w:vAlign w:val="center"/>
          </w:tcPr>
          <w:p w14:paraId="029FF9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15012.0000 </w:t>
            </w:r>
          </w:p>
        </w:tc>
      </w:tr>
      <w:tr w14:paraId="697560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33593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 </w:t>
            </w:r>
          </w:p>
        </w:tc>
        <w:tc>
          <w:tcPr>
            <w:tcW w:w="1443" w:type="dxa"/>
            <w:tcBorders>
              <w:tl2br w:val="nil"/>
              <w:tr2bl w:val="nil"/>
            </w:tcBorders>
            <w:shd w:val="clear" w:color="auto" w:fill="auto"/>
            <w:vAlign w:val="center"/>
          </w:tcPr>
          <w:p w14:paraId="3C2108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2.0035 </w:t>
            </w:r>
          </w:p>
        </w:tc>
        <w:tc>
          <w:tcPr>
            <w:tcW w:w="1394" w:type="dxa"/>
            <w:tcBorders>
              <w:tl2br w:val="nil"/>
              <w:tr2bl w:val="nil"/>
            </w:tcBorders>
            <w:shd w:val="clear" w:color="auto" w:fill="auto"/>
            <w:vAlign w:val="center"/>
          </w:tcPr>
          <w:p w14:paraId="39C2FC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10304.0000 </w:t>
            </w:r>
          </w:p>
        </w:tc>
        <w:tc>
          <w:tcPr>
            <w:tcW w:w="1079" w:type="dxa"/>
            <w:tcBorders>
              <w:tl2br w:val="nil"/>
              <w:tr2bl w:val="nil"/>
            </w:tcBorders>
            <w:shd w:val="clear" w:color="auto" w:fill="auto"/>
            <w:vAlign w:val="center"/>
          </w:tcPr>
          <w:p w14:paraId="5BBA5A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ED08F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2.0035 </w:t>
            </w:r>
          </w:p>
        </w:tc>
        <w:tc>
          <w:tcPr>
            <w:tcW w:w="1353" w:type="dxa"/>
            <w:tcBorders>
              <w:tl2br w:val="nil"/>
              <w:tr2bl w:val="nil"/>
            </w:tcBorders>
            <w:shd w:val="clear" w:color="auto" w:fill="auto"/>
            <w:vAlign w:val="center"/>
          </w:tcPr>
          <w:p w14:paraId="36A651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12606.0000 </w:t>
            </w:r>
          </w:p>
        </w:tc>
      </w:tr>
      <w:tr w14:paraId="22CD5E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0E88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 </w:t>
            </w:r>
          </w:p>
        </w:tc>
        <w:tc>
          <w:tcPr>
            <w:tcW w:w="1443" w:type="dxa"/>
            <w:tcBorders>
              <w:tl2br w:val="nil"/>
              <w:tr2bl w:val="nil"/>
            </w:tcBorders>
            <w:shd w:val="clear" w:color="auto" w:fill="auto"/>
            <w:vAlign w:val="center"/>
          </w:tcPr>
          <w:p w14:paraId="6D396B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2.2345 </w:t>
            </w:r>
          </w:p>
        </w:tc>
        <w:tc>
          <w:tcPr>
            <w:tcW w:w="1394" w:type="dxa"/>
            <w:tcBorders>
              <w:tl2br w:val="nil"/>
              <w:tr2bl w:val="nil"/>
            </w:tcBorders>
            <w:shd w:val="clear" w:color="auto" w:fill="auto"/>
            <w:vAlign w:val="center"/>
          </w:tcPr>
          <w:p w14:paraId="46EA0A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10528.0000 </w:t>
            </w:r>
          </w:p>
        </w:tc>
        <w:tc>
          <w:tcPr>
            <w:tcW w:w="1079" w:type="dxa"/>
            <w:tcBorders>
              <w:tl2br w:val="nil"/>
              <w:tr2bl w:val="nil"/>
            </w:tcBorders>
            <w:shd w:val="clear" w:color="auto" w:fill="auto"/>
            <w:vAlign w:val="center"/>
          </w:tcPr>
          <w:p w14:paraId="55C084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85620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2.2345 </w:t>
            </w:r>
          </w:p>
        </w:tc>
        <w:tc>
          <w:tcPr>
            <w:tcW w:w="1353" w:type="dxa"/>
            <w:tcBorders>
              <w:tl2br w:val="nil"/>
              <w:tr2bl w:val="nil"/>
            </w:tcBorders>
            <w:shd w:val="clear" w:color="auto" w:fill="auto"/>
            <w:vAlign w:val="center"/>
          </w:tcPr>
          <w:p w14:paraId="27D2C5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10852.0000 </w:t>
            </w:r>
          </w:p>
        </w:tc>
      </w:tr>
      <w:tr w14:paraId="5803B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097E0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 </w:t>
            </w:r>
          </w:p>
        </w:tc>
        <w:tc>
          <w:tcPr>
            <w:tcW w:w="1443" w:type="dxa"/>
            <w:tcBorders>
              <w:tl2br w:val="nil"/>
              <w:tr2bl w:val="nil"/>
            </w:tcBorders>
            <w:shd w:val="clear" w:color="auto" w:fill="auto"/>
            <w:vAlign w:val="center"/>
          </w:tcPr>
          <w:p w14:paraId="75FA07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2.4584 </w:t>
            </w:r>
          </w:p>
        </w:tc>
        <w:tc>
          <w:tcPr>
            <w:tcW w:w="1394" w:type="dxa"/>
            <w:tcBorders>
              <w:tl2br w:val="nil"/>
              <w:tr2bl w:val="nil"/>
            </w:tcBorders>
            <w:shd w:val="clear" w:color="auto" w:fill="auto"/>
            <w:vAlign w:val="center"/>
          </w:tcPr>
          <w:p w14:paraId="075D73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9475.0000 </w:t>
            </w:r>
          </w:p>
        </w:tc>
        <w:tc>
          <w:tcPr>
            <w:tcW w:w="1079" w:type="dxa"/>
            <w:tcBorders>
              <w:tl2br w:val="nil"/>
              <w:tr2bl w:val="nil"/>
            </w:tcBorders>
            <w:shd w:val="clear" w:color="auto" w:fill="auto"/>
            <w:vAlign w:val="center"/>
          </w:tcPr>
          <w:p w14:paraId="79EEEC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EB778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2.4584 </w:t>
            </w:r>
          </w:p>
        </w:tc>
        <w:tc>
          <w:tcPr>
            <w:tcW w:w="1353" w:type="dxa"/>
            <w:tcBorders>
              <w:tl2br w:val="nil"/>
              <w:tr2bl w:val="nil"/>
            </w:tcBorders>
            <w:shd w:val="clear" w:color="auto" w:fill="auto"/>
            <w:vAlign w:val="center"/>
          </w:tcPr>
          <w:p w14:paraId="7DC274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9475.0000 </w:t>
            </w:r>
          </w:p>
        </w:tc>
      </w:tr>
      <w:tr w14:paraId="296475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ABF2D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 </w:t>
            </w:r>
          </w:p>
        </w:tc>
        <w:tc>
          <w:tcPr>
            <w:tcW w:w="1443" w:type="dxa"/>
            <w:tcBorders>
              <w:tl2br w:val="nil"/>
              <w:tr2bl w:val="nil"/>
            </w:tcBorders>
            <w:shd w:val="clear" w:color="auto" w:fill="auto"/>
            <w:vAlign w:val="center"/>
          </w:tcPr>
          <w:p w14:paraId="0D3965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2.6755 </w:t>
            </w:r>
          </w:p>
        </w:tc>
        <w:tc>
          <w:tcPr>
            <w:tcW w:w="1394" w:type="dxa"/>
            <w:tcBorders>
              <w:tl2br w:val="nil"/>
              <w:tr2bl w:val="nil"/>
            </w:tcBorders>
            <w:shd w:val="clear" w:color="auto" w:fill="auto"/>
            <w:vAlign w:val="center"/>
          </w:tcPr>
          <w:p w14:paraId="2AAE7D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8362.0000 </w:t>
            </w:r>
          </w:p>
        </w:tc>
        <w:tc>
          <w:tcPr>
            <w:tcW w:w="1079" w:type="dxa"/>
            <w:tcBorders>
              <w:tl2br w:val="nil"/>
              <w:tr2bl w:val="nil"/>
            </w:tcBorders>
            <w:shd w:val="clear" w:color="auto" w:fill="auto"/>
            <w:vAlign w:val="center"/>
          </w:tcPr>
          <w:p w14:paraId="10265E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18828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2.6755 </w:t>
            </w:r>
          </w:p>
        </w:tc>
        <w:tc>
          <w:tcPr>
            <w:tcW w:w="1353" w:type="dxa"/>
            <w:tcBorders>
              <w:tl2br w:val="nil"/>
              <w:tr2bl w:val="nil"/>
            </w:tcBorders>
            <w:shd w:val="clear" w:color="auto" w:fill="auto"/>
            <w:vAlign w:val="center"/>
          </w:tcPr>
          <w:p w14:paraId="2BE3AD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8362.0000 </w:t>
            </w:r>
          </w:p>
        </w:tc>
      </w:tr>
      <w:tr w14:paraId="2F7C58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C602D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100 </w:t>
            </w:r>
          </w:p>
        </w:tc>
        <w:tc>
          <w:tcPr>
            <w:tcW w:w="1443" w:type="dxa"/>
            <w:tcBorders>
              <w:tl2br w:val="nil"/>
              <w:tr2bl w:val="nil"/>
            </w:tcBorders>
            <w:shd w:val="clear" w:color="auto" w:fill="auto"/>
            <w:vAlign w:val="center"/>
          </w:tcPr>
          <w:p w14:paraId="54149B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2.8867 </w:t>
            </w:r>
          </w:p>
        </w:tc>
        <w:tc>
          <w:tcPr>
            <w:tcW w:w="1394" w:type="dxa"/>
            <w:tcBorders>
              <w:tl2br w:val="nil"/>
              <w:tr2bl w:val="nil"/>
            </w:tcBorders>
            <w:shd w:val="clear" w:color="auto" w:fill="auto"/>
            <w:vAlign w:val="center"/>
          </w:tcPr>
          <w:p w14:paraId="48E4E8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7454.7000 </w:t>
            </w:r>
          </w:p>
        </w:tc>
        <w:tc>
          <w:tcPr>
            <w:tcW w:w="1079" w:type="dxa"/>
            <w:tcBorders>
              <w:tl2br w:val="nil"/>
              <w:tr2bl w:val="nil"/>
            </w:tcBorders>
            <w:shd w:val="clear" w:color="auto" w:fill="auto"/>
            <w:vAlign w:val="center"/>
          </w:tcPr>
          <w:p w14:paraId="25FE2B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5568B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2.8867 </w:t>
            </w:r>
          </w:p>
        </w:tc>
        <w:tc>
          <w:tcPr>
            <w:tcW w:w="1353" w:type="dxa"/>
            <w:tcBorders>
              <w:tl2br w:val="nil"/>
              <w:tr2bl w:val="nil"/>
            </w:tcBorders>
            <w:shd w:val="clear" w:color="auto" w:fill="auto"/>
            <w:vAlign w:val="center"/>
          </w:tcPr>
          <w:p w14:paraId="06D986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7454.7000 </w:t>
            </w:r>
          </w:p>
        </w:tc>
      </w:tr>
      <w:tr w14:paraId="6BDD8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2DD11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110 </w:t>
            </w:r>
          </w:p>
        </w:tc>
        <w:tc>
          <w:tcPr>
            <w:tcW w:w="1443" w:type="dxa"/>
            <w:tcBorders>
              <w:tl2br w:val="nil"/>
              <w:tr2bl w:val="nil"/>
            </w:tcBorders>
            <w:shd w:val="clear" w:color="auto" w:fill="auto"/>
            <w:vAlign w:val="center"/>
          </w:tcPr>
          <w:p w14:paraId="287D38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3.0927 </w:t>
            </w:r>
          </w:p>
        </w:tc>
        <w:tc>
          <w:tcPr>
            <w:tcW w:w="1394" w:type="dxa"/>
            <w:tcBorders>
              <w:tl2br w:val="nil"/>
              <w:tr2bl w:val="nil"/>
            </w:tcBorders>
            <w:shd w:val="clear" w:color="auto" w:fill="auto"/>
            <w:vAlign w:val="center"/>
          </w:tcPr>
          <w:p w14:paraId="37D89A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6705.6000 </w:t>
            </w:r>
          </w:p>
        </w:tc>
        <w:tc>
          <w:tcPr>
            <w:tcW w:w="1079" w:type="dxa"/>
            <w:tcBorders>
              <w:tl2br w:val="nil"/>
              <w:tr2bl w:val="nil"/>
            </w:tcBorders>
            <w:shd w:val="clear" w:color="auto" w:fill="auto"/>
            <w:vAlign w:val="center"/>
          </w:tcPr>
          <w:p w14:paraId="6C560F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D7393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3.0927 </w:t>
            </w:r>
          </w:p>
        </w:tc>
        <w:tc>
          <w:tcPr>
            <w:tcW w:w="1353" w:type="dxa"/>
            <w:tcBorders>
              <w:tl2br w:val="nil"/>
              <w:tr2bl w:val="nil"/>
            </w:tcBorders>
            <w:shd w:val="clear" w:color="auto" w:fill="auto"/>
            <w:vAlign w:val="center"/>
          </w:tcPr>
          <w:p w14:paraId="289E29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6705.6000 </w:t>
            </w:r>
          </w:p>
        </w:tc>
      </w:tr>
      <w:tr w14:paraId="501540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D3947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 </w:t>
            </w:r>
          </w:p>
        </w:tc>
        <w:tc>
          <w:tcPr>
            <w:tcW w:w="1443" w:type="dxa"/>
            <w:tcBorders>
              <w:tl2br w:val="nil"/>
              <w:tr2bl w:val="nil"/>
            </w:tcBorders>
            <w:shd w:val="clear" w:color="auto" w:fill="auto"/>
            <w:vAlign w:val="center"/>
          </w:tcPr>
          <w:p w14:paraId="03F97B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3.2939 </w:t>
            </w:r>
          </w:p>
        </w:tc>
        <w:tc>
          <w:tcPr>
            <w:tcW w:w="1394" w:type="dxa"/>
            <w:tcBorders>
              <w:tl2br w:val="nil"/>
              <w:tr2bl w:val="nil"/>
            </w:tcBorders>
            <w:shd w:val="clear" w:color="auto" w:fill="auto"/>
            <w:vAlign w:val="center"/>
          </w:tcPr>
          <w:p w14:paraId="4CB06D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6076.9000 </w:t>
            </w:r>
          </w:p>
        </w:tc>
        <w:tc>
          <w:tcPr>
            <w:tcW w:w="1079" w:type="dxa"/>
            <w:tcBorders>
              <w:tl2br w:val="nil"/>
              <w:tr2bl w:val="nil"/>
            </w:tcBorders>
            <w:shd w:val="clear" w:color="auto" w:fill="auto"/>
            <w:vAlign w:val="center"/>
          </w:tcPr>
          <w:p w14:paraId="7161D1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21BD1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3.2939 </w:t>
            </w:r>
          </w:p>
        </w:tc>
        <w:tc>
          <w:tcPr>
            <w:tcW w:w="1353" w:type="dxa"/>
            <w:tcBorders>
              <w:tl2br w:val="nil"/>
              <w:tr2bl w:val="nil"/>
            </w:tcBorders>
            <w:shd w:val="clear" w:color="auto" w:fill="auto"/>
            <w:vAlign w:val="center"/>
          </w:tcPr>
          <w:p w14:paraId="0BB8F9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6076.9000 </w:t>
            </w:r>
          </w:p>
        </w:tc>
      </w:tr>
      <w:tr w14:paraId="64AB4E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59485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 </w:t>
            </w:r>
          </w:p>
        </w:tc>
        <w:tc>
          <w:tcPr>
            <w:tcW w:w="1443" w:type="dxa"/>
            <w:tcBorders>
              <w:tl2br w:val="nil"/>
              <w:tr2bl w:val="nil"/>
            </w:tcBorders>
            <w:shd w:val="clear" w:color="auto" w:fill="auto"/>
            <w:vAlign w:val="center"/>
          </w:tcPr>
          <w:p w14:paraId="34FE28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3.4908 </w:t>
            </w:r>
          </w:p>
        </w:tc>
        <w:tc>
          <w:tcPr>
            <w:tcW w:w="1394" w:type="dxa"/>
            <w:tcBorders>
              <w:tl2br w:val="nil"/>
              <w:tr2bl w:val="nil"/>
            </w:tcBorders>
            <w:shd w:val="clear" w:color="auto" w:fill="auto"/>
            <w:vAlign w:val="center"/>
          </w:tcPr>
          <w:p w14:paraId="18BC53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5547.1000 </w:t>
            </w:r>
          </w:p>
        </w:tc>
        <w:tc>
          <w:tcPr>
            <w:tcW w:w="1079" w:type="dxa"/>
            <w:tcBorders>
              <w:tl2br w:val="nil"/>
              <w:tr2bl w:val="nil"/>
            </w:tcBorders>
            <w:shd w:val="clear" w:color="auto" w:fill="auto"/>
            <w:vAlign w:val="center"/>
          </w:tcPr>
          <w:p w14:paraId="771C29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E1E68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3.4908 </w:t>
            </w:r>
          </w:p>
        </w:tc>
        <w:tc>
          <w:tcPr>
            <w:tcW w:w="1353" w:type="dxa"/>
            <w:tcBorders>
              <w:tl2br w:val="nil"/>
              <w:tr2bl w:val="nil"/>
            </w:tcBorders>
            <w:shd w:val="clear" w:color="auto" w:fill="auto"/>
            <w:vAlign w:val="center"/>
          </w:tcPr>
          <w:p w14:paraId="293E39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5547.1000 </w:t>
            </w:r>
          </w:p>
        </w:tc>
      </w:tr>
      <w:tr w14:paraId="6DE94E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6EFD6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140 </w:t>
            </w:r>
          </w:p>
        </w:tc>
        <w:tc>
          <w:tcPr>
            <w:tcW w:w="1443" w:type="dxa"/>
            <w:tcBorders>
              <w:tl2br w:val="nil"/>
              <w:tr2bl w:val="nil"/>
            </w:tcBorders>
            <w:shd w:val="clear" w:color="auto" w:fill="auto"/>
            <w:vAlign w:val="center"/>
          </w:tcPr>
          <w:p w14:paraId="43D63A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3.6837 </w:t>
            </w:r>
          </w:p>
        </w:tc>
        <w:tc>
          <w:tcPr>
            <w:tcW w:w="1394" w:type="dxa"/>
            <w:tcBorders>
              <w:tl2br w:val="nil"/>
              <w:tr2bl w:val="nil"/>
            </w:tcBorders>
            <w:shd w:val="clear" w:color="auto" w:fill="auto"/>
            <w:vAlign w:val="center"/>
          </w:tcPr>
          <w:p w14:paraId="144D5F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5093.9000 </w:t>
            </w:r>
          </w:p>
        </w:tc>
        <w:tc>
          <w:tcPr>
            <w:tcW w:w="1079" w:type="dxa"/>
            <w:tcBorders>
              <w:tl2br w:val="nil"/>
              <w:tr2bl w:val="nil"/>
            </w:tcBorders>
            <w:shd w:val="clear" w:color="auto" w:fill="auto"/>
            <w:vAlign w:val="center"/>
          </w:tcPr>
          <w:p w14:paraId="150D2B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18FE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3.6837 </w:t>
            </w:r>
          </w:p>
        </w:tc>
        <w:tc>
          <w:tcPr>
            <w:tcW w:w="1353" w:type="dxa"/>
            <w:tcBorders>
              <w:tl2br w:val="nil"/>
              <w:tr2bl w:val="nil"/>
            </w:tcBorders>
            <w:shd w:val="clear" w:color="auto" w:fill="auto"/>
            <w:vAlign w:val="center"/>
          </w:tcPr>
          <w:p w14:paraId="5B52CB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5093.9000 </w:t>
            </w:r>
          </w:p>
        </w:tc>
      </w:tr>
      <w:tr w14:paraId="74C3F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C489D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 </w:t>
            </w:r>
          </w:p>
        </w:tc>
        <w:tc>
          <w:tcPr>
            <w:tcW w:w="1443" w:type="dxa"/>
            <w:tcBorders>
              <w:tl2br w:val="nil"/>
              <w:tr2bl w:val="nil"/>
            </w:tcBorders>
            <w:shd w:val="clear" w:color="auto" w:fill="auto"/>
            <w:vAlign w:val="center"/>
          </w:tcPr>
          <w:p w14:paraId="294D70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3.8729 </w:t>
            </w:r>
          </w:p>
        </w:tc>
        <w:tc>
          <w:tcPr>
            <w:tcW w:w="1394" w:type="dxa"/>
            <w:tcBorders>
              <w:tl2br w:val="nil"/>
              <w:tr2bl w:val="nil"/>
            </w:tcBorders>
            <w:shd w:val="clear" w:color="auto" w:fill="auto"/>
            <w:vAlign w:val="center"/>
          </w:tcPr>
          <w:p w14:paraId="67A2FD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4702.8000 </w:t>
            </w:r>
          </w:p>
        </w:tc>
        <w:tc>
          <w:tcPr>
            <w:tcW w:w="1079" w:type="dxa"/>
            <w:tcBorders>
              <w:tl2br w:val="nil"/>
              <w:tr2bl w:val="nil"/>
            </w:tcBorders>
            <w:shd w:val="clear" w:color="auto" w:fill="auto"/>
            <w:vAlign w:val="center"/>
          </w:tcPr>
          <w:p w14:paraId="14CDB7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4FAFB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3.8729 </w:t>
            </w:r>
          </w:p>
        </w:tc>
        <w:tc>
          <w:tcPr>
            <w:tcW w:w="1353" w:type="dxa"/>
            <w:tcBorders>
              <w:tl2br w:val="nil"/>
              <w:tr2bl w:val="nil"/>
            </w:tcBorders>
            <w:shd w:val="clear" w:color="auto" w:fill="auto"/>
            <w:vAlign w:val="center"/>
          </w:tcPr>
          <w:p w14:paraId="623017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4702.8000 </w:t>
            </w:r>
          </w:p>
        </w:tc>
      </w:tr>
      <w:tr w14:paraId="10B35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A4077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160 </w:t>
            </w:r>
          </w:p>
        </w:tc>
        <w:tc>
          <w:tcPr>
            <w:tcW w:w="1443" w:type="dxa"/>
            <w:tcBorders>
              <w:tl2br w:val="nil"/>
              <w:tr2bl w:val="nil"/>
            </w:tcBorders>
            <w:shd w:val="clear" w:color="auto" w:fill="auto"/>
            <w:vAlign w:val="center"/>
          </w:tcPr>
          <w:p w14:paraId="32B8B3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4.0587 </w:t>
            </w:r>
          </w:p>
        </w:tc>
        <w:tc>
          <w:tcPr>
            <w:tcW w:w="1394" w:type="dxa"/>
            <w:tcBorders>
              <w:tl2br w:val="nil"/>
              <w:tr2bl w:val="nil"/>
            </w:tcBorders>
            <w:shd w:val="clear" w:color="auto" w:fill="auto"/>
            <w:vAlign w:val="center"/>
          </w:tcPr>
          <w:p w14:paraId="7CE7AE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4366.2000 </w:t>
            </w:r>
          </w:p>
        </w:tc>
        <w:tc>
          <w:tcPr>
            <w:tcW w:w="1079" w:type="dxa"/>
            <w:tcBorders>
              <w:tl2br w:val="nil"/>
              <w:tr2bl w:val="nil"/>
            </w:tcBorders>
            <w:shd w:val="clear" w:color="auto" w:fill="auto"/>
            <w:vAlign w:val="center"/>
          </w:tcPr>
          <w:p w14:paraId="22B5D6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4F9F9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4.0587 </w:t>
            </w:r>
          </w:p>
        </w:tc>
        <w:tc>
          <w:tcPr>
            <w:tcW w:w="1353" w:type="dxa"/>
            <w:tcBorders>
              <w:tl2br w:val="nil"/>
              <w:tr2bl w:val="nil"/>
            </w:tcBorders>
            <w:shd w:val="clear" w:color="auto" w:fill="auto"/>
            <w:vAlign w:val="center"/>
          </w:tcPr>
          <w:p w14:paraId="0BDFA9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4366.2000 </w:t>
            </w:r>
          </w:p>
        </w:tc>
      </w:tr>
      <w:tr w14:paraId="044B9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8A908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170 </w:t>
            </w:r>
          </w:p>
        </w:tc>
        <w:tc>
          <w:tcPr>
            <w:tcW w:w="1443" w:type="dxa"/>
            <w:tcBorders>
              <w:tl2br w:val="nil"/>
              <w:tr2bl w:val="nil"/>
            </w:tcBorders>
            <w:shd w:val="clear" w:color="auto" w:fill="auto"/>
            <w:vAlign w:val="center"/>
          </w:tcPr>
          <w:p w14:paraId="3CD664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4.2415 </w:t>
            </w:r>
          </w:p>
        </w:tc>
        <w:tc>
          <w:tcPr>
            <w:tcW w:w="1394" w:type="dxa"/>
            <w:tcBorders>
              <w:tl2br w:val="nil"/>
              <w:tr2bl w:val="nil"/>
            </w:tcBorders>
            <w:shd w:val="clear" w:color="auto" w:fill="auto"/>
            <w:vAlign w:val="center"/>
          </w:tcPr>
          <w:p w14:paraId="2E4EBA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4067.3000 </w:t>
            </w:r>
          </w:p>
        </w:tc>
        <w:tc>
          <w:tcPr>
            <w:tcW w:w="1079" w:type="dxa"/>
            <w:tcBorders>
              <w:tl2br w:val="nil"/>
              <w:tr2bl w:val="nil"/>
            </w:tcBorders>
            <w:shd w:val="clear" w:color="auto" w:fill="auto"/>
            <w:vAlign w:val="center"/>
          </w:tcPr>
          <w:p w14:paraId="6A58A8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B4CD9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4.2415 </w:t>
            </w:r>
          </w:p>
        </w:tc>
        <w:tc>
          <w:tcPr>
            <w:tcW w:w="1353" w:type="dxa"/>
            <w:tcBorders>
              <w:tl2br w:val="nil"/>
              <w:tr2bl w:val="nil"/>
            </w:tcBorders>
            <w:shd w:val="clear" w:color="auto" w:fill="auto"/>
            <w:vAlign w:val="center"/>
          </w:tcPr>
          <w:p w14:paraId="18CE83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4067.3000 </w:t>
            </w:r>
          </w:p>
        </w:tc>
      </w:tr>
      <w:tr w14:paraId="42A69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F2B0F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180 </w:t>
            </w:r>
          </w:p>
        </w:tc>
        <w:tc>
          <w:tcPr>
            <w:tcW w:w="1443" w:type="dxa"/>
            <w:tcBorders>
              <w:tl2br w:val="nil"/>
              <w:tr2bl w:val="nil"/>
            </w:tcBorders>
            <w:shd w:val="clear" w:color="auto" w:fill="auto"/>
            <w:vAlign w:val="center"/>
          </w:tcPr>
          <w:p w14:paraId="5963B6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4.4213 </w:t>
            </w:r>
          </w:p>
        </w:tc>
        <w:tc>
          <w:tcPr>
            <w:tcW w:w="1394" w:type="dxa"/>
            <w:tcBorders>
              <w:tl2br w:val="nil"/>
              <w:tr2bl w:val="nil"/>
            </w:tcBorders>
            <w:shd w:val="clear" w:color="auto" w:fill="auto"/>
            <w:vAlign w:val="center"/>
          </w:tcPr>
          <w:p w14:paraId="301444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3805.8000 </w:t>
            </w:r>
          </w:p>
        </w:tc>
        <w:tc>
          <w:tcPr>
            <w:tcW w:w="1079" w:type="dxa"/>
            <w:tcBorders>
              <w:tl2br w:val="nil"/>
              <w:tr2bl w:val="nil"/>
            </w:tcBorders>
            <w:shd w:val="clear" w:color="auto" w:fill="auto"/>
            <w:vAlign w:val="center"/>
          </w:tcPr>
          <w:p w14:paraId="0D4143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60BB8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4.4213 </w:t>
            </w:r>
          </w:p>
        </w:tc>
        <w:tc>
          <w:tcPr>
            <w:tcW w:w="1353" w:type="dxa"/>
            <w:tcBorders>
              <w:tl2br w:val="nil"/>
              <w:tr2bl w:val="nil"/>
            </w:tcBorders>
            <w:shd w:val="clear" w:color="auto" w:fill="auto"/>
            <w:vAlign w:val="center"/>
          </w:tcPr>
          <w:p w14:paraId="50862D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3805.8000 </w:t>
            </w:r>
          </w:p>
        </w:tc>
      </w:tr>
      <w:tr w14:paraId="00131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74140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190 </w:t>
            </w:r>
          </w:p>
        </w:tc>
        <w:tc>
          <w:tcPr>
            <w:tcW w:w="1443" w:type="dxa"/>
            <w:tcBorders>
              <w:tl2br w:val="nil"/>
              <w:tr2bl w:val="nil"/>
            </w:tcBorders>
            <w:shd w:val="clear" w:color="auto" w:fill="auto"/>
            <w:vAlign w:val="center"/>
          </w:tcPr>
          <w:p w14:paraId="3CD9EC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4.5983 </w:t>
            </w:r>
          </w:p>
        </w:tc>
        <w:tc>
          <w:tcPr>
            <w:tcW w:w="1394" w:type="dxa"/>
            <w:tcBorders>
              <w:tl2br w:val="nil"/>
              <w:tr2bl w:val="nil"/>
            </w:tcBorders>
            <w:shd w:val="clear" w:color="auto" w:fill="auto"/>
            <w:vAlign w:val="center"/>
          </w:tcPr>
          <w:p w14:paraId="6597A1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3576.1000 </w:t>
            </w:r>
          </w:p>
        </w:tc>
        <w:tc>
          <w:tcPr>
            <w:tcW w:w="1079" w:type="dxa"/>
            <w:tcBorders>
              <w:tl2br w:val="nil"/>
              <w:tr2bl w:val="nil"/>
            </w:tcBorders>
            <w:shd w:val="clear" w:color="auto" w:fill="auto"/>
            <w:vAlign w:val="center"/>
          </w:tcPr>
          <w:p w14:paraId="085866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63EF6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4.5983 </w:t>
            </w:r>
          </w:p>
        </w:tc>
        <w:tc>
          <w:tcPr>
            <w:tcW w:w="1353" w:type="dxa"/>
            <w:tcBorders>
              <w:tl2br w:val="nil"/>
              <w:tr2bl w:val="nil"/>
            </w:tcBorders>
            <w:shd w:val="clear" w:color="auto" w:fill="auto"/>
            <w:vAlign w:val="center"/>
          </w:tcPr>
          <w:p w14:paraId="56FDA8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3576.1000 </w:t>
            </w:r>
          </w:p>
        </w:tc>
      </w:tr>
      <w:tr w14:paraId="5A6358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D9891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 </w:t>
            </w:r>
          </w:p>
        </w:tc>
        <w:tc>
          <w:tcPr>
            <w:tcW w:w="1443" w:type="dxa"/>
            <w:tcBorders>
              <w:tl2br w:val="nil"/>
              <w:tr2bl w:val="nil"/>
            </w:tcBorders>
            <w:shd w:val="clear" w:color="auto" w:fill="auto"/>
            <w:vAlign w:val="center"/>
          </w:tcPr>
          <w:p w14:paraId="2FEBDA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4.7729 </w:t>
            </w:r>
          </w:p>
        </w:tc>
        <w:tc>
          <w:tcPr>
            <w:tcW w:w="1394" w:type="dxa"/>
            <w:tcBorders>
              <w:tl2br w:val="nil"/>
              <w:tr2bl w:val="nil"/>
            </w:tcBorders>
            <w:shd w:val="clear" w:color="auto" w:fill="auto"/>
            <w:vAlign w:val="center"/>
          </w:tcPr>
          <w:p w14:paraId="56E26C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3367.8000 </w:t>
            </w:r>
          </w:p>
        </w:tc>
        <w:tc>
          <w:tcPr>
            <w:tcW w:w="1079" w:type="dxa"/>
            <w:tcBorders>
              <w:tl2br w:val="nil"/>
              <w:tr2bl w:val="nil"/>
            </w:tcBorders>
            <w:shd w:val="clear" w:color="auto" w:fill="auto"/>
            <w:vAlign w:val="center"/>
          </w:tcPr>
          <w:p w14:paraId="4AF9FA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335B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4.7729 </w:t>
            </w:r>
          </w:p>
        </w:tc>
        <w:tc>
          <w:tcPr>
            <w:tcW w:w="1353" w:type="dxa"/>
            <w:tcBorders>
              <w:tl2br w:val="nil"/>
              <w:tr2bl w:val="nil"/>
            </w:tcBorders>
            <w:shd w:val="clear" w:color="auto" w:fill="auto"/>
            <w:vAlign w:val="center"/>
          </w:tcPr>
          <w:p w14:paraId="566CF9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3367.8000 </w:t>
            </w:r>
          </w:p>
        </w:tc>
      </w:tr>
      <w:tr w14:paraId="7F28A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93361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210 </w:t>
            </w:r>
          </w:p>
        </w:tc>
        <w:tc>
          <w:tcPr>
            <w:tcW w:w="1443" w:type="dxa"/>
            <w:tcBorders>
              <w:tl2br w:val="nil"/>
              <w:tr2bl w:val="nil"/>
            </w:tcBorders>
            <w:shd w:val="clear" w:color="auto" w:fill="auto"/>
            <w:vAlign w:val="center"/>
          </w:tcPr>
          <w:p w14:paraId="330EEA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4.9452 </w:t>
            </w:r>
          </w:p>
        </w:tc>
        <w:tc>
          <w:tcPr>
            <w:tcW w:w="1394" w:type="dxa"/>
            <w:tcBorders>
              <w:tl2br w:val="nil"/>
              <w:tr2bl w:val="nil"/>
            </w:tcBorders>
            <w:shd w:val="clear" w:color="auto" w:fill="auto"/>
            <w:vAlign w:val="center"/>
          </w:tcPr>
          <w:p w14:paraId="08A8C9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3182.0000 </w:t>
            </w:r>
          </w:p>
        </w:tc>
        <w:tc>
          <w:tcPr>
            <w:tcW w:w="1079" w:type="dxa"/>
            <w:tcBorders>
              <w:tl2br w:val="nil"/>
              <w:tr2bl w:val="nil"/>
            </w:tcBorders>
            <w:shd w:val="clear" w:color="auto" w:fill="auto"/>
            <w:vAlign w:val="center"/>
          </w:tcPr>
          <w:p w14:paraId="3AC6DE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82D21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4.9452 </w:t>
            </w:r>
          </w:p>
        </w:tc>
        <w:tc>
          <w:tcPr>
            <w:tcW w:w="1353" w:type="dxa"/>
            <w:tcBorders>
              <w:tl2br w:val="nil"/>
              <w:tr2bl w:val="nil"/>
            </w:tcBorders>
            <w:shd w:val="clear" w:color="auto" w:fill="auto"/>
            <w:vAlign w:val="center"/>
          </w:tcPr>
          <w:p w14:paraId="098B40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3182.0000 </w:t>
            </w:r>
          </w:p>
        </w:tc>
      </w:tr>
      <w:tr w14:paraId="4771B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C8D90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220 </w:t>
            </w:r>
          </w:p>
        </w:tc>
        <w:tc>
          <w:tcPr>
            <w:tcW w:w="1443" w:type="dxa"/>
            <w:tcBorders>
              <w:tl2br w:val="nil"/>
              <w:tr2bl w:val="nil"/>
            </w:tcBorders>
            <w:shd w:val="clear" w:color="auto" w:fill="auto"/>
            <w:vAlign w:val="center"/>
          </w:tcPr>
          <w:p w14:paraId="307710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5.1151 </w:t>
            </w:r>
          </w:p>
        </w:tc>
        <w:tc>
          <w:tcPr>
            <w:tcW w:w="1394" w:type="dxa"/>
            <w:tcBorders>
              <w:tl2br w:val="nil"/>
              <w:tr2bl w:val="nil"/>
            </w:tcBorders>
            <w:shd w:val="clear" w:color="auto" w:fill="auto"/>
            <w:vAlign w:val="center"/>
          </w:tcPr>
          <w:p w14:paraId="5696FE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3016.0000 </w:t>
            </w:r>
          </w:p>
        </w:tc>
        <w:tc>
          <w:tcPr>
            <w:tcW w:w="1079" w:type="dxa"/>
            <w:tcBorders>
              <w:tl2br w:val="nil"/>
              <w:tr2bl w:val="nil"/>
            </w:tcBorders>
            <w:shd w:val="clear" w:color="auto" w:fill="auto"/>
            <w:vAlign w:val="center"/>
          </w:tcPr>
          <w:p w14:paraId="11A726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DA82F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5.1151 </w:t>
            </w:r>
          </w:p>
        </w:tc>
        <w:tc>
          <w:tcPr>
            <w:tcW w:w="1353" w:type="dxa"/>
            <w:tcBorders>
              <w:tl2br w:val="nil"/>
              <w:tr2bl w:val="nil"/>
            </w:tcBorders>
            <w:shd w:val="clear" w:color="auto" w:fill="auto"/>
            <w:vAlign w:val="center"/>
          </w:tcPr>
          <w:p w14:paraId="79A26D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3016.0000 </w:t>
            </w:r>
          </w:p>
        </w:tc>
      </w:tr>
      <w:tr w14:paraId="1CACD1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D605E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230 </w:t>
            </w:r>
          </w:p>
        </w:tc>
        <w:tc>
          <w:tcPr>
            <w:tcW w:w="1443" w:type="dxa"/>
            <w:tcBorders>
              <w:tl2br w:val="nil"/>
              <w:tr2bl w:val="nil"/>
            </w:tcBorders>
            <w:shd w:val="clear" w:color="auto" w:fill="auto"/>
            <w:vAlign w:val="center"/>
          </w:tcPr>
          <w:p w14:paraId="419E26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5.2830 </w:t>
            </w:r>
          </w:p>
        </w:tc>
        <w:tc>
          <w:tcPr>
            <w:tcW w:w="1394" w:type="dxa"/>
            <w:tcBorders>
              <w:tl2br w:val="nil"/>
              <w:tr2bl w:val="nil"/>
            </w:tcBorders>
            <w:shd w:val="clear" w:color="auto" w:fill="auto"/>
            <w:vAlign w:val="center"/>
          </w:tcPr>
          <w:p w14:paraId="1A1876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2865.7000 </w:t>
            </w:r>
          </w:p>
        </w:tc>
        <w:tc>
          <w:tcPr>
            <w:tcW w:w="1079" w:type="dxa"/>
            <w:tcBorders>
              <w:tl2br w:val="nil"/>
              <w:tr2bl w:val="nil"/>
            </w:tcBorders>
            <w:shd w:val="clear" w:color="auto" w:fill="auto"/>
            <w:vAlign w:val="center"/>
          </w:tcPr>
          <w:p w14:paraId="714773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E7D91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5.2830 </w:t>
            </w:r>
          </w:p>
        </w:tc>
        <w:tc>
          <w:tcPr>
            <w:tcW w:w="1353" w:type="dxa"/>
            <w:tcBorders>
              <w:tl2br w:val="nil"/>
              <w:tr2bl w:val="nil"/>
            </w:tcBorders>
            <w:shd w:val="clear" w:color="auto" w:fill="auto"/>
            <w:vAlign w:val="center"/>
          </w:tcPr>
          <w:p w14:paraId="6919C9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2865.7000 </w:t>
            </w:r>
          </w:p>
        </w:tc>
      </w:tr>
      <w:tr w14:paraId="26D14A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51FFB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240 </w:t>
            </w:r>
          </w:p>
        </w:tc>
        <w:tc>
          <w:tcPr>
            <w:tcW w:w="1443" w:type="dxa"/>
            <w:tcBorders>
              <w:tl2br w:val="nil"/>
              <w:tr2bl w:val="nil"/>
            </w:tcBorders>
            <w:shd w:val="clear" w:color="auto" w:fill="auto"/>
            <w:vAlign w:val="center"/>
          </w:tcPr>
          <w:p w14:paraId="150148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5.4490 </w:t>
            </w:r>
          </w:p>
        </w:tc>
        <w:tc>
          <w:tcPr>
            <w:tcW w:w="1394" w:type="dxa"/>
            <w:tcBorders>
              <w:tl2br w:val="nil"/>
              <w:tr2bl w:val="nil"/>
            </w:tcBorders>
            <w:shd w:val="clear" w:color="auto" w:fill="auto"/>
            <w:vAlign w:val="center"/>
          </w:tcPr>
          <w:p w14:paraId="427DD3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2727.3000 </w:t>
            </w:r>
          </w:p>
        </w:tc>
        <w:tc>
          <w:tcPr>
            <w:tcW w:w="1079" w:type="dxa"/>
            <w:tcBorders>
              <w:tl2br w:val="nil"/>
              <w:tr2bl w:val="nil"/>
            </w:tcBorders>
            <w:shd w:val="clear" w:color="auto" w:fill="auto"/>
            <w:vAlign w:val="center"/>
          </w:tcPr>
          <w:p w14:paraId="04CBB3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BA86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5.4490 </w:t>
            </w:r>
          </w:p>
        </w:tc>
        <w:tc>
          <w:tcPr>
            <w:tcW w:w="1353" w:type="dxa"/>
            <w:tcBorders>
              <w:tl2br w:val="nil"/>
              <w:tr2bl w:val="nil"/>
            </w:tcBorders>
            <w:shd w:val="clear" w:color="auto" w:fill="auto"/>
            <w:vAlign w:val="center"/>
          </w:tcPr>
          <w:p w14:paraId="73C6C8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2727.3000 </w:t>
            </w:r>
          </w:p>
        </w:tc>
      </w:tr>
      <w:tr w14:paraId="66C3B8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C2C52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250 </w:t>
            </w:r>
          </w:p>
        </w:tc>
        <w:tc>
          <w:tcPr>
            <w:tcW w:w="1443" w:type="dxa"/>
            <w:tcBorders>
              <w:tl2br w:val="nil"/>
              <w:tr2bl w:val="nil"/>
            </w:tcBorders>
            <w:shd w:val="clear" w:color="auto" w:fill="auto"/>
            <w:vAlign w:val="center"/>
          </w:tcPr>
          <w:p w14:paraId="3F96DA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5.6131 </w:t>
            </w:r>
          </w:p>
        </w:tc>
        <w:tc>
          <w:tcPr>
            <w:tcW w:w="1394" w:type="dxa"/>
            <w:tcBorders>
              <w:tl2br w:val="nil"/>
              <w:tr2bl w:val="nil"/>
            </w:tcBorders>
            <w:shd w:val="clear" w:color="auto" w:fill="auto"/>
            <w:vAlign w:val="center"/>
          </w:tcPr>
          <w:p w14:paraId="7F0AFD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2601.8000 </w:t>
            </w:r>
          </w:p>
        </w:tc>
        <w:tc>
          <w:tcPr>
            <w:tcW w:w="1079" w:type="dxa"/>
            <w:tcBorders>
              <w:tl2br w:val="nil"/>
              <w:tr2bl w:val="nil"/>
            </w:tcBorders>
            <w:shd w:val="clear" w:color="auto" w:fill="auto"/>
            <w:vAlign w:val="center"/>
          </w:tcPr>
          <w:p w14:paraId="40AF84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C62C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5.6131 </w:t>
            </w:r>
          </w:p>
        </w:tc>
        <w:tc>
          <w:tcPr>
            <w:tcW w:w="1353" w:type="dxa"/>
            <w:tcBorders>
              <w:tl2br w:val="nil"/>
              <w:tr2bl w:val="nil"/>
            </w:tcBorders>
            <w:shd w:val="clear" w:color="auto" w:fill="auto"/>
            <w:vAlign w:val="center"/>
          </w:tcPr>
          <w:p w14:paraId="766D43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2601.8000 </w:t>
            </w:r>
          </w:p>
        </w:tc>
      </w:tr>
      <w:tr w14:paraId="7358B0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77268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 </w:t>
            </w:r>
          </w:p>
        </w:tc>
        <w:tc>
          <w:tcPr>
            <w:tcW w:w="1443" w:type="dxa"/>
            <w:tcBorders>
              <w:tl2br w:val="nil"/>
              <w:tr2bl w:val="nil"/>
            </w:tcBorders>
            <w:shd w:val="clear" w:color="auto" w:fill="auto"/>
            <w:vAlign w:val="center"/>
          </w:tcPr>
          <w:p w14:paraId="0040F0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5.7753 </w:t>
            </w:r>
          </w:p>
        </w:tc>
        <w:tc>
          <w:tcPr>
            <w:tcW w:w="1394" w:type="dxa"/>
            <w:tcBorders>
              <w:tl2br w:val="nil"/>
              <w:tr2bl w:val="nil"/>
            </w:tcBorders>
            <w:shd w:val="clear" w:color="auto" w:fill="auto"/>
            <w:vAlign w:val="center"/>
          </w:tcPr>
          <w:p w14:paraId="47ABF8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2487.8000 </w:t>
            </w:r>
          </w:p>
        </w:tc>
        <w:tc>
          <w:tcPr>
            <w:tcW w:w="1079" w:type="dxa"/>
            <w:tcBorders>
              <w:tl2br w:val="nil"/>
              <w:tr2bl w:val="nil"/>
            </w:tcBorders>
            <w:shd w:val="clear" w:color="auto" w:fill="auto"/>
            <w:vAlign w:val="center"/>
          </w:tcPr>
          <w:p w14:paraId="33F616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13F1C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5.7753 </w:t>
            </w:r>
          </w:p>
        </w:tc>
        <w:tc>
          <w:tcPr>
            <w:tcW w:w="1353" w:type="dxa"/>
            <w:tcBorders>
              <w:tl2br w:val="nil"/>
              <w:tr2bl w:val="nil"/>
            </w:tcBorders>
            <w:shd w:val="clear" w:color="auto" w:fill="auto"/>
            <w:vAlign w:val="center"/>
          </w:tcPr>
          <w:p w14:paraId="641823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2487.8000 </w:t>
            </w:r>
          </w:p>
        </w:tc>
      </w:tr>
      <w:tr w14:paraId="3561B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9C421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270 </w:t>
            </w:r>
          </w:p>
        </w:tc>
        <w:tc>
          <w:tcPr>
            <w:tcW w:w="1443" w:type="dxa"/>
            <w:tcBorders>
              <w:tl2br w:val="nil"/>
              <w:tr2bl w:val="nil"/>
            </w:tcBorders>
            <w:shd w:val="clear" w:color="auto" w:fill="auto"/>
            <w:vAlign w:val="center"/>
          </w:tcPr>
          <w:p w14:paraId="5F7C06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5.9359 </w:t>
            </w:r>
          </w:p>
        </w:tc>
        <w:tc>
          <w:tcPr>
            <w:tcW w:w="1394" w:type="dxa"/>
            <w:tcBorders>
              <w:tl2br w:val="nil"/>
              <w:tr2bl w:val="nil"/>
            </w:tcBorders>
            <w:shd w:val="clear" w:color="auto" w:fill="auto"/>
            <w:vAlign w:val="center"/>
          </w:tcPr>
          <w:p w14:paraId="667E42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2383.8000 </w:t>
            </w:r>
          </w:p>
        </w:tc>
        <w:tc>
          <w:tcPr>
            <w:tcW w:w="1079" w:type="dxa"/>
            <w:tcBorders>
              <w:tl2br w:val="nil"/>
              <w:tr2bl w:val="nil"/>
            </w:tcBorders>
            <w:shd w:val="clear" w:color="auto" w:fill="auto"/>
            <w:vAlign w:val="center"/>
          </w:tcPr>
          <w:p w14:paraId="178FC3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0C89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5.9359 </w:t>
            </w:r>
          </w:p>
        </w:tc>
        <w:tc>
          <w:tcPr>
            <w:tcW w:w="1353" w:type="dxa"/>
            <w:tcBorders>
              <w:tl2br w:val="nil"/>
              <w:tr2bl w:val="nil"/>
            </w:tcBorders>
            <w:shd w:val="clear" w:color="auto" w:fill="auto"/>
            <w:vAlign w:val="center"/>
          </w:tcPr>
          <w:p w14:paraId="1244D8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2383.8000 </w:t>
            </w:r>
          </w:p>
        </w:tc>
      </w:tr>
      <w:tr w14:paraId="644BC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BBEB2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280 </w:t>
            </w:r>
          </w:p>
        </w:tc>
        <w:tc>
          <w:tcPr>
            <w:tcW w:w="1443" w:type="dxa"/>
            <w:tcBorders>
              <w:tl2br w:val="nil"/>
              <w:tr2bl w:val="nil"/>
            </w:tcBorders>
            <w:shd w:val="clear" w:color="auto" w:fill="auto"/>
            <w:vAlign w:val="center"/>
          </w:tcPr>
          <w:p w14:paraId="2475BF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6.0951 </w:t>
            </w:r>
          </w:p>
        </w:tc>
        <w:tc>
          <w:tcPr>
            <w:tcW w:w="1394" w:type="dxa"/>
            <w:tcBorders>
              <w:tl2br w:val="nil"/>
              <w:tr2bl w:val="nil"/>
            </w:tcBorders>
            <w:shd w:val="clear" w:color="auto" w:fill="auto"/>
            <w:vAlign w:val="center"/>
          </w:tcPr>
          <w:p w14:paraId="2DD150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2285.8000 </w:t>
            </w:r>
          </w:p>
        </w:tc>
        <w:tc>
          <w:tcPr>
            <w:tcW w:w="1079" w:type="dxa"/>
            <w:tcBorders>
              <w:tl2br w:val="nil"/>
              <w:tr2bl w:val="nil"/>
            </w:tcBorders>
            <w:shd w:val="clear" w:color="auto" w:fill="auto"/>
            <w:vAlign w:val="center"/>
          </w:tcPr>
          <w:p w14:paraId="2574B1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D1F98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6.0951 </w:t>
            </w:r>
          </w:p>
        </w:tc>
        <w:tc>
          <w:tcPr>
            <w:tcW w:w="1353" w:type="dxa"/>
            <w:tcBorders>
              <w:tl2br w:val="nil"/>
              <w:tr2bl w:val="nil"/>
            </w:tcBorders>
            <w:shd w:val="clear" w:color="auto" w:fill="auto"/>
            <w:vAlign w:val="center"/>
          </w:tcPr>
          <w:p w14:paraId="1EB37B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2285.8000 </w:t>
            </w:r>
          </w:p>
        </w:tc>
      </w:tr>
      <w:tr w14:paraId="5B1522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BE9B4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290 </w:t>
            </w:r>
          </w:p>
        </w:tc>
        <w:tc>
          <w:tcPr>
            <w:tcW w:w="1443" w:type="dxa"/>
            <w:tcBorders>
              <w:tl2br w:val="nil"/>
              <w:tr2bl w:val="nil"/>
            </w:tcBorders>
            <w:shd w:val="clear" w:color="auto" w:fill="auto"/>
            <w:vAlign w:val="center"/>
          </w:tcPr>
          <w:p w14:paraId="2F9991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6.2527 </w:t>
            </w:r>
          </w:p>
        </w:tc>
        <w:tc>
          <w:tcPr>
            <w:tcW w:w="1394" w:type="dxa"/>
            <w:tcBorders>
              <w:tl2br w:val="nil"/>
              <w:tr2bl w:val="nil"/>
            </w:tcBorders>
            <w:shd w:val="clear" w:color="auto" w:fill="auto"/>
            <w:vAlign w:val="center"/>
          </w:tcPr>
          <w:p w14:paraId="038E60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2195.6000 </w:t>
            </w:r>
          </w:p>
        </w:tc>
        <w:tc>
          <w:tcPr>
            <w:tcW w:w="1079" w:type="dxa"/>
            <w:tcBorders>
              <w:tl2br w:val="nil"/>
              <w:tr2bl w:val="nil"/>
            </w:tcBorders>
            <w:shd w:val="clear" w:color="auto" w:fill="auto"/>
            <w:vAlign w:val="center"/>
          </w:tcPr>
          <w:p w14:paraId="2ABD81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CA638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6.2527 </w:t>
            </w:r>
          </w:p>
        </w:tc>
        <w:tc>
          <w:tcPr>
            <w:tcW w:w="1353" w:type="dxa"/>
            <w:tcBorders>
              <w:tl2br w:val="nil"/>
              <w:tr2bl w:val="nil"/>
            </w:tcBorders>
            <w:shd w:val="clear" w:color="auto" w:fill="auto"/>
            <w:vAlign w:val="center"/>
          </w:tcPr>
          <w:p w14:paraId="602D8D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2195.6000 </w:t>
            </w:r>
          </w:p>
        </w:tc>
      </w:tr>
      <w:tr w14:paraId="3C956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DE659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300 </w:t>
            </w:r>
          </w:p>
        </w:tc>
        <w:tc>
          <w:tcPr>
            <w:tcW w:w="1443" w:type="dxa"/>
            <w:tcBorders>
              <w:tl2br w:val="nil"/>
              <w:tr2bl w:val="nil"/>
            </w:tcBorders>
            <w:shd w:val="clear" w:color="auto" w:fill="auto"/>
            <w:vAlign w:val="center"/>
          </w:tcPr>
          <w:p w14:paraId="02E423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6.4088 </w:t>
            </w:r>
          </w:p>
        </w:tc>
        <w:tc>
          <w:tcPr>
            <w:tcW w:w="1394" w:type="dxa"/>
            <w:tcBorders>
              <w:tl2br w:val="nil"/>
              <w:tr2bl w:val="nil"/>
            </w:tcBorders>
            <w:shd w:val="clear" w:color="auto" w:fill="auto"/>
            <w:vAlign w:val="center"/>
          </w:tcPr>
          <w:p w14:paraId="601C92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2112.5000 </w:t>
            </w:r>
          </w:p>
        </w:tc>
        <w:tc>
          <w:tcPr>
            <w:tcW w:w="1079" w:type="dxa"/>
            <w:tcBorders>
              <w:tl2br w:val="nil"/>
              <w:tr2bl w:val="nil"/>
            </w:tcBorders>
            <w:shd w:val="clear" w:color="auto" w:fill="auto"/>
            <w:vAlign w:val="center"/>
          </w:tcPr>
          <w:p w14:paraId="51DBA0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7C4D1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6.4088 </w:t>
            </w:r>
          </w:p>
        </w:tc>
        <w:tc>
          <w:tcPr>
            <w:tcW w:w="1353" w:type="dxa"/>
            <w:tcBorders>
              <w:tl2br w:val="nil"/>
              <w:tr2bl w:val="nil"/>
            </w:tcBorders>
            <w:shd w:val="clear" w:color="auto" w:fill="auto"/>
            <w:vAlign w:val="center"/>
          </w:tcPr>
          <w:p w14:paraId="17952C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2112.5000 </w:t>
            </w:r>
          </w:p>
        </w:tc>
      </w:tr>
      <w:tr w14:paraId="2C576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2B0DF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310 </w:t>
            </w:r>
          </w:p>
        </w:tc>
        <w:tc>
          <w:tcPr>
            <w:tcW w:w="1443" w:type="dxa"/>
            <w:tcBorders>
              <w:tl2br w:val="nil"/>
              <w:tr2bl w:val="nil"/>
            </w:tcBorders>
            <w:shd w:val="clear" w:color="auto" w:fill="auto"/>
            <w:vAlign w:val="center"/>
          </w:tcPr>
          <w:p w14:paraId="737A46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6.5636 </w:t>
            </w:r>
          </w:p>
        </w:tc>
        <w:tc>
          <w:tcPr>
            <w:tcW w:w="1394" w:type="dxa"/>
            <w:tcBorders>
              <w:tl2br w:val="nil"/>
              <w:tr2bl w:val="nil"/>
            </w:tcBorders>
            <w:shd w:val="clear" w:color="auto" w:fill="auto"/>
            <w:vAlign w:val="center"/>
          </w:tcPr>
          <w:p w14:paraId="554D14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2035.8000 </w:t>
            </w:r>
          </w:p>
        </w:tc>
        <w:tc>
          <w:tcPr>
            <w:tcW w:w="1079" w:type="dxa"/>
            <w:tcBorders>
              <w:tl2br w:val="nil"/>
              <w:tr2bl w:val="nil"/>
            </w:tcBorders>
            <w:shd w:val="clear" w:color="auto" w:fill="auto"/>
            <w:vAlign w:val="center"/>
          </w:tcPr>
          <w:p w14:paraId="3ED918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4EB13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6.5636 </w:t>
            </w:r>
          </w:p>
        </w:tc>
        <w:tc>
          <w:tcPr>
            <w:tcW w:w="1353" w:type="dxa"/>
            <w:tcBorders>
              <w:tl2br w:val="nil"/>
              <w:tr2bl w:val="nil"/>
            </w:tcBorders>
            <w:shd w:val="clear" w:color="auto" w:fill="auto"/>
            <w:vAlign w:val="center"/>
          </w:tcPr>
          <w:p w14:paraId="1EEB95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2035.8000 </w:t>
            </w:r>
          </w:p>
        </w:tc>
      </w:tr>
      <w:tr w14:paraId="7A1ED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453B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320 </w:t>
            </w:r>
          </w:p>
        </w:tc>
        <w:tc>
          <w:tcPr>
            <w:tcW w:w="1443" w:type="dxa"/>
            <w:tcBorders>
              <w:tl2br w:val="nil"/>
              <w:tr2bl w:val="nil"/>
            </w:tcBorders>
            <w:shd w:val="clear" w:color="auto" w:fill="auto"/>
            <w:vAlign w:val="center"/>
          </w:tcPr>
          <w:p w14:paraId="3B4B14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6.7170 </w:t>
            </w:r>
          </w:p>
        </w:tc>
        <w:tc>
          <w:tcPr>
            <w:tcW w:w="1394" w:type="dxa"/>
            <w:tcBorders>
              <w:tl2br w:val="nil"/>
              <w:tr2bl w:val="nil"/>
            </w:tcBorders>
            <w:shd w:val="clear" w:color="auto" w:fill="auto"/>
            <w:vAlign w:val="center"/>
          </w:tcPr>
          <w:p w14:paraId="361118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1964.8000 </w:t>
            </w:r>
          </w:p>
        </w:tc>
        <w:tc>
          <w:tcPr>
            <w:tcW w:w="1079" w:type="dxa"/>
            <w:tcBorders>
              <w:tl2br w:val="nil"/>
              <w:tr2bl w:val="nil"/>
            </w:tcBorders>
            <w:shd w:val="clear" w:color="auto" w:fill="auto"/>
            <w:vAlign w:val="center"/>
          </w:tcPr>
          <w:p w14:paraId="0D2B05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9ED9E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6.7170 </w:t>
            </w:r>
          </w:p>
        </w:tc>
        <w:tc>
          <w:tcPr>
            <w:tcW w:w="1353" w:type="dxa"/>
            <w:tcBorders>
              <w:tl2br w:val="nil"/>
              <w:tr2bl w:val="nil"/>
            </w:tcBorders>
            <w:shd w:val="clear" w:color="auto" w:fill="auto"/>
            <w:vAlign w:val="center"/>
          </w:tcPr>
          <w:p w14:paraId="781E1D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1964.8000 </w:t>
            </w:r>
          </w:p>
        </w:tc>
      </w:tr>
      <w:tr w14:paraId="43613A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FD81B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330 </w:t>
            </w:r>
          </w:p>
        </w:tc>
        <w:tc>
          <w:tcPr>
            <w:tcW w:w="1443" w:type="dxa"/>
            <w:tcBorders>
              <w:tl2br w:val="nil"/>
              <w:tr2bl w:val="nil"/>
            </w:tcBorders>
            <w:shd w:val="clear" w:color="auto" w:fill="auto"/>
            <w:vAlign w:val="center"/>
          </w:tcPr>
          <w:p w14:paraId="01B1CF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6.8693 </w:t>
            </w:r>
          </w:p>
        </w:tc>
        <w:tc>
          <w:tcPr>
            <w:tcW w:w="1394" w:type="dxa"/>
            <w:tcBorders>
              <w:tl2br w:val="nil"/>
              <w:tr2bl w:val="nil"/>
            </w:tcBorders>
            <w:shd w:val="clear" w:color="auto" w:fill="auto"/>
            <w:vAlign w:val="center"/>
          </w:tcPr>
          <w:p w14:paraId="29C9A4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1897.2000 </w:t>
            </w:r>
          </w:p>
        </w:tc>
        <w:tc>
          <w:tcPr>
            <w:tcW w:w="1079" w:type="dxa"/>
            <w:tcBorders>
              <w:tl2br w:val="nil"/>
              <w:tr2bl w:val="nil"/>
            </w:tcBorders>
            <w:shd w:val="clear" w:color="auto" w:fill="auto"/>
            <w:vAlign w:val="center"/>
          </w:tcPr>
          <w:p w14:paraId="6A30DC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9D368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6.8693 </w:t>
            </w:r>
          </w:p>
        </w:tc>
        <w:tc>
          <w:tcPr>
            <w:tcW w:w="1353" w:type="dxa"/>
            <w:tcBorders>
              <w:tl2br w:val="nil"/>
              <w:tr2bl w:val="nil"/>
            </w:tcBorders>
            <w:shd w:val="clear" w:color="auto" w:fill="auto"/>
            <w:vAlign w:val="center"/>
          </w:tcPr>
          <w:p w14:paraId="2B8A7A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1897.2000 </w:t>
            </w:r>
          </w:p>
        </w:tc>
      </w:tr>
      <w:tr w14:paraId="2A4E68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502DF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340 </w:t>
            </w:r>
          </w:p>
        </w:tc>
        <w:tc>
          <w:tcPr>
            <w:tcW w:w="1443" w:type="dxa"/>
            <w:tcBorders>
              <w:tl2br w:val="nil"/>
              <w:tr2bl w:val="nil"/>
            </w:tcBorders>
            <w:shd w:val="clear" w:color="auto" w:fill="auto"/>
            <w:vAlign w:val="center"/>
          </w:tcPr>
          <w:p w14:paraId="741719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7.0204 </w:t>
            </w:r>
          </w:p>
        </w:tc>
        <w:tc>
          <w:tcPr>
            <w:tcW w:w="1394" w:type="dxa"/>
            <w:tcBorders>
              <w:tl2br w:val="nil"/>
              <w:tr2bl w:val="nil"/>
            </w:tcBorders>
            <w:shd w:val="clear" w:color="auto" w:fill="auto"/>
            <w:vAlign w:val="center"/>
          </w:tcPr>
          <w:p w14:paraId="1CA0BB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1833.9000 </w:t>
            </w:r>
          </w:p>
        </w:tc>
        <w:tc>
          <w:tcPr>
            <w:tcW w:w="1079" w:type="dxa"/>
            <w:tcBorders>
              <w:tl2br w:val="nil"/>
              <w:tr2bl w:val="nil"/>
            </w:tcBorders>
            <w:shd w:val="clear" w:color="auto" w:fill="auto"/>
            <w:vAlign w:val="center"/>
          </w:tcPr>
          <w:p w14:paraId="5EE888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BD81D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7.0204 </w:t>
            </w:r>
          </w:p>
        </w:tc>
        <w:tc>
          <w:tcPr>
            <w:tcW w:w="1353" w:type="dxa"/>
            <w:tcBorders>
              <w:tl2br w:val="nil"/>
              <w:tr2bl w:val="nil"/>
            </w:tcBorders>
            <w:shd w:val="clear" w:color="auto" w:fill="auto"/>
            <w:vAlign w:val="center"/>
          </w:tcPr>
          <w:p w14:paraId="6355FB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1833.9000 </w:t>
            </w:r>
          </w:p>
        </w:tc>
      </w:tr>
      <w:tr w14:paraId="7A092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5867A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350 </w:t>
            </w:r>
          </w:p>
        </w:tc>
        <w:tc>
          <w:tcPr>
            <w:tcW w:w="1443" w:type="dxa"/>
            <w:tcBorders>
              <w:tl2br w:val="nil"/>
              <w:tr2bl w:val="nil"/>
            </w:tcBorders>
            <w:shd w:val="clear" w:color="auto" w:fill="auto"/>
            <w:vAlign w:val="center"/>
          </w:tcPr>
          <w:p w14:paraId="25664D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7.1702 </w:t>
            </w:r>
          </w:p>
        </w:tc>
        <w:tc>
          <w:tcPr>
            <w:tcW w:w="1394" w:type="dxa"/>
            <w:tcBorders>
              <w:tl2br w:val="nil"/>
              <w:tr2bl w:val="nil"/>
            </w:tcBorders>
            <w:shd w:val="clear" w:color="auto" w:fill="auto"/>
            <w:vAlign w:val="center"/>
          </w:tcPr>
          <w:p w14:paraId="5C461C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1774.8000 </w:t>
            </w:r>
          </w:p>
        </w:tc>
        <w:tc>
          <w:tcPr>
            <w:tcW w:w="1079" w:type="dxa"/>
            <w:tcBorders>
              <w:tl2br w:val="nil"/>
              <w:tr2bl w:val="nil"/>
            </w:tcBorders>
            <w:shd w:val="clear" w:color="auto" w:fill="auto"/>
            <w:vAlign w:val="center"/>
          </w:tcPr>
          <w:p w14:paraId="0E386B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B129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7.1702 </w:t>
            </w:r>
          </w:p>
        </w:tc>
        <w:tc>
          <w:tcPr>
            <w:tcW w:w="1353" w:type="dxa"/>
            <w:tcBorders>
              <w:tl2br w:val="nil"/>
              <w:tr2bl w:val="nil"/>
            </w:tcBorders>
            <w:shd w:val="clear" w:color="auto" w:fill="auto"/>
            <w:vAlign w:val="center"/>
          </w:tcPr>
          <w:p w14:paraId="6190A4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1774.8000 </w:t>
            </w:r>
          </w:p>
        </w:tc>
      </w:tr>
      <w:tr w14:paraId="4D878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EA216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360 </w:t>
            </w:r>
          </w:p>
        </w:tc>
        <w:tc>
          <w:tcPr>
            <w:tcW w:w="1443" w:type="dxa"/>
            <w:tcBorders>
              <w:tl2br w:val="nil"/>
              <w:tr2bl w:val="nil"/>
            </w:tcBorders>
            <w:shd w:val="clear" w:color="auto" w:fill="auto"/>
            <w:vAlign w:val="center"/>
          </w:tcPr>
          <w:p w14:paraId="1E631B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7.3190 </w:t>
            </w:r>
          </w:p>
        </w:tc>
        <w:tc>
          <w:tcPr>
            <w:tcW w:w="1394" w:type="dxa"/>
            <w:tcBorders>
              <w:tl2br w:val="nil"/>
              <w:tr2bl w:val="nil"/>
            </w:tcBorders>
            <w:shd w:val="clear" w:color="auto" w:fill="auto"/>
            <w:vAlign w:val="center"/>
          </w:tcPr>
          <w:p w14:paraId="3F7439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1719.6000 </w:t>
            </w:r>
          </w:p>
        </w:tc>
        <w:tc>
          <w:tcPr>
            <w:tcW w:w="1079" w:type="dxa"/>
            <w:tcBorders>
              <w:tl2br w:val="nil"/>
              <w:tr2bl w:val="nil"/>
            </w:tcBorders>
            <w:shd w:val="clear" w:color="auto" w:fill="auto"/>
            <w:vAlign w:val="center"/>
          </w:tcPr>
          <w:p w14:paraId="2A0AB0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350A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7.3190 </w:t>
            </w:r>
          </w:p>
        </w:tc>
        <w:tc>
          <w:tcPr>
            <w:tcW w:w="1353" w:type="dxa"/>
            <w:tcBorders>
              <w:tl2br w:val="nil"/>
              <w:tr2bl w:val="nil"/>
            </w:tcBorders>
            <w:shd w:val="clear" w:color="auto" w:fill="auto"/>
            <w:vAlign w:val="center"/>
          </w:tcPr>
          <w:p w14:paraId="198F62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1719.6000 </w:t>
            </w:r>
          </w:p>
        </w:tc>
      </w:tr>
      <w:tr w14:paraId="78C0CA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E60A6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370 </w:t>
            </w:r>
          </w:p>
        </w:tc>
        <w:tc>
          <w:tcPr>
            <w:tcW w:w="1443" w:type="dxa"/>
            <w:tcBorders>
              <w:tl2br w:val="nil"/>
              <w:tr2bl w:val="nil"/>
            </w:tcBorders>
            <w:shd w:val="clear" w:color="auto" w:fill="auto"/>
            <w:vAlign w:val="center"/>
          </w:tcPr>
          <w:p w14:paraId="6D5164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7.4666 </w:t>
            </w:r>
          </w:p>
        </w:tc>
        <w:tc>
          <w:tcPr>
            <w:tcW w:w="1394" w:type="dxa"/>
            <w:tcBorders>
              <w:tl2br w:val="nil"/>
              <w:tr2bl w:val="nil"/>
            </w:tcBorders>
            <w:shd w:val="clear" w:color="auto" w:fill="auto"/>
            <w:vAlign w:val="center"/>
          </w:tcPr>
          <w:p w14:paraId="378CF8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1668.0000 </w:t>
            </w:r>
          </w:p>
        </w:tc>
        <w:tc>
          <w:tcPr>
            <w:tcW w:w="1079" w:type="dxa"/>
            <w:tcBorders>
              <w:tl2br w:val="nil"/>
              <w:tr2bl w:val="nil"/>
            </w:tcBorders>
            <w:shd w:val="clear" w:color="auto" w:fill="auto"/>
            <w:vAlign w:val="center"/>
          </w:tcPr>
          <w:p w14:paraId="2A7AA1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1770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7.4666 </w:t>
            </w:r>
          </w:p>
        </w:tc>
        <w:tc>
          <w:tcPr>
            <w:tcW w:w="1353" w:type="dxa"/>
            <w:tcBorders>
              <w:tl2br w:val="nil"/>
              <w:tr2bl w:val="nil"/>
            </w:tcBorders>
            <w:shd w:val="clear" w:color="auto" w:fill="auto"/>
            <w:vAlign w:val="center"/>
          </w:tcPr>
          <w:p w14:paraId="2259D1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1668.0000 </w:t>
            </w:r>
          </w:p>
        </w:tc>
      </w:tr>
      <w:tr w14:paraId="22BC14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BC039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380 </w:t>
            </w:r>
          </w:p>
        </w:tc>
        <w:tc>
          <w:tcPr>
            <w:tcW w:w="1443" w:type="dxa"/>
            <w:tcBorders>
              <w:tl2br w:val="nil"/>
              <w:tr2bl w:val="nil"/>
            </w:tcBorders>
            <w:shd w:val="clear" w:color="auto" w:fill="auto"/>
            <w:vAlign w:val="center"/>
          </w:tcPr>
          <w:p w14:paraId="78F284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7.6132 </w:t>
            </w:r>
          </w:p>
        </w:tc>
        <w:tc>
          <w:tcPr>
            <w:tcW w:w="1394" w:type="dxa"/>
            <w:tcBorders>
              <w:tl2br w:val="nil"/>
              <w:tr2bl w:val="nil"/>
            </w:tcBorders>
            <w:shd w:val="clear" w:color="auto" w:fill="auto"/>
            <w:vAlign w:val="center"/>
          </w:tcPr>
          <w:p w14:paraId="6E6D0C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1619.6000 </w:t>
            </w:r>
          </w:p>
        </w:tc>
        <w:tc>
          <w:tcPr>
            <w:tcW w:w="1079" w:type="dxa"/>
            <w:tcBorders>
              <w:tl2br w:val="nil"/>
              <w:tr2bl w:val="nil"/>
            </w:tcBorders>
            <w:shd w:val="clear" w:color="auto" w:fill="auto"/>
            <w:vAlign w:val="center"/>
          </w:tcPr>
          <w:p w14:paraId="7C2C2A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18E42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7.6132 </w:t>
            </w:r>
          </w:p>
        </w:tc>
        <w:tc>
          <w:tcPr>
            <w:tcW w:w="1353" w:type="dxa"/>
            <w:tcBorders>
              <w:tl2br w:val="nil"/>
              <w:tr2bl w:val="nil"/>
            </w:tcBorders>
            <w:shd w:val="clear" w:color="auto" w:fill="auto"/>
            <w:vAlign w:val="center"/>
          </w:tcPr>
          <w:p w14:paraId="06AB89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1619.6000 </w:t>
            </w:r>
          </w:p>
        </w:tc>
      </w:tr>
      <w:tr w14:paraId="2EFF05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2A2C0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390 </w:t>
            </w:r>
          </w:p>
        </w:tc>
        <w:tc>
          <w:tcPr>
            <w:tcW w:w="1443" w:type="dxa"/>
            <w:tcBorders>
              <w:tl2br w:val="nil"/>
              <w:tr2bl w:val="nil"/>
            </w:tcBorders>
            <w:shd w:val="clear" w:color="auto" w:fill="auto"/>
            <w:vAlign w:val="center"/>
          </w:tcPr>
          <w:p w14:paraId="0C855F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7.7589 </w:t>
            </w:r>
          </w:p>
        </w:tc>
        <w:tc>
          <w:tcPr>
            <w:tcW w:w="1394" w:type="dxa"/>
            <w:tcBorders>
              <w:tl2br w:val="nil"/>
              <w:tr2bl w:val="nil"/>
            </w:tcBorders>
            <w:shd w:val="clear" w:color="auto" w:fill="auto"/>
            <w:vAlign w:val="center"/>
          </w:tcPr>
          <w:p w14:paraId="396532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1573.0000 </w:t>
            </w:r>
          </w:p>
        </w:tc>
        <w:tc>
          <w:tcPr>
            <w:tcW w:w="1079" w:type="dxa"/>
            <w:tcBorders>
              <w:tl2br w:val="nil"/>
              <w:tr2bl w:val="nil"/>
            </w:tcBorders>
            <w:shd w:val="clear" w:color="auto" w:fill="auto"/>
            <w:vAlign w:val="center"/>
          </w:tcPr>
          <w:p w14:paraId="04186C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2CA1F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7.7589 </w:t>
            </w:r>
          </w:p>
        </w:tc>
        <w:tc>
          <w:tcPr>
            <w:tcW w:w="1353" w:type="dxa"/>
            <w:tcBorders>
              <w:tl2br w:val="nil"/>
              <w:tr2bl w:val="nil"/>
            </w:tcBorders>
            <w:shd w:val="clear" w:color="auto" w:fill="auto"/>
            <w:vAlign w:val="center"/>
          </w:tcPr>
          <w:p w14:paraId="1CC144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1573.0000 </w:t>
            </w:r>
          </w:p>
        </w:tc>
      </w:tr>
      <w:tr w14:paraId="13F97A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23A02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400 </w:t>
            </w:r>
          </w:p>
        </w:tc>
        <w:tc>
          <w:tcPr>
            <w:tcW w:w="1443" w:type="dxa"/>
            <w:tcBorders>
              <w:tl2br w:val="nil"/>
              <w:tr2bl w:val="nil"/>
            </w:tcBorders>
            <w:shd w:val="clear" w:color="auto" w:fill="auto"/>
            <w:vAlign w:val="center"/>
          </w:tcPr>
          <w:p w14:paraId="4386D9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7.9036 </w:t>
            </w:r>
          </w:p>
        </w:tc>
        <w:tc>
          <w:tcPr>
            <w:tcW w:w="1394" w:type="dxa"/>
            <w:tcBorders>
              <w:tl2br w:val="nil"/>
              <w:tr2bl w:val="nil"/>
            </w:tcBorders>
            <w:shd w:val="clear" w:color="auto" w:fill="auto"/>
            <w:vAlign w:val="center"/>
          </w:tcPr>
          <w:p w14:paraId="714DA9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1528.8000 </w:t>
            </w:r>
          </w:p>
        </w:tc>
        <w:tc>
          <w:tcPr>
            <w:tcW w:w="1079" w:type="dxa"/>
            <w:tcBorders>
              <w:tl2br w:val="nil"/>
              <w:tr2bl w:val="nil"/>
            </w:tcBorders>
            <w:shd w:val="clear" w:color="auto" w:fill="auto"/>
            <w:vAlign w:val="center"/>
          </w:tcPr>
          <w:p w14:paraId="00EB35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827CE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7.9036 </w:t>
            </w:r>
          </w:p>
        </w:tc>
        <w:tc>
          <w:tcPr>
            <w:tcW w:w="1353" w:type="dxa"/>
            <w:tcBorders>
              <w:tl2br w:val="nil"/>
              <w:tr2bl w:val="nil"/>
            </w:tcBorders>
            <w:shd w:val="clear" w:color="auto" w:fill="auto"/>
            <w:vAlign w:val="center"/>
          </w:tcPr>
          <w:p w14:paraId="6DA85D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1528.8000 </w:t>
            </w:r>
          </w:p>
        </w:tc>
      </w:tr>
      <w:tr w14:paraId="79B6A9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76E1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410 </w:t>
            </w:r>
          </w:p>
        </w:tc>
        <w:tc>
          <w:tcPr>
            <w:tcW w:w="1443" w:type="dxa"/>
            <w:tcBorders>
              <w:tl2br w:val="nil"/>
              <w:tr2bl w:val="nil"/>
            </w:tcBorders>
            <w:shd w:val="clear" w:color="auto" w:fill="auto"/>
            <w:vAlign w:val="center"/>
          </w:tcPr>
          <w:p w14:paraId="74F128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8.0473 </w:t>
            </w:r>
          </w:p>
        </w:tc>
        <w:tc>
          <w:tcPr>
            <w:tcW w:w="1394" w:type="dxa"/>
            <w:tcBorders>
              <w:tl2br w:val="nil"/>
              <w:tr2bl w:val="nil"/>
            </w:tcBorders>
            <w:shd w:val="clear" w:color="auto" w:fill="auto"/>
            <w:vAlign w:val="center"/>
          </w:tcPr>
          <w:p w14:paraId="5A384F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1487.1000 </w:t>
            </w:r>
          </w:p>
        </w:tc>
        <w:tc>
          <w:tcPr>
            <w:tcW w:w="1079" w:type="dxa"/>
            <w:tcBorders>
              <w:tl2br w:val="nil"/>
              <w:tr2bl w:val="nil"/>
            </w:tcBorders>
            <w:shd w:val="clear" w:color="auto" w:fill="auto"/>
            <w:vAlign w:val="center"/>
          </w:tcPr>
          <w:p w14:paraId="4724DC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0A9BC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8.0473 </w:t>
            </w:r>
          </w:p>
        </w:tc>
        <w:tc>
          <w:tcPr>
            <w:tcW w:w="1353" w:type="dxa"/>
            <w:tcBorders>
              <w:tl2br w:val="nil"/>
              <w:tr2bl w:val="nil"/>
            </w:tcBorders>
            <w:shd w:val="clear" w:color="auto" w:fill="auto"/>
            <w:vAlign w:val="center"/>
          </w:tcPr>
          <w:p w14:paraId="26A936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1487.1000 </w:t>
            </w:r>
          </w:p>
        </w:tc>
      </w:tr>
      <w:tr w14:paraId="21777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F4587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 </w:t>
            </w:r>
          </w:p>
        </w:tc>
        <w:tc>
          <w:tcPr>
            <w:tcW w:w="1443" w:type="dxa"/>
            <w:tcBorders>
              <w:tl2br w:val="nil"/>
              <w:tr2bl w:val="nil"/>
            </w:tcBorders>
            <w:shd w:val="clear" w:color="auto" w:fill="auto"/>
            <w:vAlign w:val="center"/>
          </w:tcPr>
          <w:p w14:paraId="12E992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8.1902 </w:t>
            </w:r>
          </w:p>
        </w:tc>
        <w:tc>
          <w:tcPr>
            <w:tcW w:w="1394" w:type="dxa"/>
            <w:tcBorders>
              <w:tl2br w:val="nil"/>
              <w:tr2bl w:val="nil"/>
            </w:tcBorders>
            <w:shd w:val="clear" w:color="auto" w:fill="auto"/>
            <w:vAlign w:val="center"/>
          </w:tcPr>
          <w:p w14:paraId="56C070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1447.8000 </w:t>
            </w:r>
          </w:p>
        </w:tc>
        <w:tc>
          <w:tcPr>
            <w:tcW w:w="1079" w:type="dxa"/>
            <w:tcBorders>
              <w:tl2br w:val="nil"/>
              <w:tr2bl w:val="nil"/>
            </w:tcBorders>
            <w:shd w:val="clear" w:color="auto" w:fill="auto"/>
            <w:vAlign w:val="center"/>
          </w:tcPr>
          <w:p w14:paraId="2A128B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2920C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8.1902 </w:t>
            </w:r>
          </w:p>
        </w:tc>
        <w:tc>
          <w:tcPr>
            <w:tcW w:w="1353" w:type="dxa"/>
            <w:tcBorders>
              <w:tl2br w:val="nil"/>
              <w:tr2bl w:val="nil"/>
            </w:tcBorders>
            <w:shd w:val="clear" w:color="auto" w:fill="auto"/>
            <w:vAlign w:val="center"/>
          </w:tcPr>
          <w:p w14:paraId="7D65FA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1447.8000 </w:t>
            </w:r>
          </w:p>
        </w:tc>
      </w:tr>
      <w:tr w14:paraId="5C181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9A9D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430 </w:t>
            </w:r>
          </w:p>
        </w:tc>
        <w:tc>
          <w:tcPr>
            <w:tcW w:w="1443" w:type="dxa"/>
            <w:tcBorders>
              <w:tl2br w:val="nil"/>
              <w:tr2bl w:val="nil"/>
            </w:tcBorders>
            <w:shd w:val="clear" w:color="auto" w:fill="auto"/>
            <w:vAlign w:val="center"/>
          </w:tcPr>
          <w:p w14:paraId="4923E1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8.3321 </w:t>
            </w:r>
          </w:p>
        </w:tc>
        <w:tc>
          <w:tcPr>
            <w:tcW w:w="1394" w:type="dxa"/>
            <w:tcBorders>
              <w:tl2br w:val="nil"/>
              <w:tr2bl w:val="nil"/>
            </w:tcBorders>
            <w:shd w:val="clear" w:color="auto" w:fill="auto"/>
            <w:vAlign w:val="center"/>
          </w:tcPr>
          <w:p w14:paraId="51EDED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1410.5000 </w:t>
            </w:r>
          </w:p>
        </w:tc>
        <w:tc>
          <w:tcPr>
            <w:tcW w:w="1079" w:type="dxa"/>
            <w:tcBorders>
              <w:tl2br w:val="nil"/>
              <w:tr2bl w:val="nil"/>
            </w:tcBorders>
            <w:shd w:val="clear" w:color="auto" w:fill="auto"/>
            <w:vAlign w:val="center"/>
          </w:tcPr>
          <w:p w14:paraId="177A8D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AE717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8.3321 </w:t>
            </w:r>
          </w:p>
        </w:tc>
        <w:tc>
          <w:tcPr>
            <w:tcW w:w="1353" w:type="dxa"/>
            <w:tcBorders>
              <w:tl2br w:val="nil"/>
              <w:tr2bl w:val="nil"/>
            </w:tcBorders>
            <w:shd w:val="clear" w:color="auto" w:fill="auto"/>
            <w:vAlign w:val="center"/>
          </w:tcPr>
          <w:p w14:paraId="7CC229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1410.5000 </w:t>
            </w:r>
          </w:p>
        </w:tc>
      </w:tr>
      <w:tr w14:paraId="1A5DA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CA912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440 </w:t>
            </w:r>
          </w:p>
        </w:tc>
        <w:tc>
          <w:tcPr>
            <w:tcW w:w="1443" w:type="dxa"/>
            <w:tcBorders>
              <w:tl2br w:val="nil"/>
              <w:tr2bl w:val="nil"/>
            </w:tcBorders>
            <w:shd w:val="clear" w:color="auto" w:fill="auto"/>
            <w:vAlign w:val="center"/>
          </w:tcPr>
          <w:p w14:paraId="39B44F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8.4732 </w:t>
            </w:r>
          </w:p>
        </w:tc>
        <w:tc>
          <w:tcPr>
            <w:tcW w:w="1394" w:type="dxa"/>
            <w:tcBorders>
              <w:tl2br w:val="nil"/>
              <w:tr2bl w:val="nil"/>
            </w:tcBorders>
            <w:shd w:val="clear" w:color="auto" w:fill="auto"/>
            <w:vAlign w:val="center"/>
          </w:tcPr>
          <w:p w14:paraId="7076DA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1375.3000 </w:t>
            </w:r>
          </w:p>
        </w:tc>
        <w:tc>
          <w:tcPr>
            <w:tcW w:w="1079" w:type="dxa"/>
            <w:tcBorders>
              <w:tl2br w:val="nil"/>
              <w:tr2bl w:val="nil"/>
            </w:tcBorders>
            <w:shd w:val="clear" w:color="auto" w:fill="auto"/>
            <w:vAlign w:val="center"/>
          </w:tcPr>
          <w:p w14:paraId="14F06E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6DAC5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8.4732 </w:t>
            </w:r>
          </w:p>
        </w:tc>
        <w:tc>
          <w:tcPr>
            <w:tcW w:w="1353" w:type="dxa"/>
            <w:tcBorders>
              <w:tl2br w:val="nil"/>
              <w:tr2bl w:val="nil"/>
            </w:tcBorders>
            <w:shd w:val="clear" w:color="auto" w:fill="auto"/>
            <w:vAlign w:val="center"/>
          </w:tcPr>
          <w:p w14:paraId="408D67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1375.3000 </w:t>
            </w:r>
          </w:p>
        </w:tc>
      </w:tr>
      <w:tr w14:paraId="5F036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A8D34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450 </w:t>
            </w:r>
          </w:p>
        </w:tc>
        <w:tc>
          <w:tcPr>
            <w:tcW w:w="1443" w:type="dxa"/>
            <w:tcBorders>
              <w:tl2br w:val="nil"/>
              <w:tr2bl w:val="nil"/>
            </w:tcBorders>
            <w:shd w:val="clear" w:color="auto" w:fill="auto"/>
            <w:vAlign w:val="center"/>
          </w:tcPr>
          <w:p w14:paraId="6C2BE9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8.6135 </w:t>
            </w:r>
          </w:p>
        </w:tc>
        <w:tc>
          <w:tcPr>
            <w:tcW w:w="1394" w:type="dxa"/>
            <w:tcBorders>
              <w:tl2br w:val="nil"/>
              <w:tr2bl w:val="nil"/>
            </w:tcBorders>
            <w:shd w:val="clear" w:color="auto" w:fill="auto"/>
            <w:vAlign w:val="center"/>
          </w:tcPr>
          <w:p w14:paraId="17491D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1341.9000 </w:t>
            </w:r>
          </w:p>
        </w:tc>
        <w:tc>
          <w:tcPr>
            <w:tcW w:w="1079" w:type="dxa"/>
            <w:tcBorders>
              <w:tl2br w:val="nil"/>
              <w:tr2bl w:val="nil"/>
            </w:tcBorders>
            <w:shd w:val="clear" w:color="auto" w:fill="auto"/>
            <w:vAlign w:val="center"/>
          </w:tcPr>
          <w:p w14:paraId="395B57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FF95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8.6135 </w:t>
            </w:r>
          </w:p>
        </w:tc>
        <w:tc>
          <w:tcPr>
            <w:tcW w:w="1353" w:type="dxa"/>
            <w:tcBorders>
              <w:tl2br w:val="nil"/>
              <w:tr2bl w:val="nil"/>
            </w:tcBorders>
            <w:shd w:val="clear" w:color="auto" w:fill="auto"/>
            <w:vAlign w:val="center"/>
          </w:tcPr>
          <w:p w14:paraId="44A16C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1341.9000 </w:t>
            </w:r>
          </w:p>
        </w:tc>
      </w:tr>
      <w:tr w14:paraId="15B5C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7C77E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460 </w:t>
            </w:r>
          </w:p>
        </w:tc>
        <w:tc>
          <w:tcPr>
            <w:tcW w:w="1443" w:type="dxa"/>
            <w:tcBorders>
              <w:tl2br w:val="nil"/>
              <w:tr2bl w:val="nil"/>
            </w:tcBorders>
            <w:shd w:val="clear" w:color="auto" w:fill="auto"/>
            <w:vAlign w:val="center"/>
          </w:tcPr>
          <w:p w14:paraId="3543D5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8.7530 </w:t>
            </w:r>
          </w:p>
        </w:tc>
        <w:tc>
          <w:tcPr>
            <w:tcW w:w="1394" w:type="dxa"/>
            <w:tcBorders>
              <w:tl2br w:val="nil"/>
              <w:tr2bl w:val="nil"/>
            </w:tcBorders>
            <w:shd w:val="clear" w:color="auto" w:fill="auto"/>
            <w:vAlign w:val="center"/>
          </w:tcPr>
          <w:p w14:paraId="3FA1A5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1309.6000 </w:t>
            </w:r>
          </w:p>
        </w:tc>
        <w:tc>
          <w:tcPr>
            <w:tcW w:w="1079" w:type="dxa"/>
            <w:tcBorders>
              <w:tl2br w:val="nil"/>
              <w:tr2bl w:val="nil"/>
            </w:tcBorders>
            <w:shd w:val="clear" w:color="auto" w:fill="auto"/>
            <w:vAlign w:val="center"/>
          </w:tcPr>
          <w:p w14:paraId="742CC1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034EE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8.7530 </w:t>
            </w:r>
          </w:p>
        </w:tc>
        <w:tc>
          <w:tcPr>
            <w:tcW w:w="1353" w:type="dxa"/>
            <w:tcBorders>
              <w:tl2br w:val="nil"/>
              <w:tr2bl w:val="nil"/>
            </w:tcBorders>
            <w:shd w:val="clear" w:color="auto" w:fill="auto"/>
            <w:vAlign w:val="center"/>
          </w:tcPr>
          <w:p w14:paraId="05BC62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1309.6000 </w:t>
            </w:r>
          </w:p>
        </w:tc>
      </w:tr>
      <w:tr w14:paraId="176E8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531A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 </w:t>
            </w:r>
          </w:p>
        </w:tc>
        <w:tc>
          <w:tcPr>
            <w:tcW w:w="1443" w:type="dxa"/>
            <w:tcBorders>
              <w:tl2br w:val="nil"/>
              <w:tr2bl w:val="nil"/>
            </w:tcBorders>
            <w:shd w:val="clear" w:color="auto" w:fill="auto"/>
            <w:vAlign w:val="center"/>
          </w:tcPr>
          <w:p w14:paraId="182348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8.8919 </w:t>
            </w:r>
          </w:p>
        </w:tc>
        <w:tc>
          <w:tcPr>
            <w:tcW w:w="1394" w:type="dxa"/>
            <w:tcBorders>
              <w:tl2br w:val="nil"/>
              <w:tr2bl w:val="nil"/>
            </w:tcBorders>
            <w:shd w:val="clear" w:color="auto" w:fill="auto"/>
            <w:vAlign w:val="center"/>
          </w:tcPr>
          <w:p w14:paraId="2C3238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1278.6000 </w:t>
            </w:r>
          </w:p>
        </w:tc>
        <w:tc>
          <w:tcPr>
            <w:tcW w:w="1079" w:type="dxa"/>
            <w:tcBorders>
              <w:tl2br w:val="nil"/>
              <w:tr2bl w:val="nil"/>
            </w:tcBorders>
            <w:shd w:val="clear" w:color="auto" w:fill="auto"/>
            <w:vAlign w:val="center"/>
          </w:tcPr>
          <w:p w14:paraId="3A87A1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4E738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8.8919 </w:t>
            </w:r>
          </w:p>
        </w:tc>
        <w:tc>
          <w:tcPr>
            <w:tcW w:w="1353" w:type="dxa"/>
            <w:tcBorders>
              <w:tl2br w:val="nil"/>
              <w:tr2bl w:val="nil"/>
            </w:tcBorders>
            <w:shd w:val="clear" w:color="auto" w:fill="auto"/>
            <w:vAlign w:val="center"/>
          </w:tcPr>
          <w:p w14:paraId="1A331C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1278.6000 </w:t>
            </w:r>
          </w:p>
        </w:tc>
      </w:tr>
      <w:tr w14:paraId="7E8B30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4A280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480 </w:t>
            </w:r>
          </w:p>
        </w:tc>
        <w:tc>
          <w:tcPr>
            <w:tcW w:w="1443" w:type="dxa"/>
            <w:tcBorders>
              <w:tl2br w:val="nil"/>
              <w:tr2bl w:val="nil"/>
            </w:tcBorders>
            <w:shd w:val="clear" w:color="auto" w:fill="auto"/>
            <w:vAlign w:val="center"/>
          </w:tcPr>
          <w:p w14:paraId="36CDAC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9.0300 </w:t>
            </w:r>
          </w:p>
        </w:tc>
        <w:tc>
          <w:tcPr>
            <w:tcW w:w="1394" w:type="dxa"/>
            <w:tcBorders>
              <w:tl2br w:val="nil"/>
              <w:tr2bl w:val="nil"/>
            </w:tcBorders>
            <w:shd w:val="clear" w:color="auto" w:fill="auto"/>
            <w:vAlign w:val="center"/>
          </w:tcPr>
          <w:p w14:paraId="2097C4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1248.9000 </w:t>
            </w:r>
          </w:p>
        </w:tc>
        <w:tc>
          <w:tcPr>
            <w:tcW w:w="1079" w:type="dxa"/>
            <w:tcBorders>
              <w:tl2br w:val="nil"/>
              <w:tr2bl w:val="nil"/>
            </w:tcBorders>
            <w:shd w:val="clear" w:color="auto" w:fill="auto"/>
            <w:vAlign w:val="center"/>
          </w:tcPr>
          <w:p w14:paraId="25AA94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FAFBE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9.0300 </w:t>
            </w:r>
          </w:p>
        </w:tc>
        <w:tc>
          <w:tcPr>
            <w:tcW w:w="1353" w:type="dxa"/>
            <w:tcBorders>
              <w:tl2br w:val="nil"/>
              <w:tr2bl w:val="nil"/>
            </w:tcBorders>
            <w:shd w:val="clear" w:color="auto" w:fill="auto"/>
            <w:vAlign w:val="center"/>
          </w:tcPr>
          <w:p w14:paraId="1F1EE3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1248.9000 </w:t>
            </w:r>
          </w:p>
        </w:tc>
      </w:tr>
      <w:tr w14:paraId="3B9962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A849D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490 </w:t>
            </w:r>
          </w:p>
        </w:tc>
        <w:tc>
          <w:tcPr>
            <w:tcW w:w="1443" w:type="dxa"/>
            <w:tcBorders>
              <w:tl2br w:val="nil"/>
              <w:tr2bl w:val="nil"/>
            </w:tcBorders>
            <w:shd w:val="clear" w:color="auto" w:fill="auto"/>
            <w:vAlign w:val="center"/>
          </w:tcPr>
          <w:p w14:paraId="7216B3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9.1673 </w:t>
            </w:r>
          </w:p>
        </w:tc>
        <w:tc>
          <w:tcPr>
            <w:tcW w:w="1394" w:type="dxa"/>
            <w:tcBorders>
              <w:tl2br w:val="nil"/>
              <w:tr2bl w:val="nil"/>
            </w:tcBorders>
            <w:shd w:val="clear" w:color="auto" w:fill="auto"/>
            <w:vAlign w:val="center"/>
          </w:tcPr>
          <w:p w14:paraId="40A838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1220.7000 </w:t>
            </w:r>
          </w:p>
        </w:tc>
        <w:tc>
          <w:tcPr>
            <w:tcW w:w="1079" w:type="dxa"/>
            <w:tcBorders>
              <w:tl2br w:val="nil"/>
              <w:tr2bl w:val="nil"/>
            </w:tcBorders>
            <w:shd w:val="clear" w:color="auto" w:fill="auto"/>
            <w:vAlign w:val="center"/>
          </w:tcPr>
          <w:p w14:paraId="416C73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F4AE6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9.1673 </w:t>
            </w:r>
          </w:p>
        </w:tc>
        <w:tc>
          <w:tcPr>
            <w:tcW w:w="1353" w:type="dxa"/>
            <w:tcBorders>
              <w:tl2br w:val="nil"/>
              <w:tr2bl w:val="nil"/>
            </w:tcBorders>
            <w:shd w:val="clear" w:color="auto" w:fill="auto"/>
            <w:vAlign w:val="center"/>
          </w:tcPr>
          <w:p w14:paraId="76A7E1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1220.7000 </w:t>
            </w:r>
          </w:p>
        </w:tc>
      </w:tr>
      <w:tr w14:paraId="4E838E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BE5FB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500 </w:t>
            </w:r>
          </w:p>
        </w:tc>
        <w:tc>
          <w:tcPr>
            <w:tcW w:w="1443" w:type="dxa"/>
            <w:tcBorders>
              <w:tl2br w:val="nil"/>
              <w:tr2bl w:val="nil"/>
            </w:tcBorders>
            <w:shd w:val="clear" w:color="auto" w:fill="auto"/>
            <w:vAlign w:val="center"/>
          </w:tcPr>
          <w:p w14:paraId="56A035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9.3040 </w:t>
            </w:r>
          </w:p>
        </w:tc>
        <w:tc>
          <w:tcPr>
            <w:tcW w:w="1394" w:type="dxa"/>
            <w:tcBorders>
              <w:tl2br w:val="nil"/>
              <w:tr2bl w:val="nil"/>
            </w:tcBorders>
            <w:shd w:val="clear" w:color="auto" w:fill="auto"/>
            <w:vAlign w:val="center"/>
          </w:tcPr>
          <w:p w14:paraId="1C1A27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1193.7000 </w:t>
            </w:r>
          </w:p>
        </w:tc>
        <w:tc>
          <w:tcPr>
            <w:tcW w:w="1079" w:type="dxa"/>
            <w:tcBorders>
              <w:tl2br w:val="nil"/>
              <w:tr2bl w:val="nil"/>
            </w:tcBorders>
            <w:shd w:val="clear" w:color="auto" w:fill="auto"/>
            <w:vAlign w:val="center"/>
          </w:tcPr>
          <w:p w14:paraId="43B903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BF2BC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9.3040 </w:t>
            </w:r>
          </w:p>
        </w:tc>
        <w:tc>
          <w:tcPr>
            <w:tcW w:w="1353" w:type="dxa"/>
            <w:tcBorders>
              <w:tl2br w:val="nil"/>
              <w:tr2bl w:val="nil"/>
            </w:tcBorders>
            <w:shd w:val="clear" w:color="auto" w:fill="auto"/>
            <w:vAlign w:val="center"/>
          </w:tcPr>
          <w:p w14:paraId="6DDF1E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1193.7000 </w:t>
            </w:r>
          </w:p>
        </w:tc>
      </w:tr>
      <w:tr w14:paraId="0D3C73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A11C4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510 </w:t>
            </w:r>
          </w:p>
        </w:tc>
        <w:tc>
          <w:tcPr>
            <w:tcW w:w="1443" w:type="dxa"/>
            <w:tcBorders>
              <w:tl2br w:val="nil"/>
              <w:tr2bl w:val="nil"/>
            </w:tcBorders>
            <w:shd w:val="clear" w:color="auto" w:fill="auto"/>
            <w:vAlign w:val="center"/>
          </w:tcPr>
          <w:p w14:paraId="75BCD9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9.4399 </w:t>
            </w:r>
          </w:p>
        </w:tc>
        <w:tc>
          <w:tcPr>
            <w:tcW w:w="1394" w:type="dxa"/>
            <w:tcBorders>
              <w:tl2br w:val="nil"/>
              <w:tr2bl w:val="nil"/>
            </w:tcBorders>
            <w:shd w:val="clear" w:color="auto" w:fill="auto"/>
            <w:vAlign w:val="center"/>
          </w:tcPr>
          <w:p w14:paraId="70CE86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1168.0000 </w:t>
            </w:r>
          </w:p>
        </w:tc>
        <w:tc>
          <w:tcPr>
            <w:tcW w:w="1079" w:type="dxa"/>
            <w:tcBorders>
              <w:tl2br w:val="nil"/>
              <w:tr2bl w:val="nil"/>
            </w:tcBorders>
            <w:shd w:val="clear" w:color="auto" w:fill="auto"/>
            <w:vAlign w:val="center"/>
          </w:tcPr>
          <w:p w14:paraId="64918A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06488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9.4399 </w:t>
            </w:r>
          </w:p>
        </w:tc>
        <w:tc>
          <w:tcPr>
            <w:tcW w:w="1353" w:type="dxa"/>
            <w:tcBorders>
              <w:tl2br w:val="nil"/>
              <w:tr2bl w:val="nil"/>
            </w:tcBorders>
            <w:shd w:val="clear" w:color="auto" w:fill="auto"/>
            <w:vAlign w:val="center"/>
          </w:tcPr>
          <w:p w14:paraId="7F6A13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1168.0000 </w:t>
            </w:r>
          </w:p>
        </w:tc>
      </w:tr>
      <w:tr w14:paraId="7DA6D8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5925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520 </w:t>
            </w:r>
          </w:p>
        </w:tc>
        <w:tc>
          <w:tcPr>
            <w:tcW w:w="1443" w:type="dxa"/>
            <w:tcBorders>
              <w:tl2br w:val="nil"/>
              <w:tr2bl w:val="nil"/>
            </w:tcBorders>
            <w:shd w:val="clear" w:color="auto" w:fill="auto"/>
            <w:vAlign w:val="center"/>
          </w:tcPr>
          <w:p w14:paraId="358BF7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9.5752 </w:t>
            </w:r>
          </w:p>
        </w:tc>
        <w:tc>
          <w:tcPr>
            <w:tcW w:w="1394" w:type="dxa"/>
            <w:tcBorders>
              <w:tl2br w:val="nil"/>
              <w:tr2bl w:val="nil"/>
            </w:tcBorders>
            <w:shd w:val="clear" w:color="auto" w:fill="auto"/>
            <w:vAlign w:val="center"/>
          </w:tcPr>
          <w:p w14:paraId="2A0168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1143.4000 </w:t>
            </w:r>
          </w:p>
        </w:tc>
        <w:tc>
          <w:tcPr>
            <w:tcW w:w="1079" w:type="dxa"/>
            <w:tcBorders>
              <w:tl2br w:val="nil"/>
              <w:tr2bl w:val="nil"/>
            </w:tcBorders>
            <w:shd w:val="clear" w:color="auto" w:fill="auto"/>
            <w:vAlign w:val="center"/>
          </w:tcPr>
          <w:p w14:paraId="42849F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1EA49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9.5752 </w:t>
            </w:r>
          </w:p>
        </w:tc>
        <w:tc>
          <w:tcPr>
            <w:tcW w:w="1353" w:type="dxa"/>
            <w:tcBorders>
              <w:tl2br w:val="nil"/>
              <w:tr2bl w:val="nil"/>
            </w:tcBorders>
            <w:shd w:val="clear" w:color="auto" w:fill="auto"/>
            <w:vAlign w:val="center"/>
          </w:tcPr>
          <w:p w14:paraId="7F5183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1143.4000 </w:t>
            </w:r>
          </w:p>
        </w:tc>
      </w:tr>
      <w:tr w14:paraId="7B8B5B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3B0B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530 </w:t>
            </w:r>
          </w:p>
        </w:tc>
        <w:tc>
          <w:tcPr>
            <w:tcW w:w="1443" w:type="dxa"/>
            <w:tcBorders>
              <w:tl2br w:val="nil"/>
              <w:tr2bl w:val="nil"/>
            </w:tcBorders>
            <w:shd w:val="clear" w:color="auto" w:fill="auto"/>
            <w:vAlign w:val="center"/>
          </w:tcPr>
          <w:p w14:paraId="7C9F0F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9.7099 </w:t>
            </w:r>
          </w:p>
        </w:tc>
        <w:tc>
          <w:tcPr>
            <w:tcW w:w="1394" w:type="dxa"/>
            <w:tcBorders>
              <w:tl2br w:val="nil"/>
              <w:tr2bl w:val="nil"/>
            </w:tcBorders>
            <w:shd w:val="clear" w:color="auto" w:fill="auto"/>
            <w:vAlign w:val="center"/>
          </w:tcPr>
          <w:p w14:paraId="1B4E6F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1119.9000 </w:t>
            </w:r>
          </w:p>
        </w:tc>
        <w:tc>
          <w:tcPr>
            <w:tcW w:w="1079" w:type="dxa"/>
            <w:tcBorders>
              <w:tl2br w:val="nil"/>
              <w:tr2bl w:val="nil"/>
            </w:tcBorders>
            <w:shd w:val="clear" w:color="auto" w:fill="auto"/>
            <w:vAlign w:val="center"/>
          </w:tcPr>
          <w:p w14:paraId="4223EF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A38A3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9.7099 </w:t>
            </w:r>
          </w:p>
        </w:tc>
        <w:tc>
          <w:tcPr>
            <w:tcW w:w="1353" w:type="dxa"/>
            <w:tcBorders>
              <w:tl2br w:val="nil"/>
              <w:tr2bl w:val="nil"/>
            </w:tcBorders>
            <w:shd w:val="clear" w:color="auto" w:fill="auto"/>
            <w:vAlign w:val="center"/>
          </w:tcPr>
          <w:p w14:paraId="214784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1119.9000 </w:t>
            </w:r>
          </w:p>
        </w:tc>
      </w:tr>
      <w:tr w14:paraId="0944A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FBD4A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540 </w:t>
            </w:r>
          </w:p>
        </w:tc>
        <w:tc>
          <w:tcPr>
            <w:tcW w:w="1443" w:type="dxa"/>
            <w:tcBorders>
              <w:tl2br w:val="nil"/>
              <w:tr2bl w:val="nil"/>
            </w:tcBorders>
            <w:shd w:val="clear" w:color="auto" w:fill="auto"/>
            <w:vAlign w:val="center"/>
          </w:tcPr>
          <w:p w14:paraId="675115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9.8439 </w:t>
            </w:r>
          </w:p>
        </w:tc>
        <w:tc>
          <w:tcPr>
            <w:tcW w:w="1394" w:type="dxa"/>
            <w:tcBorders>
              <w:tl2br w:val="nil"/>
              <w:tr2bl w:val="nil"/>
            </w:tcBorders>
            <w:shd w:val="clear" w:color="auto" w:fill="auto"/>
            <w:vAlign w:val="center"/>
          </w:tcPr>
          <w:p w14:paraId="07093F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1097.4000 </w:t>
            </w:r>
          </w:p>
        </w:tc>
        <w:tc>
          <w:tcPr>
            <w:tcW w:w="1079" w:type="dxa"/>
            <w:tcBorders>
              <w:tl2br w:val="nil"/>
              <w:tr2bl w:val="nil"/>
            </w:tcBorders>
            <w:shd w:val="clear" w:color="auto" w:fill="auto"/>
            <w:vAlign w:val="center"/>
          </w:tcPr>
          <w:p w14:paraId="2971E3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CF890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9.8439 </w:t>
            </w:r>
          </w:p>
        </w:tc>
        <w:tc>
          <w:tcPr>
            <w:tcW w:w="1353" w:type="dxa"/>
            <w:tcBorders>
              <w:tl2br w:val="nil"/>
              <w:tr2bl w:val="nil"/>
            </w:tcBorders>
            <w:shd w:val="clear" w:color="auto" w:fill="auto"/>
            <w:vAlign w:val="center"/>
          </w:tcPr>
          <w:p w14:paraId="6D9BE7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1097.4000 </w:t>
            </w:r>
          </w:p>
        </w:tc>
      </w:tr>
      <w:tr w14:paraId="3B147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D4FBE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550 </w:t>
            </w:r>
          </w:p>
        </w:tc>
        <w:tc>
          <w:tcPr>
            <w:tcW w:w="1443" w:type="dxa"/>
            <w:tcBorders>
              <w:tl2br w:val="nil"/>
              <w:tr2bl w:val="nil"/>
            </w:tcBorders>
            <w:shd w:val="clear" w:color="auto" w:fill="auto"/>
            <w:vAlign w:val="center"/>
          </w:tcPr>
          <w:p w14:paraId="1CF672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9.9773 </w:t>
            </w:r>
          </w:p>
        </w:tc>
        <w:tc>
          <w:tcPr>
            <w:tcW w:w="1394" w:type="dxa"/>
            <w:tcBorders>
              <w:tl2br w:val="nil"/>
              <w:tr2bl w:val="nil"/>
            </w:tcBorders>
            <w:shd w:val="clear" w:color="auto" w:fill="auto"/>
            <w:vAlign w:val="center"/>
          </w:tcPr>
          <w:p w14:paraId="22F8E2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1075.2000 </w:t>
            </w:r>
          </w:p>
        </w:tc>
        <w:tc>
          <w:tcPr>
            <w:tcW w:w="1079" w:type="dxa"/>
            <w:tcBorders>
              <w:tl2br w:val="nil"/>
              <w:tr2bl w:val="nil"/>
            </w:tcBorders>
            <w:shd w:val="clear" w:color="auto" w:fill="auto"/>
            <w:vAlign w:val="center"/>
          </w:tcPr>
          <w:p w14:paraId="25C66C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29539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9.9773 </w:t>
            </w:r>
          </w:p>
        </w:tc>
        <w:tc>
          <w:tcPr>
            <w:tcW w:w="1353" w:type="dxa"/>
            <w:tcBorders>
              <w:tl2br w:val="nil"/>
              <w:tr2bl w:val="nil"/>
            </w:tcBorders>
            <w:shd w:val="clear" w:color="auto" w:fill="auto"/>
            <w:vAlign w:val="center"/>
          </w:tcPr>
          <w:p w14:paraId="7EA344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1075.2000 </w:t>
            </w:r>
          </w:p>
        </w:tc>
      </w:tr>
      <w:tr w14:paraId="1E3B5F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4DE65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560 </w:t>
            </w:r>
          </w:p>
        </w:tc>
        <w:tc>
          <w:tcPr>
            <w:tcW w:w="1443" w:type="dxa"/>
            <w:tcBorders>
              <w:tl2br w:val="nil"/>
              <w:tr2bl w:val="nil"/>
            </w:tcBorders>
            <w:shd w:val="clear" w:color="auto" w:fill="auto"/>
            <w:vAlign w:val="center"/>
          </w:tcPr>
          <w:p w14:paraId="7EDBF5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10.1100 </w:t>
            </w:r>
          </w:p>
        </w:tc>
        <w:tc>
          <w:tcPr>
            <w:tcW w:w="1394" w:type="dxa"/>
            <w:tcBorders>
              <w:tl2br w:val="nil"/>
              <w:tr2bl w:val="nil"/>
            </w:tcBorders>
            <w:shd w:val="clear" w:color="auto" w:fill="auto"/>
            <w:vAlign w:val="center"/>
          </w:tcPr>
          <w:p w14:paraId="57C83D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1053.9000 </w:t>
            </w:r>
          </w:p>
        </w:tc>
        <w:tc>
          <w:tcPr>
            <w:tcW w:w="1079" w:type="dxa"/>
            <w:tcBorders>
              <w:tl2br w:val="nil"/>
              <w:tr2bl w:val="nil"/>
            </w:tcBorders>
            <w:shd w:val="clear" w:color="auto" w:fill="auto"/>
            <w:vAlign w:val="center"/>
          </w:tcPr>
          <w:p w14:paraId="7C14A1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0AAC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10.1100 </w:t>
            </w:r>
          </w:p>
        </w:tc>
        <w:tc>
          <w:tcPr>
            <w:tcW w:w="1353" w:type="dxa"/>
            <w:tcBorders>
              <w:tl2br w:val="nil"/>
              <w:tr2bl w:val="nil"/>
            </w:tcBorders>
            <w:shd w:val="clear" w:color="auto" w:fill="auto"/>
            <w:vAlign w:val="center"/>
          </w:tcPr>
          <w:p w14:paraId="01EF9D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1053.9000 </w:t>
            </w:r>
          </w:p>
        </w:tc>
      </w:tr>
      <w:tr w14:paraId="3E3D6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D831A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570 </w:t>
            </w:r>
          </w:p>
        </w:tc>
        <w:tc>
          <w:tcPr>
            <w:tcW w:w="1443" w:type="dxa"/>
            <w:tcBorders>
              <w:tl2br w:val="nil"/>
              <w:tr2bl w:val="nil"/>
            </w:tcBorders>
            <w:shd w:val="clear" w:color="auto" w:fill="auto"/>
            <w:vAlign w:val="center"/>
          </w:tcPr>
          <w:p w14:paraId="063134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10.2420 </w:t>
            </w:r>
          </w:p>
        </w:tc>
        <w:tc>
          <w:tcPr>
            <w:tcW w:w="1394" w:type="dxa"/>
            <w:tcBorders>
              <w:tl2br w:val="nil"/>
              <w:tr2bl w:val="nil"/>
            </w:tcBorders>
            <w:shd w:val="clear" w:color="auto" w:fill="auto"/>
            <w:vAlign w:val="center"/>
          </w:tcPr>
          <w:p w14:paraId="222F72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1033.4000 </w:t>
            </w:r>
          </w:p>
        </w:tc>
        <w:tc>
          <w:tcPr>
            <w:tcW w:w="1079" w:type="dxa"/>
            <w:tcBorders>
              <w:tl2br w:val="nil"/>
              <w:tr2bl w:val="nil"/>
            </w:tcBorders>
            <w:shd w:val="clear" w:color="auto" w:fill="auto"/>
            <w:vAlign w:val="center"/>
          </w:tcPr>
          <w:p w14:paraId="32D07A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B099B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10.2420 </w:t>
            </w:r>
          </w:p>
        </w:tc>
        <w:tc>
          <w:tcPr>
            <w:tcW w:w="1353" w:type="dxa"/>
            <w:tcBorders>
              <w:tl2br w:val="nil"/>
              <w:tr2bl w:val="nil"/>
            </w:tcBorders>
            <w:shd w:val="clear" w:color="auto" w:fill="auto"/>
            <w:vAlign w:val="center"/>
          </w:tcPr>
          <w:p w14:paraId="2B7270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1033.4000 </w:t>
            </w:r>
          </w:p>
        </w:tc>
      </w:tr>
      <w:tr w14:paraId="7A9A0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CCE53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580 </w:t>
            </w:r>
          </w:p>
        </w:tc>
        <w:tc>
          <w:tcPr>
            <w:tcW w:w="1443" w:type="dxa"/>
            <w:tcBorders>
              <w:tl2br w:val="nil"/>
              <w:tr2bl w:val="nil"/>
            </w:tcBorders>
            <w:shd w:val="clear" w:color="auto" w:fill="auto"/>
            <w:vAlign w:val="center"/>
          </w:tcPr>
          <w:p w14:paraId="77B4BF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10.3740 </w:t>
            </w:r>
          </w:p>
        </w:tc>
        <w:tc>
          <w:tcPr>
            <w:tcW w:w="1394" w:type="dxa"/>
            <w:tcBorders>
              <w:tl2br w:val="nil"/>
              <w:tr2bl w:val="nil"/>
            </w:tcBorders>
            <w:shd w:val="clear" w:color="auto" w:fill="auto"/>
            <w:vAlign w:val="center"/>
          </w:tcPr>
          <w:p w14:paraId="224B6A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1013.7000 </w:t>
            </w:r>
          </w:p>
        </w:tc>
        <w:tc>
          <w:tcPr>
            <w:tcW w:w="1079" w:type="dxa"/>
            <w:tcBorders>
              <w:tl2br w:val="nil"/>
              <w:tr2bl w:val="nil"/>
            </w:tcBorders>
            <w:shd w:val="clear" w:color="auto" w:fill="auto"/>
            <w:vAlign w:val="center"/>
          </w:tcPr>
          <w:p w14:paraId="0267C4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3013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10.3740 </w:t>
            </w:r>
          </w:p>
        </w:tc>
        <w:tc>
          <w:tcPr>
            <w:tcW w:w="1353" w:type="dxa"/>
            <w:tcBorders>
              <w:tl2br w:val="nil"/>
              <w:tr2bl w:val="nil"/>
            </w:tcBorders>
            <w:shd w:val="clear" w:color="auto" w:fill="auto"/>
            <w:vAlign w:val="center"/>
          </w:tcPr>
          <w:p w14:paraId="5BF81C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1013.7000 </w:t>
            </w:r>
          </w:p>
        </w:tc>
      </w:tr>
      <w:tr w14:paraId="787B2A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D62AC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590 </w:t>
            </w:r>
          </w:p>
        </w:tc>
        <w:tc>
          <w:tcPr>
            <w:tcW w:w="1443" w:type="dxa"/>
            <w:tcBorders>
              <w:tl2br w:val="nil"/>
              <w:tr2bl w:val="nil"/>
            </w:tcBorders>
            <w:shd w:val="clear" w:color="auto" w:fill="auto"/>
            <w:vAlign w:val="center"/>
          </w:tcPr>
          <w:p w14:paraId="4596B9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10.5050 </w:t>
            </w:r>
          </w:p>
        </w:tc>
        <w:tc>
          <w:tcPr>
            <w:tcW w:w="1394" w:type="dxa"/>
            <w:tcBorders>
              <w:tl2br w:val="nil"/>
              <w:tr2bl w:val="nil"/>
            </w:tcBorders>
            <w:shd w:val="clear" w:color="auto" w:fill="auto"/>
            <w:vAlign w:val="center"/>
          </w:tcPr>
          <w:p w14:paraId="7316EA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994.7800 </w:t>
            </w:r>
          </w:p>
        </w:tc>
        <w:tc>
          <w:tcPr>
            <w:tcW w:w="1079" w:type="dxa"/>
            <w:tcBorders>
              <w:tl2br w:val="nil"/>
              <w:tr2bl w:val="nil"/>
            </w:tcBorders>
            <w:shd w:val="clear" w:color="auto" w:fill="auto"/>
            <w:vAlign w:val="center"/>
          </w:tcPr>
          <w:p w14:paraId="3D988B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E1F16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10.5050 </w:t>
            </w:r>
          </w:p>
        </w:tc>
        <w:tc>
          <w:tcPr>
            <w:tcW w:w="1353" w:type="dxa"/>
            <w:tcBorders>
              <w:tl2br w:val="nil"/>
              <w:tr2bl w:val="nil"/>
            </w:tcBorders>
            <w:shd w:val="clear" w:color="auto" w:fill="auto"/>
            <w:vAlign w:val="center"/>
          </w:tcPr>
          <w:p w14:paraId="46E753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994.7800 </w:t>
            </w:r>
          </w:p>
        </w:tc>
      </w:tr>
      <w:tr w14:paraId="2065E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4730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600 </w:t>
            </w:r>
          </w:p>
        </w:tc>
        <w:tc>
          <w:tcPr>
            <w:tcW w:w="1443" w:type="dxa"/>
            <w:tcBorders>
              <w:tl2br w:val="nil"/>
              <w:tr2bl w:val="nil"/>
            </w:tcBorders>
            <w:shd w:val="clear" w:color="auto" w:fill="auto"/>
            <w:vAlign w:val="center"/>
          </w:tcPr>
          <w:p w14:paraId="55B25B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10.6360 </w:t>
            </w:r>
          </w:p>
        </w:tc>
        <w:tc>
          <w:tcPr>
            <w:tcW w:w="1394" w:type="dxa"/>
            <w:tcBorders>
              <w:tl2br w:val="nil"/>
              <w:tr2bl w:val="nil"/>
            </w:tcBorders>
            <w:shd w:val="clear" w:color="auto" w:fill="auto"/>
            <w:vAlign w:val="center"/>
          </w:tcPr>
          <w:p w14:paraId="09089B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976.5400 </w:t>
            </w:r>
          </w:p>
        </w:tc>
        <w:tc>
          <w:tcPr>
            <w:tcW w:w="1079" w:type="dxa"/>
            <w:tcBorders>
              <w:tl2br w:val="nil"/>
              <w:tr2bl w:val="nil"/>
            </w:tcBorders>
            <w:shd w:val="clear" w:color="auto" w:fill="auto"/>
            <w:vAlign w:val="center"/>
          </w:tcPr>
          <w:p w14:paraId="5678B5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3C5B6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10.6360 </w:t>
            </w:r>
          </w:p>
        </w:tc>
        <w:tc>
          <w:tcPr>
            <w:tcW w:w="1353" w:type="dxa"/>
            <w:tcBorders>
              <w:tl2br w:val="nil"/>
              <w:tr2bl w:val="nil"/>
            </w:tcBorders>
            <w:shd w:val="clear" w:color="auto" w:fill="auto"/>
            <w:vAlign w:val="center"/>
          </w:tcPr>
          <w:p w14:paraId="511420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976.5400 </w:t>
            </w:r>
          </w:p>
        </w:tc>
      </w:tr>
      <w:tr w14:paraId="66E34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E6E09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610 </w:t>
            </w:r>
          </w:p>
        </w:tc>
        <w:tc>
          <w:tcPr>
            <w:tcW w:w="1443" w:type="dxa"/>
            <w:tcBorders>
              <w:tl2br w:val="nil"/>
              <w:tr2bl w:val="nil"/>
            </w:tcBorders>
            <w:shd w:val="clear" w:color="auto" w:fill="auto"/>
            <w:vAlign w:val="center"/>
          </w:tcPr>
          <w:p w14:paraId="63C5EE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10.7660 </w:t>
            </w:r>
          </w:p>
        </w:tc>
        <w:tc>
          <w:tcPr>
            <w:tcW w:w="1394" w:type="dxa"/>
            <w:tcBorders>
              <w:tl2br w:val="nil"/>
              <w:tr2bl w:val="nil"/>
            </w:tcBorders>
            <w:shd w:val="clear" w:color="auto" w:fill="auto"/>
            <w:vAlign w:val="center"/>
          </w:tcPr>
          <w:p w14:paraId="2793D9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958.9800 </w:t>
            </w:r>
          </w:p>
        </w:tc>
        <w:tc>
          <w:tcPr>
            <w:tcW w:w="1079" w:type="dxa"/>
            <w:tcBorders>
              <w:tl2br w:val="nil"/>
              <w:tr2bl w:val="nil"/>
            </w:tcBorders>
            <w:shd w:val="clear" w:color="auto" w:fill="auto"/>
            <w:vAlign w:val="center"/>
          </w:tcPr>
          <w:p w14:paraId="19DC14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DD4C8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10.7660 </w:t>
            </w:r>
          </w:p>
        </w:tc>
        <w:tc>
          <w:tcPr>
            <w:tcW w:w="1353" w:type="dxa"/>
            <w:tcBorders>
              <w:tl2br w:val="nil"/>
              <w:tr2bl w:val="nil"/>
            </w:tcBorders>
            <w:shd w:val="clear" w:color="auto" w:fill="auto"/>
            <w:vAlign w:val="center"/>
          </w:tcPr>
          <w:p w14:paraId="5D7072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958.9800 </w:t>
            </w:r>
          </w:p>
        </w:tc>
      </w:tr>
      <w:tr w14:paraId="61BD73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C43B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620 </w:t>
            </w:r>
          </w:p>
        </w:tc>
        <w:tc>
          <w:tcPr>
            <w:tcW w:w="1443" w:type="dxa"/>
            <w:tcBorders>
              <w:tl2br w:val="nil"/>
              <w:tr2bl w:val="nil"/>
            </w:tcBorders>
            <w:shd w:val="clear" w:color="auto" w:fill="auto"/>
            <w:vAlign w:val="center"/>
          </w:tcPr>
          <w:p w14:paraId="4349B7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10.8950 </w:t>
            </w:r>
          </w:p>
        </w:tc>
        <w:tc>
          <w:tcPr>
            <w:tcW w:w="1394" w:type="dxa"/>
            <w:tcBorders>
              <w:tl2br w:val="nil"/>
              <w:tr2bl w:val="nil"/>
            </w:tcBorders>
            <w:shd w:val="clear" w:color="auto" w:fill="auto"/>
            <w:vAlign w:val="center"/>
          </w:tcPr>
          <w:p w14:paraId="410183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942.0600 </w:t>
            </w:r>
          </w:p>
        </w:tc>
        <w:tc>
          <w:tcPr>
            <w:tcW w:w="1079" w:type="dxa"/>
            <w:tcBorders>
              <w:tl2br w:val="nil"/>
              <w:tr2bl w:val="nil"/>
            </w:tcBorders>
            <w:shd w:val="clear" w:color="auto" w:fill="auto"/>
            <w:vAlign w:val="center"/>
          </w:tcPr>
          <w:p w14:paraId="0CF08B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C28C1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10.8950 </w:t>
            </w:r>
          </w:p>
        </w:tc>
        <w:tc>
          <w:tcPr>
            <w:tcW w:w="1353" w:type="dxa"/>
            <w:tcBorders>
              <w:tl2br w:val="nil"/>
              <w:tr2bl w:val="nil"/>
            </w:tcBorders>
            <w:shd w:val="clear" w:color="auto" w:fill="auto"/>
            <w:vAlign w:val="center"/>
          </w:tcPr>
          <w:p w14:paraId="57BD08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942.0600 </w:t>
            </w:r>
          </w:p>
        </w:tc>
      </w:tr>
      <w:tr w14:paraId="5C086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4EC4E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630 </w:t>
            </w:r>
          </w:p>
        </w:tc>
        <w:tc>
          <w:tcPr>
            <w:tcW w:w="1443" w:type="dxa"/>
            <w:tcBorders>
              <w:tl2br w:val="nil"/>
              <w:tr2bl w:val="nil"/>
            </w:tcBorders>
            <w:shd w:val="clear" w:color="auto" w:fill="auto"/>
            <w:vAlign w:val="center"/>
          </w:tcPr>
          <w:p w14:paraId="7515D4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11.0240 </w:t>
            </w:r>
          </w:p>
        </w:tc>
        <w:tc>
          <w:tcPr>
            <w:tcW w:w="1394" w:type="dxa"/>
            <w:tcBorders>
              <w:tl2br w:val="nil"/>
              <w:tr2bl w:val="nil"/>
            </w:tcBorders>
            <w:shd w:val="clear" w:color="auto" w:fill="auto"/>
            <w:vAlign w:val="center"/>
          </w:tcPr>
          <w:p w14:paraId="66FB2D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925.7500 </w:t>
            </w:r>
          </w:p>
        </w:tc>
        <w:tc>
          <w:tcPr>
            <w:tcW w:w="1079" w:type="dxa"/>
            <w:tcBorders>
              <w:tl2br w:val="nil"/>
              <w:tr2bl w:val="nil"/>
            </w:tcBorders>
            <w:shd w:val="clear" w:color="auto" w:fill="auto"/>
            <w:vAlign w:val="center"/>
          </w:tcPr>
          <w:p w14:paraId="49662D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7A14D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11.0240 </w:t>
            </w:r>
          </w:p>
        </w:tc>
        <w:tc>
          <w:tcPr>
            <w:tcW w:w="1353" w:type="dxa"/>
            <w:tcBorders>
              <w:tl2br w:val="nil"/>
              <w:tr2bl w:val="nil"/>
            </w:tcBorders>
            <w:shd w:val="clear" w:color="auto" w:fill="auto"/>
            <w:vAlign w:val="center"/>
          </w:tcPr>
          <w:p w14:paraId="69E142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925.7500 </w:t>
            </w:r>
          </w:p>
        </w:tc>
      </w:tr>
      <w:tr w14:paraId="686917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4C4B5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640 </w:t>
            </w:r>
          </w:p>
        </w:tc>
        <w:tc>
          <w:tcPr>
            <w:tcW w:w="1443" w:type="dxa"/>
            <w:tcBorders>
              <w:tl2br w:val="nil"/>
              <w:tr2bl w:val="nil"/>
            </w:tcBorders>
            <w:shd w:val="clear" w:color="auto" w:fill="auto"/>
            <w:vAlign w:val="center"/>
          </w:tcPr>
          <w:p w14:paraId="5C3F88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11.1530 </w:t>
            </w:r>
          </w:p>
        </w:tc>
        <w:tc>
          <w:tcPr>
            <w:tcW w:w="1394" w:type="dxa"/>
            <w:tcBorders>
              <w:tl2br w:val="nil"/>
              <w:tr2bl w:val="nil"/>
            </w:tcBorders>
            <w:shd w:val="clear" w:color="auto" w:fill="auto"/>
            <w:vAlign w:val="center"/>
          </w:tcPr>
          <w:p w14:paraId="42FC33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910.0100 </w:t>
            </w:r>
          </w:p>
        </w:tc>
        <w:tc>
          <w:tcPr>
            <w:tcW w:w="1079" w:type="dxa"/>
            <w:tcBorders>
              <w:tl2br w:val="nil"/>
              <w:tr2bl w:val="nil"/>
            </w:tcBorders>
            <w:shd w:val="clear" w:color="auto" w:fill="auto"/>
            <w:vAlign w:val="center"/>
          </w:tcPr>
          <w:p w14:paraId="093EB7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8CF7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11.1530 </w:t>
            </w:r>
          </w:p>
        </w:tc>
        <w:tc>
          <w:tcPr>
            <w:tcW w:w="1353" w:type="dxa"/>
            <w:tcBorders>
              <w:tl2br w:val="nil"/>
              <w:tr2bl w:val="nil"/>
            </w:tcBorders>
            <w:shd w:val="clear" w:color="auto" w:fill="auto"/>
            <w:vAlign w:val="center"/>
          </w:tcPr>
          <w:p w14:paraId="4E1476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910.0100 </w:t>
            </w:r>
          </w:p>
        </w:tc>
      </w:tr>
      <w:tr w14:paraId="475C91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88D04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650 </w:t>
            </w:r>
          </w:p>
        </w:tc>
        <w:tc>
          <w:tcPr>
            <w:tcW w:w="1443" w:type="dxa"/>
            <w:tcBorders>
              <w:tl2br w:val="nil"/>
              <w:tr2bl w:val="nil"/>
            </w:tcBorders>
            <w:shd w:val="clear" w:color="auto" w:fill="auto"/>
            <w:vAlign w:val="center"/>
          </w:tcPr>
          <w:p w14:paraId="0AB973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11.2810 </w:t>
            </w:r>
          </w:p>
        </w:tc>
        <w:tc>
          <w:tcPr>
            <w:tcW w:w="1394" w:type="dxa"/>
            <w:tcBorders>
              <w:tl2br w:val="nil"/>
              <w:tr2bl w:val="nil"/>
            </w:tcBorders>
            <w:shd w:val="clear" w:color="auto" w:fill="auto"/>
            <w:vAlign w:val="center"/>
          </w:tcPr>
          <w:p w14:paraId="1F4109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894.4500 </w:t>
            </w:r>
          </w:p>
        </w:tc>
        <w:tc>
          <w:tcPr>
            <w:tcW w:w="1079" w:type="dxa"/>
            <w:tcBorders>
              <w:tl2br w:val="nil"/>
              <w:tr2bl w:val="nil"/>
            </w:tcBorders>
            <w:shd w:val="clear" w:color="auto" w:fill="auto"/>
            <w:vAlign w:val="center"/>
          </w:tcPr>
          <w:p w14:paraId="5A8C94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F8B2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11.2810 </w:t>
            </w:r>
          </w:p>
        </w:tc>
        <w:tc>
          <w:tcPr>
            <w:tcW w:w="1353" w:type="dxa"/>
            <w:tcBorders>
              <w:tl2br w:val="nil"/>
              <w:tr2bl w:val="nil"/>
            </w:tcBorders>
            <w:shd w:val="clear" w:color="auto" w:fill="auto"/>
            <w:vAlign w:val="center"/>
          </w:tcPr>
          <w:p w14:paraId="7A2075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894.4500 </w:t>
            </w:r>
          </w:p>
        </w:tc>
      </w:tr>
      <w:tr w14:paraId="78739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60CF6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660 </w:t>
            </w:r>
          </w:p>
        </w:tc>
        <w:tc>
          <w:tcPr>
            <w:tcW w:w="1443" w:type="dxa"/>
            <w:tcBorders>
              <w:tl2br w:val="nil"/>
              <w:tr2bl w:val="nil"/>
            </w:tcBorders>
            <w:shd w:val="clear" w:color="auto" w:fill="auto"/>
            <w:vAlign w:val="center"/>
          </w:tcPr>
          <w:p w14:paraId="468A1F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11.4090 </w:t>
            </w:r>
          </w:p>
        </w:tc>
        <w:tc>
          <w:tcPr>
            <w:tcW w:w="1394" w:type="dxa"/>
            <w:tcBorders>
              <w:tl2br w:val="nil"/>
              <w:tr2bl w:val="nil"/>
            </w:tcBorders>
            <w:shd w:val="clear" w:color="auto" w:fill="auto"/>
            <w:vAlign w:val="center"/>
          </w:tcPr>
          <w:p w14:paraId="37F9EE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879.3500 </w:t>
            </w:r>
          </w:p>
        </w:tc>
        <w:tc>
          <w:tcPr>
            <w:tcW w:w="1079" w:type="dxa"/>
            <w:tcBorders>
              <w:tl2br w:val="nil"/>
              <w:tr2bl w:val="nil"/>
            </w:tcBorders>
            <w:shd w:val="clear" w:color="auto" w:fill="auto"/>
            <w:vAlign w:val="center"/>
          </w:tcPr>
          <w:p w14:paraId="3135B9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B1FDC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11.4090 </w:t>
            </w:r>
          </w:p>
        </w:tc>
        <w:tc>
          <w:tcPr>
            <w:tcW w:w="1353" w:type="dxa"/>
            <w:tcBorders>
              <w:tl2br w:val="nil"/>
              <w:tr2bl w:val="nil"/>
            </w:tcBorders>
            <w:shd w:val="clear" w:color="auto" w:fill="auto"/>
            <w:vAlign w:val="center"/>
          </w:tcPr>
          <w:p w14:paraId="1667F4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879.3500 </w:t>
            </w:r>
          </w:p>
        </w:tc>
      </w:tr>
      <w:tr w14:paraId="2320E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C953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670 </w:t>
            </w:r>
          </w:p>
        </w:tc>
        <w:tc>
          <w:tcPr>
            <w:tcW w:w="1443" w:type="dxa"/>
            <w:tcBorders>
              <w:tl2br w:val="nil"/>
              <w:tr2bl w:val="nil"/>
            </w:tcBorders>
            <w:shd w:val="clear" w:color="auto" w:fill="auto"/>
            <w:vAlign w:val="center"/>
          </w:tcPr>
          <w:p w14:paraId="32F797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11.5360 </w:t>
            </w:r>
          </w:p>
        </w:tc>
        <w:tc>
          <w:tcPr>
            <w:tcW w:w="1394" w:type="dxa"/>
            <w:tcBorders>
              <w:tl2br w:val="nil"/>
              <w:tr2bl w:val="nil"/>
            </w:tcBorders>
            <w:shd w:val="clear" w:color="auto" w:fill="auto"/>
            <w:vAlign w:val="center"/>
          </w:tcPr>
          <w:p w14:paraId="5C29D7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864.7300 </w:t>
            </w:r>
          </w:p>
        </w:tc>
        <w:tc>
          <w:tcPr>
            <w:tcW w:w="1079" w:type="dxa"/>
            <w:tcBorders>
              <w:tl2br w:val="nil"/>
              <w:tr2bl w:val="nil"/>
            </w:tcBorders>
            <w:shd w:val="clear" w:color="auto" w:fill="auto"/>
            <w:vAlign w:val="center"/>
          </w:tcPr>
          <w:p w14:paraId="6F0798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36D83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11.5360 </w:t>
            </w:r>
          </w:p>
        </w:tc>
        <w:tc>
          <w:tcPr>
            <w:tcW w:w="1353" w:type="dxa"/>
            <w:tcBorders>
              <w:tl2br w:val="nil"/>
              <w:tr2bl w:val="nil"/>
            </w:tcBorders>
            <w:shd w:val="clear" w:color="auto" w:fill="auto"/>
            <w:vAlign w:val="center"/>
          </w:tcPr>
          <w:p w14:paraId="5918BB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864.7300 </w:t>
            </w:r>
          </w:p>
        </w:tc>
      </w:tr>
      <w:tr w14:paraId="4BA5D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560DD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680 </w:t>
            </w:r>
          </w:p>
        </w:tc>
        <w:tc>
          <w:tcPr>
            <w:tcW w:w="1443" w:type="dxa"/>
            <w:tcBorders>
              <w:tl2br w:val="nil"/>
              <w:tr2bl w:val="nil"/>
            </w:tcBorders>
            <w:shd w:val="clear" w:color="auto" w:fill="auto"/>
            <w:vAlign w:val="center"/>
          </w:tcPr>
          <w:p w14:paraId="0427E9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11.6620 </w:t>
            </w:r>
          </w:p>
        </w:tc>
        <w:tc>
          <w:tcPr>
            <w:tcW w:w="1394" w:type="dxa"/>
            <w:tcBorders>
              <w:tl2br w:val="nil"/>
              <w:tr2bl w:val="nil"/>
            </w:tcBorders>
            <w:shd w:val="clear" w:color="auto" w:fill="auto"/>
            <w:vAlign w:val="center"/>
          </w:tcPr>
          <w:p w14:paraId="3FFC26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850.5700 </w:t>
            </w:r>
          </w:p>
        </w:tc>
        <w:tc>
          <w:tcPr>
            <w:tcW w:w="1079" w:type="dxa"/>
            <w:tcBorders>
              <w:tl2br w:val="nil"/>
              <w:tr2bl w:val="nil"/>
            </w:tcBorders>
            <w:shd w:val="clear" w:color="auto" w:fill="auto"/>
            <w:vAlign w:val="center"/>
          </w:tcPr>
          <w:p w14:paraId="32C419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79120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11.6620 </w:t>
            </w:r>
          </w:p>
        </w:tc>
        <w:tc>
          <w:tcPr>
            <w:tcW w:w="1353" w:type="dxa"/>
            <w:tcBorders>
              <w:tl2br w:val="nil"/>
              <w:tr2bl w:val="nil"/>
            </w:tcBorders>
            <w:shd w:val="clear" w:color="auto" w:fill="auto"/>
            <w:vAlign w:val="center"/>
          </w:tcPr>
          <w:p w14:paraId="4F4E35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850.5700 </w:t>
            </w:r>
          </w:p>
        </w:tc>
      </w:tr>
      <w:tr w14:paraId="145BB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63DFD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690 </w:t>
            </w:r>
          </w:p>
        </w:tc>
        <w:tc>
          <w:tcPr>
            <w:tcW w:w="1443" w:type="dxa"/>
            <w:tcBorders>
              <w:tl2br w:val="nil"/>
              <w:tr2bl w:val="nil"/>
            </w:tcBorders>
            <w:shd w:val="clear" w:color="auto" w:fill="auto"/>
            <w:vAlign w:val="center"/>
          </w:tcPr>
          <w:p w14:paraId="569DF7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11.7890 </w:t>
            </w:r>
          </w:p>
        </w:tc>
        <w:tc>
          <w:tcPr>
            <w:tcW w:w="1394" w:type="dxa"/>
            <w:tcBorders>
              <w:tl2br w:val="nil"/>
              <w:tr2bl w:val="nil"/>
            </w:tcBorders>
            <w:shd w:val="clear" w:color="auto" w:fill="auto"/>
            <w:vAlign w:val="center"/>
          </w:tcPr>
          <w:p w14:paraId="15CD8B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836.8600 </w:t>
            </w:r>
          </w:p>
        </w:tc>
        <w:tc>
          <w:tcPr>
            <w:tcW w:w="1079" w:type="dxa"/>
            <w:tcBorders>
              <w:tl2br w:val="nil"/>
              <w:tr2bl w:val="nil"/>
            </w:tcBorders>
            <w:shd w:val="clear" w:color="auto" w:fill="auto"/>
            <w:vAlign w:val="center"/>
          </w:tcPr>
          <w:p w14:paraId="5FE6FB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28CB9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11.7890 </w:t>
            </w:r>
          </w:p>
        </w:tc>
        <w:tc>
          <w:tcPr>
            <w:tcW w:w="1353" w:type="dxa"/>
            <w:tcBorders>
              <w:tl2br w:val="nil"/>
              <w:tr2bl w:val="nil"/>
            </w:tcBorders>
            <w:shd w:val="clear" w:color="auto" w:fill="auto"/>
            <w:vAlign w:val="center"/>
          </w:tcPr>
          <w:p w14:paraId="12C3DA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836.8600 </w:t>
            </w:r>
          </w:p>
        </w:tc>
      </w:tr>
      <w:tr w14:paraId="3B471D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62C1E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700 </w:t>
            </w:r>
          </w:p>
        </w:tc>
        <w:tc>
          <w:tcPr>
            <w:tcW w:w="1443" w:type="dxa"/>
            <w:tcBorders>
              <w:tl2br w:val="nil"/>
              <w:tr2bl w:val="nil"/>
            </w:tcBorders>
            <w:shd w:val="clear" w:color="auto" w:fill="auto"/>
            <w:vAlign w:val="center"/>
          </w:tcPr>
          <w:p w14:paraId="130DC8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11.9140 </w:t>
            </w:r>
          </w:p>
        </w:tc>
        <w:tc>
          <w:tcPr>
            <w:tcW w:w="1394" w:type="dxa"/>
            <w:tcBorders>
              <w:tl2br w:val="nil"/>
              <w:tr2bl w:val="nil"/>
            </w:tcBorders>
            <w:shd w:val="clear" w:color="auto" w:fill="auto"/>
            <w:vAlign w:val="center"/>
          </w:tcPr>
          <w:p w14:paraId="6E6BCC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823.5800 </w:t>
            </w:r>
          </w:p>
        </w:tc>
        <w:tc>
          <w:tcPr>
            <w:tcW w:w="1079" w:type="dxa"/>
            <w:tcBorders>
              <w:tl2br w:val="nil"/>
              <w:tr2bl w:val="nil"/>
            </w:tcBorders>
            <w:shd w:val="clear" w:color="auto" w:fill="auto"/>
            <w:vAlign w:val="center"/>
          </w:tcPr>
          <w:p w14:paraId="36B1B0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19A7F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11.9140 </w:t>
            </w:r>
          </w:p>
        </w:tc>
        <w:tc>
          <w:tcPr>
            <w:tcW w:w="1353" w:type="dxa"/>
            <w:tcBorders>
              <w:tl2br w:val="nil"/>
              <w:tr2bl w:val="nil"/>
            </w:tcBorders>
            <w:shd w:val="clear" w:color="auto" w:fill="auto"/>
            <w:vAlign w:val="center"/>
          </w:tcPr>
          <w:p w14:paraId="6AEBA9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823.5800 </w:t>
            </w:r>
          </w:p>
        </w:tc>
      </w:tr>
      <w:tr w14:paraId="132658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D396F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710 </w:t>
            </w:r>
          </w:p>
        </w:tc>
        <w:tc>
          <w:tcPr>
            <w:tcW w:w="1443" w:type="dxa"/>
            <w:tcBorders>
              <w:tl2br w:val="nil"/>
              <w:tr2bl w:val="nil"/>
            </w:tcBorders>
            <w:shd w:val="clear" w:color="auto" w:fill="auto"/>
            <w:vAlign w:val="center"/>
          </w:tcPr>
          <w:p w14:paraId="458D9F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12.0400 </w:t>
            </w:r>
          </w:p>
        </w:tc>
        <w:tc>
          <w:tcPr>
            <w:tcW w:w="1394" w:type="dxa"/>
            <w:tcBorders>
              <w:tl2br w:val="nil"/>
              <w:tr2bl w:val="nil"/>
            </w:tcBorders>
            <w:shd w:val="clear" w:color="auto" w:fill="auto"/>
            <w:vAlign w:val="center"/>
          </w:tcPr>
          <w:p w14:paraId="2E13FA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810.7100 </w:t>
            </w:r>
          </w:p>
        </w:tc>
        <w:tc>
          <w:tcPr>
            <w:tcW w:w="1079" w:type="dxa"/>
            <w:tcBorders>
              <w:tl2br w:val="nil"/>
              <w:tr2bl w:val="nil"/>
            </w:tcBorders>
            <w:shd w:val="clear" w:color="auto" w:fill="auto"/>
            <w:vAlign w:val="center"/>
          </w:tcPr>
          <w:p w14:paraId="6899BA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47D9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12.0400 </w:t>
            </w:r>
          </w:p>
        </w:tc>
        <w:tc>
          <w:tcPr>
            <w:tcW w:w="1353" w:type="dxa"/>
            <w:tcBorders>
              <w:tl2br w:val="nil"/>
              <w:tr2bl w:val="nil"/>
            </w:tcBorders>
            <w:shd w:val="clear" w:color="auto" w:fill="auto"/>
            <w:vAlign w:val="center"/>
          </w:tcPr>
          <w:p w14:paraId="099A8B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810.7100 </w:t>
            </w:r>
          </w:p>
        </w:tc>
      </w:tr>
      <w:tr w14:paraId="68A81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1A748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720 </w:t>
            </w:r>
          </w:p>
        </w:tc>
        <w:tc>
          <w:tcPr>
            <w:tcW w:w="1443" w:type="dxa"/>
            <w:tcBorders>
              <w:tl2br w:val="nil"/>
              <w:tr2bl w:val="nil"/>
            </w:tcBorders>
            <w:shd w:val="clear" w:color="auto" w:fill="auto"/>
            <w:vAlign w:val="center"/>
          </w:tcPr>
          <w:p w14:paraId="1BA2EE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12.1650 </w:t>
            </w:r>
          </w:p>
        </w:tc>
        <w:tc>
          <w:tcPr>
            <w:tcW w:w="1394" w:type="dxa"/>
            <w:tcBorders>
              <w:tl2br w:val="nil"/>
              <w:tr2bl w:val="nil"/>
            </w:tcBorders>
            <w:shd w:val="clear" w:color="auto" w:fill="auto"/>
            <w:vAlign w:val="center"/>
          </w:tcPr>
          <w:p w14:paraId="5BA7AD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798.2400 </w:t>
            </w:r>
          </w:p>
        </w:tc>
        <w:tc>
          <w:tcPr>
            <w:tcW w:w="1079" w:type="dxa"/>
            <w:tcBorders>
              <w:tl2br w:val="nil"/>
              <w:tr2bl w:val="nil"/>
            </w:tcBorders>
            <w:shd w:val="clear" w:color="auto" w:fill="auto"/>
            <w:vAlign w:val="center"/>
          </w:tcPr>
          <w:p w14:paraId="75E2DD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040B5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12.1650 </w:t>
            </w:r>
          </w:p>
        </w:tc>
        <w:tc>
          <w:tcPr>
            <w:tcW w:w="1353" w:type="dxa"/>
            <w:tcBorders>
              <w:tl2br w:val="nil"/>
              <w:tr2bl w:val="nil"/>
            </w:tcBorders>
            <w:shd w:val="clear" w:color="auto" w:fill="auto"/>
            <w:vAlign w:val="center"/>
          </w:tcPr>
          <w:p w14:paraId="728C60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798.2400 </w:t>
            </w:r>
          </w:p>
        </w:tc>
      </w:tr>
      <w:tr w14:paraId="67976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522F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730 </w:t>
            </w:r>
          </w:p>
        </w:tc>
        <w:tc>
          <w:tcPr>
            <w:tcW w:w="1443" w:type="dxa"/>
            <w:tcBorders>
              <w:tl2br w:val="nil"/>
              <w:tr2bl w:val="nil"/>
            </w:tcBorders>
            <w:shd w:val="clear" w:color="auto" w:fill="auto"/>
            <w:vAlign w:val="center"/>
          </w:tcPr>
          <w:p w14:paraId="372AAB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12.2890 </w:t>
            </w:r>
          </w:p>
        </w:tc>
        <w:tc>
          <w:tcPr>
            <w:tcW w:w="1394" w:type="dxa"/>
            <w:tcBorders>
              <w:tl2br w:val="nil"/>
              <w:tr2bl w:val="nil"/>
            </w:tcBorders>
            <w:shd w:val="clear" w:color="auto" w:fill="auto"/>
            <w:vAlign w:val="center"/>
          </w:tcPr>
          <w:p w14:paraId="4743FB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786.1500 </w:t>
            </w:r>
          </w:p>
        </w:tc>
        <w:tc>
          <w:tcPr>
            <w:tcW w:w="1079" w:type="dxa"/>
            <w:tcBorders>
              <w:tl2br w:val="nil"/>
              <w:tr2bl w:val="nil"/>
            </w:tcBorders>
            <w:shd w:val="clear" w:color="auto" w:fill="auto"/>
            <w:vAlign w:val="center"/>
          </w:tcPr>
          <w:p w14:paraId="39ADE8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9E910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12.2890 </w:t>
            </w:r>
          </w:p>
        </w:tc>
        <w:tc>
          <w:tcPr>
            <w:tcW w:w="1353" w:type="dxa"/>
            <w:tcBorders>
              <w:tl2br w:val="nil"/>
              <w:tr2bl w:val="nil"/>
            </w:tcBorders>
            <w:shd w:val="clear" w:color="auto" w:fill="auto"/>
            <w:vAlign w:val="center"/>
          </w:tcPr>
          <w:p w14:paraId="5EFC01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786.1500 </w:t>
            </w:r>
          </w:p>
        </w:tc>
      </w:tr>
      <w:tr w14:paraId="052E6E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F56DF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740 </w:t>
            </w:r>
          </w:p>
        </w:tc>
        <w:tc>
          <w:tcPr>
            <w:tcW w:w="1443" w:type="dxa"/>
            <w:tcBorders>
              <w:tl2br w:val="nil"/>
              <w:tr2bl w:val="nil"/>
            </w:tcBorders>
            <w:shd w:val="clear" w:color="auto" w:fill="auto"/>
            <w:vAlign w:val="center"/>
          </w:tcPr>
          <w:p w14:paraId="450870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12.4130 </w:t>
            </w:r>
          </w:p>
        </w:tc>
        <w:tc>
          <w:tcPr>
            <w:tcW w:w="1394" w:type="dxa"/>
            <w:tcBorders>
              <w:tl2br w:val="nil"/>
              <w:tr2bl w:val="nil"/>
            </w:tcBorders>
            <w:shd w:val="clear" w:color="auto" w:fill="auto"/>
            <w:vAlign w:val="center"/>
          </w:tcPr>
          <w:p w14:paraId="19B9E1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774.4100 </w:t>
            </w:r>
          </w:p>
        </w:tc>
        <w:tc>
          <w:tcPr>
            <w:tcW w:w="1079" w:type="dxa"/>
            <w:tcBorders>
              <w:tl2br w:val="nil"/>
              <w:tr2bl w:val="nil"/>
            </w:tcBorders>
            <w:shd w:val="clear" w:color="auto" w:fill="auto"/>
            <w:vAlign w:val="center"/>
          </w:tcPr>
          <w:p w14:paraId="31E5B3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696F7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12.4130 </w:t>
            </w:r>
          </w:p>
        </w:tc>
        <w:tc>
          <w:tcPr>
            <w:tcW w:w="1353" w:type="dxa"/>
            <w:tcBorders>
              <w:tl2br w:val="nil"/>
              <w:tr2bl w:val="nil"/>
            </w:tcBorders>
            <w:shd w:val="clear" w:color="auto" w:fill="auto"/>
            <w:vAlign w:val="center"/>
          </w:tcPr>
          <w:p w14:paraId="79275E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774.4100 </w:t>
            </w:r>
          </w:p>
        </w:tc>
      </w:tr>
      <w:tr w14:paraId="6CA87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D68E7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750 </w:t>
            </w:r>
          </w:p>
        </w:tc>
        <w:tc>
          <w:tcPr>
            <w:tcW w:w="1443" w:type="dxa"/>
            <w:tcBorders>
              <w:tl2br w:val="nil"/>
              <w:tr2bl w:val="nil"/>
            </w:tcBorders>
            <w:shd w:val="clear" w:color="auto" w:fill="auto"/>
            <w:vAlign w:val="center"/>
          </w:tcPr>
          <w:p w14:paraId="2DA572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12.5370 </w:t>
            </w:r>
          </w:p>
        </w:tc>
        <w:tc>
          <w:tcPr>
            <w:tcW w:w="1394" w:type="dxa"/>
            <w:tcBorders>
              <w:tl2br w:val="nil"/>
              <w:tr2bl w:val="nil"/>
            </w:tcBorders>
            <w:shd w:val="clear" w:color="auto" w:fill="auto"/>
            <w:vAlign w:val="center"/>
          </w:tcPr>
          <w:p w14:paraId="1CB854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763.0200 </w:t>
            </w:r>
          </w:p>
        </w:tc>
        <w:tc>
          <w:tcPr>
            <w:tcW w:w="1079" w:type="dxa"/>
            <w:tcBorders>
              <w:tl2br w:val="nil"/>
              <w:tr2bl w:val="nil"/>
            </w:tcBorders>
            <w:shd w:val="clear" w:color="auto" w:fill="auto"/>
            <w:vAlign w:val="center"/>
          </w:tcPr>
          <w:p w14:paraId="4D15FF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1974F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12.5370 </w:t>
            </w:r>
          </w:p>
        </w:tc>
        <w:tc>
          <w:tcPr>
            <w:tcW w:w="1353" w:type="dxa"/>
            <w:tcBorders>
              <w:tl2br w:val="nil"/>
              <w:tr2bl w:val="nil"/>
            </w:tcBorders>
            <w:shd w:val="clear" w:color="auto" w:fill="auto"/>
            <w:vAlign w:val="center"/>
          </w:tcPr>
          <w:p w14:paraId="2C3750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763.0200 </w:t>
            </w:r>
          </w:p>
        </w:tc>
      </w:tr>
      <w:tr w14:paraId="279AE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58A2A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760 </w:t>
            </w:r>
          </w:p>
        </w:tc>
        <w:tc>
          <w:tcPr>
            <w:tcW w:w="1443" w:type="dxa"/>
            <w:tcBorders>
              <w:tl2br w:val="nil"/>
              <w:tr2bl w:val="nil"/>
            </w:tcBorders>
            <w:shd w:val="clear" w:color="auto" w:fill="auto"/>
            <w:vAlign w:val="center"/>
          </w:tcPr>
          <w:p w14:paraId="78E812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12.6600 </w:t>
            </w:r>
          </w:p>
        </w:tc>
        <w:tc>
          <w:tcPr>
            <w:tcW w:w="1394" w:type="dxa"/>
            <w:tcBorders>
              <w:tl2br w:val="nil"/>
              <w:tr2bl w:val="nil"/>
            </w:tcBorders>
            <w:shd w:val="clear" w:color="auto" w:fill="auto"/>
            <w:vAlign w:val="center"/>
          </w:tcPr>
          <w:p w14:paraId="4A6810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751.9500 </w:t>
            </w:r>
          </w:p>
        </w:tc>
        <w:tc>
          <w:tcPr>
            <w:tcW w:w="1079" w:type="dxa"/>
            <w:tcBorders>
              <w:tl2br w:val="nil"/>
              <w:tr2bl w:val="nil"/>
            </w:tcBorders>
            <w:shd w:val="clear" w:color="auto" w:fill="auto"/>
            <w:vAlign w:val="center"/>
          </w:tcPr>
          <w:p w14:paraId="175333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60CEF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12.6600 </w:t>
            </w:r>
          </w:p>
        </w:tc>
        <w:tc>
          <w:tcPr>
            <w:tcW w:w="1353" w:type="dxa"/>
            <w:tcBorders>
              <w:tl2br w:val="nil"/>
              <w:tr2bl w:val="nil"/>
            </w:tcBorders>
            <w:shd w:val="clear" w:color="auto" w:fill="auto"/>
            <w:vAlign w:val="center"/>
          </w:tcPr>
          <w:p w14:paraId="2616B7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751.9500 </w:t>
            </w:r>
          </w:p>
        </w:tc>
      </w:tr>
      <w:tr w14:paraId="63092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7734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770 </w:t>
            </w:r>
          </w:p>
        </w:tc>
        <w:tc>
          <w:tcPr>
            <w:tcW w:w="1443" w:type="dxa"/>
            <w:tcBorders>
              <w:tl2br w:val="nil"/>
              <w:tr2bl w:val="nil"/>
            </w:tcBorders>
            <w:shd w:val="clear" w:color="auto" w:fill="auto"/>
            <w:vAlign w:val="center"/>
          </w:tcPr>
          <w:p w14:paraId="339F60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12.7830 </w:t>
            </w:r>
          </w:p>
        </w:tc>
        <w:tc>
          <w:tcPr>
            <w:tcW w:w="1394" w:type="dxa"/>
            <w:tcBorders>
              <w:tl2br w:val="nil"/>
              <w:tr2bl w:val="nil"/>
            </w:tcBorders>
            <w:shd w:val="clear" w:color="auto" w:fill="auto"/>
            <w:vAlign w:val="center"/>
          </w:tcPr>
          <w:p w14:paraId="706C77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740.9600 </w:t>
            </w:r>
          </w:p>
        </w:tc>
        <w:tc>
          <w:tcPr>
            <w:tcW w:w="1079" w:type="dxa"/>
            <w:tcBorders>
              <w:tl2br w:val="nil"/>
              <w:tr2bl w:val="nil"/>
            </w:tcBorders>
            <w:shd w:val="clear" w:color="auto" w:fill="auto"/>
            <w:vAlign w:val="center"/>
          </w:tcPr>
          <w:p w14:paraId="565224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0989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12.7830 </w:t>
            </w:r>
          </w:p>
        </w:tc>
        <w:tc>
          <w:tcPr>
            <w:tcW w:w="1353" w:type="dxa"/>
            <w:tcBorders>
              <w:tl2br w:val="nil"/>
              <w:tr2bl w:val="nil"/>
            </w:tcBorders>
            <w:shd w:val="clear" w:color="auto" w:fill="auto"/>
            <w:vAlign w:val="center"/>
          </w:tcPr>
          <w:p w14:paraId="2E99E4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740.9600 </w:t>
            </w:r>
          </w:p>
        </w:tc>
      </w:tr>
      <w:tr w14:paraId="5A7EB1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B2F8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780 </w:t>
            </w:r>
          </w:p>
        </w:tc>
        <w:tc>
          <w:tcPr>
            <w:tcW w:w="1443" w:type="dxa"/>
            <w:tcBorders>
              <w:tl2br w:val="nil"/>
              <w:tr2bl w:val="nil"/>
            </w:tcBorders>
            <w:shd w:val="clear" w:color="auto" w:fill="auto"/>
            <w:vAlign w:val="center"/>
          </w:tcPr>
          <w:p w14:paraId="42F769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12.9060 </w:t>
            </w:r>
          </w:p>
        </w:tc>
        <w:tc>
          <w:tcPr>
            <w:tcW w:w="1394" w:type="dxa"/>
            <w:tcBorders>
              <w:tl2br w:val="nil"/>
              <w:tr2bl w:val="nil"/>
            </w:tcBorders>
            <w:shd w:val="clear" w:color="auto" w:fill="auto"/>
            <w:vAlign w:val="center"/>
          </w:tcPr>
          <w:p w14:paraId="521A79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730.2400 </w:t>
            </w:r>
          </w:p>
        </w:tc>
        <w:tc>
          <w:tcPr>
            <w:tcW w:w="1079" w:type="dxa"/>
            <w:tcBorders>
              <w:tl2br w:val="nil"/>
              <w:tr2bl w:val="nil"/>
            </w:tcBorders>
            <w:shd w:val="clear" w:color="auto" w:fill="auto"/>
            <w:vAlign w:val="center"/>
          </w:tcPr>
          <w:p w14:paraId="34C35D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687AB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12.9060 </w:t>
            </w:r>
          </w:p>
        </w:tc>
        <w:tc>
          <w:tcPr>
            <w:tcW w:w="1353" w:type="dxa"/>
            <w:tcBorders>
              <w:tl2br w:val="nil"/>
              <w:tr2bl w:val="nil"/>
            </w:tcBorders>
            <w:shd w:val="clear" w:color="auto" w:fill="auto"/>
            <w:vAlign w:val="center"/>
          </w:tcPr>
          <w:p w14:paraId="32F726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730.2400 </w:t>
            </w:r>
          </w:p>
        </w:tc>
      </w:tr>
      <w:tr w14:paraId="43ACF7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02A94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790 </w:t>
            </w:r>
          </w:p>
        </w:tc>
        <w:tc>
          <w:tcPr>
            <w:tcW w:w="1443" w:type="dxa"/>
            <w:tcBorders>
              <w:tl2br w:val="nil"/>
              <w:tr2bl w:val="nil"/>
            </w:tcBorders>
            <w:shd w:val="clear" w:color="auto" w:fill="auto"/>
            <w:vAlign w:val="center"/>
          </w:tcPr>
          <w:p w14:paraId="599541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13.0280 </w:t>
            </w:r>
          </w:p>
        </w:tc>
        <w:tc>
          <w:tcPr>
            <w:tcW w:w="1394" w:type="dxa"/>
            <w:tcBorders>
              <w:tl2br w:val="nil"/>
              <w:tr2bl w:val="nil"/>
            </w:tcBorders>
            <w:shd w:val="clear" w:color="auto" w:fill="auto"/>
            <w:vAlign w:val="center"/>
          </w:tcPr>
          <w:p w14:paraId="18549E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719.8000 </w:t>
            </w:r>
          </w:p>
        </w:tc>
        <w:tc>
          <w:tcPr>
            <w:tcW w:w="1079" w:type="dxa"/>
            <w:tcBorders>
              <w:tl2br w:val="nil"/>
              <w:tr2bl w:val="nil"/>
            </w:tcBorders>
            <w:shd w:val="clear" w:color="auto" w:fill="auto"/>
            <w:vAlign w:val="center"/>
          </w:tcPr>
          <w:p w14:paraId="2E3F2E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009E8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13.0280 </w:t>
            </w:r>
          </w:p>
        </w:tc>
        <w:tc>
          <w:tcPr>
            <w:tcW w:w="1353" w:type="dxa"/>
            <w:tcBorders>
              <w:tl2br w:val="nil"/>
              <w:tr2bl w:val="nil"/>
            </w:tcBorders>
            <w:shd w:val="clear" w:color="auto" w:fill="auto"/>
            <w:vAlign w:val="center"/>
          </w:tcPr>
          <w:p w14:paraId="727778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719.8000 </w:t>
            </w:r>
          </w:p>
        </w:tc>
      </w:tr>
      <w:tr w14:paraId="6F37A5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7337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800 </w:t>
            </w:r>
          </w:p>
        </w:tc>
        <w:tc>
          <w:tcPr>
            <w:tcW w:w="1443" w:type="dxa"/>
            <w:tcBorders>
              <w:tl2br w:val="nil"/>
              <w:tr2bl w:val="nil"/>
            </w:tcBorders>
            <w:shd w:val="clear" w:color="auto" w:fill="auto"/>
            <w:vAlign w:val="center"/>
          </w:tcPr>
          <w:p w14:paraId="2F8B20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13.1500 </w:t>
            </w:r>
          </w:p>
        </w:tc>
        <w:tc>
          <w:tcPr>
            <w:tcW w:w="1394" w:type="dxa"/>
            <w:tcBorders>
              <w:tl2br w:val="nil"/>
              <w:tr2bl w:val="nil"/>
            </w:tcBorders>
            <w:shd w:val="clear" w:color="auto" w:fill="auto"/>
            <w:vAlign w:val="center"/>
          </w:tcPr>
          <w:p w14:paraId="0D29BD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709.6400 </w:t>
            </w:r>
          </w:p>
        </w:tc>
        <w:tc>
          <w:tcPr>
            <w:tcW w:w="1079" w:type="dxa"/>
            <w:tcBorders>
              <w:tl2br w:val="nil"/>
              <w:tr2bl w:val="nil"/>
            </w:tcBorders>
            <w:shd w:val="clear" w:color="auto" w:fill="auto"/>
            <w:vAlign w:val="center"/>
          </w:tcPr>
          <w:p w14:paraId="5B420F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7AE1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13.1500 </w:t>
            </w:r>
          </w:p>
        </w:tc>
        <w:tc>
          <w:tcPr>
            <w:tcW w:w="1353" w:type="dxa"/>
            <w:tcBorders>
              <w:tl2br w:val="nil"/>
              <w:tr2bl w:val="nil"/>
            </w:tcBorders>
            <w:shd w:val="clear" w:color="auto" w:fill="auto"/>
            <w:vAlign w:val="center"/>
          </w:tcPr>
          <w:p w14:paraId="44E84B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709.6400 </w:t>
            </w:r>
          </w:p>
        </w:tc>
      </w:tr>
      <w:tr w14:paraId="030C27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5A95E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810 </w:t>
            </w:r>
          </w:p>
        </w:tc>
        <w:tc>
          <w:tcPr>
            <w:tcW w:w="1443" w:type="dxa"/>
            <w:tcBorders>
              <w:tl2br w:val="nil"/>
              <w:tr2bl w:val="nil"/>
            </w:tcBorders>
            <w:shd w:val="clear" w:color="auto" w:fill="auto"/>
            <w:vAlign w:val="center"/>
          </w:tcPr>
          <w:p w14:paraId="0A82B2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13.2720 </w:t>
            </w:r>
          </w:p>
        </w:tc>
        <w:tc>
          <w:tcPr>
            <w:tcW w:w="1394" w:type="dxa"/>
            <w:tcBorders>
              <w:tl2br w:val="nil"/>
              <w:tr2bl w:val="nil"/>
            </w:tcBorders>
            <w:shd w:val="clear" w:color="auto" w:fill="auto"/>
            <w:vAlign w:val="center"/>
          </w:tcPr>
          <w:p w14:paraId="64D5D2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699.7400 </w:t>
            </w:r>
          </w:p>
        </w:tc>
        <w:tc>
          <w:tcPr>
            <w:tcW w:w="1079" w:type="dxa"/>
            <w:tcBorders>
              <w:tl2br w:val="nil"/>
              <w:tr2bl w:val="nil"/>
            </w:tcBorders>
            <w:shd w:val="clear" w:color="auto" w:fill="auto"/>
            <w:vAlign w:val="center"/>
          </w:tcPr>
          <w:p w14:paraId="516DC9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0BB1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13.2720 </w:t>
            </w:r>
          </w:p>
        </w:tc>
        <w:tc>
          <w:tcPr>
            <w:tcW w:w="1353" w:type="dxa"/>
            <w:tcBorders>
              <w:tl2br w:val="nil"/>
              <w:tr2bl w:val="nil"/>
            </w:tcBorders>
            <w:shd w:val="clear" w:color="auto" w:fill="auto"/>
            <w:vAlign w:val="center"/>
          </w:tcPr>
          <w:p w14:paraId="24BF52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699.7400 </w:t>
            </w:r>
          </w:p>
        </w:tc>
      </w:tr>
      <w:tr w14:paraId="75BB6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2607C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820 </w:t>
            </w:r>
          </w:p>
        </w:tc>
        <w:tc>
          <w:tcPr>
            <w:tcW w:w="1443" w:type="dxa"/>
            <w:tcBorders>
              <w:tl2br w:val="nil"/>
              <w:tr2bl w:val="nil"/>
            </w:tcBorders>
            <w:shd w:val="clear" w:color="auto" w:fill="auto"/>
            <w:vAlign w:val="center"/>
          </w:tcPr>
          <w:p w14:paraId="4DFF36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13.3930 </w:t>
            </w:r>
          </w:p>
        </w:tc>
        <w:tc>
          <w:tcPr>
            <w:tcW w:w="1394" w:type="dxa"/>
            <w:tcBorders>
              <w:tl2br w:val="nil"/>
              <w:tr2bl w:val="nil"/>
            </w:tcBorders>
            <w:shd w:val="clear" w:color="auto" w:fill="auto"/>
            <w:vAlign w:val="center"/>
          </w:tcPr>
          <w:p w14:paraId="6AAF78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690.1000 </w:t>
            </w:r>
          </w:p>
        </w:tc>
        <w:tc>
          <w:tcPr>
            <w:tcW w:w="1079" w:type="dxa"/>
            <w:tcBorders>
              <w:tl2br w:val="nil"/>
              <w:tr2bl w:val="nil"/>
            </w:tcBorders>
            <w:shd w:val="clear" w:color="auto" w:fill="auto"/>
            <w:vAlign w:val="center"/>
          </w:tcPr>
          <w:p w14:paraId="2F6119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70D9D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13.3930 </w:t>
            </w:r>
          </w:p>
        </w:tc>
        <w:tc>
          <w:tcPr>
            <w:tcW w:w="1353" w:type="dxa"/>
            <w:tcBorders>
              <w:tl2br w:val="nil"/>
              <w:tr2bl w:val="nil"/>
            </w:tcBorders>
            <w:shd w:val="clear" w:color="auto" w:fill="auto"/>
            <w:vAlign w:val="center"/>
          </w:tcPr>
          <w:p w14:paraId="1A5DEB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690.1000 </w:t>
            </w:r>
          </w:p>
        </w:tc>
      </w:tr>
      <w:tr w14:paraId="5EF9E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A1908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830 </w:t>
            </w:r>
          </w:p>
        </w:tc>
        <w:tc>
          <w:tcPr>
            <w:tcW w:w="1443" w:type="dxa"/>
            <w:tcBorders>
              <w:tl2br w:val="nil"/>
              <w:tr2bl w:val="nil"/>
            </w:tcBorders>
            <w:shd w:val="clear" w:color="auto" w:fill="auto"/>
            <w:vAlign w:val="center"/>
          </w:tcPr>
          <w:p w14:paraId="7155B0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13.5140 </w:t>
            </w:r>
          </w:p>
        </w:tc>
        <w:tc>
          <w:tcPr>
            <w:tcW w:w="1394" w:type="dxa"/>
            <w:tcBorders>
              <w:tl2br w:val="nil"/>
              <w:tr2bl w:val="nil"/>
            </w:tcBorders>
            <w:shd w:val="clear" w:color="auto" w:fill="auto"/>
            <w:vAlign w:val="center"/>
          </w:tcPr>
          <w:p w14:paraId="3D96D9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680.7100 </w:t>
            </w:r>
          </w:p>
        </w:tc>
        <w:tc>
          <w:tcPr>
            <w:tcW w:w="1079" w:type="dxa"/>
            <w:tcBorders>
              <w:tl2br w:val="nil"/>
              <w:tr2bl w:val="nil"/>
            </w:tcBorders>
            <w:shd w:val="clear" w:color="auto" w:fill="auto"/>
            <w:vAlign w:val="center"/>
          </w:tcPr>
          <w:p w14:paraId="273100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632F44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13.5140 </w:t>
            </w:r>
          </w:p>
        </w:tc>
        <w:tc>
          <w:tcPr>
            <w:tcW w:w="1353" w:type="dxa"/>
            <w:tcBorders>
              <w:tl2br w:val="nil"/>
              <w:tr2bl w:val="nil"/>
            </w:tcBorders>
            <w:shd w:val="clear" w:color="auto" w:fill="auto"/>
            <w:vAlign w:val="center"/>
          </w:tcPr>
          <w:p w14:paraId="5900DD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680.7100 </w:t>
            </w:r>
          </w:p>
        </w:tc>
      </w:tr>
      <w:tr w14:paraId="0B734B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CE77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840 </w:t>
            </w:r>
          </w:p>
        </w:tc>
        <w:tc>
          <w:tcPr>
            <w:tcW w:w="1443" w:type="dxa"/>
            <w:tcBorders>
              <w:tl2br w:val="nil"/>
              <w:tr2bl w:val="nil"/>
            </w:tcBorders>
            <w:shd w:val="clear" w:color="auto" w:fill="auto"/>
            <w:vAlign w:val="center"/>
          </w:tcPr>
          <w:p w14:paraId="50672E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13.6340 </w:t>
            </w:r>
          </w:p>
        </w:tc>
        <w:tc>
          <w:tcPr>
            <w:tcW w:w="1394" w:type="dxa"/>
            <w:tcBorders>
              <w:tl2br w:val="nil"/>
              <w:tr2bl w:val="nil"/>
            </w:tcBorders>
            <w:shd w:val="clear" w:color="auto" w:fill="auto"/>
            <w:vAlign w:val="center"/>
          </w:tcPr>
          <w:p w14:paraId="183535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671.5600 </w:t>
            </w:r>
          </w:p>
        </w:tc>
        <w:tc>
          <w:tcPr>
            <w:tcW w:w="1079" w:type="dxa"/>
            <w:tcBorders>
              <w:tl2br w:val="nil"/>
              <w:tr2bl w:val="nil"/>
            </w:tcBorders>
            <w:shd w:val="clear" w:color="auto" w:fill="auto"/>
            <w:vAlign w:val="center"/>
          </w:tcPr>
          <w:p w14:paraId="52480D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26126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13.6340 </w:t>
            </w:r>
          </w:p>
        </w:tc>
        <w:tc>
          <w:tcPr>
            <w:tcW w:w="1353" w:type="dxa"/>
            <w:tcBorders>
              <w:tl2br w:val="nil"/>
              <w:tr2bl w:val="nil"/>
            </w:tcBorders>
            <w:shd w:val="clear" w:color="auto" w:fill="auto"/>
            <w:vAlign w:val="center"/>
          </w:tcPr>
          <w:p w14:paraId="3321D8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671.5600 </w:t>
            </w:r>
          </w:p>
        </w:tc>
      </w:tr>
      <w:tr w14:paraId="1CA63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08FE6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850 </w:t>
            </w:r>
          </w:p>
        </w:tc>
        <w:tc>
          <w:tcPr>
            <w:tcW w:w="1443" w:type="dxa"/>
            <w:tcBorders>
              <w:tl2br w:val="nil"/>
              <w:tr2bl w:val="nil"/>
            </w:tcBorders>
            <w:shd w:val="clear" w:color="auto" w:fill="auto"/>
            <w:vAlign w:val="center"/>
          </w:tcPr>
          <w:p w14:paraId="0BE714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13.7540 </w:t>
            </w:r>
          </w:p>
        </w:tc>
        <w:tc>
          <w:tcPr>
            <w:tcW w:w="1394" w:type="dxa"/>
            <w:tcBorders>
              <w:tl2br w:val="nil"/>
              <w:tr2bl w:val="nil"/>
            </w:tcBorders>
            <w:shd w:val="clear" w:color="auto" w:fill="auto"/>
            <w:vAlign w:val="center"/>
          </w:tcPr>
          <w:p w14:paraId="2ECC5E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662.6400 </w:t>
            </w:r>
          </w:p>
        </w:tc>
        <w:tc>
          <w:tcPr>
            <w:tcW w:w="1079" w:type="dxa"/>
            <w:tcBorders>
              <w:tl2br w:val="nil"/>
              <w:tr2bl w:val="nil"/>
            </w:tcBorders>
            <w:shd w:val="clear" w:color="auto" w:fill="auto"/>
            <w:vAlign w:val="center"/>
          </w:tcPr>
          <w:p w14:paraId="14DC9D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70985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13.7540 </w:t>
            </w:r>
          </w:p>
        </w:tc>
        <w:tc>
          <w:tcPr>
            <w:tcW w:w="1353" w:type="dxa"/>
            <w:tcBorders>
              <w:tl2br w:val="nil"/>
              <w:tr2bl w:val="nil"/>
            </w:tcBorders>
            <w:shd w:val="clear" w:color="auto" w:fill="auto"/>
            <w:vAlign w:val="center"/>
          </w:tcPr>
          <w:p w14:paraId="0B7D94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662.6400 </w:t>
            </w:r>
          </w:p>
        </w:tc>
      </w:tr>
      <w:tr w14:paraId="47E3B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73A25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860 </w:t>
            </w:r>
          </w:p>
        </w:tc>
        <w:tc>
          <w:tcPr>
            <w:tcW w:w="1443" w:type="dxa"/>
            <w:tcBorders>
              <w:tl2br w:val="nil"/>
              <w:tr2bl w:val="nil"/>
            </w:tcBorders>
            <w:shd w:val="clear" w:color="auto" w:fill="auto"/>
            <w:vAlign w:val="center"/>
          </w:tcPr>
          <w:p w14:paraId="3F51E4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13.8740 </w:t>
            </w:r>
          </w:p>
        </w:tc>
        <w:tc>
          <w:tcPr>
            <w:tcW w:w="1394" w:type="dxa"/>
            <w:tcBorders>
              <w:tl2br w:val="nil"/>
              <w:tr2bl w:val="nil"/>
            </w:tcBorders>
            <w:shd w:val="clear" w:color="auto" w:fill="auto"/>
            <w:vAlign w:val="center"/>
          </w:tcPr>
          <w:p w14:paraId="00CACA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653.9400 </w:t>
            </w:r>
          </w:p>
        </w:tc>
        <w:tc>
          <w:tcPr>
            <w:tcW w:w="1079" w:type="dxa"/>
            <w:tcBorders>
              <w:tl2br w:val="nil"/>
              <w:tr2bl w:val="nil"/>
            </w:tcBorders>
            <w:shd w:val="clear" w:color="auto" w:fill="auto"/>
            <w:vAlign w:val="center"/>
          </w:tcPr>
          <w:p w14:paraId="5D371C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FE93B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13.8740 </w:t>
            </w:r>
          </w:p>
        </w:tc>
        <w:tc>
          <w:tcPr>
            <w:tcW w:w="1353" w:type="dxa"/>
            <w:tcBorders>
              <w:tl2br w:val="nil"/>
              <w:tr2bl w:val="nil"/>
            </w:tcBorders>
            <w:shd w:val="clear" w:color="auto" w:fill="auto"/>
            <w:vAlign w:val="center"/>
          </w:tcPr>
          <w:p w14:paraId="581C99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653.9400 </w:t>
            </w:r>
          </w:p>
        </w:tc>
      </w:tr>
      <w:tr w14:paraId="38DC85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9281E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870 </w:t>
            </w:r>
          </w:p>
        </w:tc>
        <w:tc>
          <w:tcPr>
            <w:tcW w:w="1443" w:type="dxa"/>
            <w:tcBorders>
              <w:tl2br w:val="nil"/>
              <w:tr2bl w:val="nil"/>
            </w:tcBorders>
            <w:shd w:val="clear" w:color="auto" w:fill="auto"/>
            <w:vAlign w:val="center"/>
          </w:tcPr>
          <w:p w14:paraId="08C502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13.9940 </w:t>
            </w:r>
          </w:p>
        </w:tc>
        <w:tc>
          <w:tcPr>
            <w:tcW w:w="1394" w:type="dxa"/>
            <w:tcBorders>
              <w:tl2br w:val="nil"/>
              <w:tr2bl w:val="nil"/>
            </w:tcBorders>
            <w:shd w:val="clear" w:color="auto" w:fill="auto"/>
            <w:vAlign w:val="center"/>
          </w:tcPr>
          <w:p w14:paraId="7B895E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645.4700 </w:t>
            </w:r>
          </w:p>
        </w:tc>
        <w:tc>
          <w:tcPr>
            <w:tcW w:w="1079" w:type="dxa"/>
            <w:tcBorders>
              <w:tl2br w:val="nil"/>
              <w:tr2bl w:val="nil"/>
            </w:tcBorders>
            <w:shd w:val="clear" w:color="auto" w:fill="auto"/>
            <w:vAlign w:val="center"/>
          </w:tcPr>
          <w:p w14:paraId="213C15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10923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13.9940 </w:t>
            </w:r>
          </w:p>
        </w:tc>
        <w:tc>
          <w:tcPr>
            <w:tcW w:w="1353" w:type="dxa"/>
            <w:tcBorders>
              <w:tl2br w:val="nil"/>
              <w:tr2bl w:val="nil"/>
            </w:tcBorders>
            <w:shd w:val="clear" w:color="auto" w:fill="auto"/>
            <w:vAlign w:val="center"/>
          </w:tcPr>
          <w:p w14:paraId="40AC3A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645.4700 </w:t>
            </w:r>
          </w:p>
        </w:tc>
      </w:tr>
      <w:tr w14:paraId="00B3B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014A8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880 </w:t>
            </w:r>
          </w:p>
        </w:tc>
        <w:tc>
          <w:tcPr>
            <w:tcW w:w="1443" w:type="dxa"/>
            <w:tcBorders>
              <w:tl2br w:val="nil"/>
              <w:tr2bl w:val="nil"/>
            </w:tcBorders>
            <w:shd w:val="clear" w:color="auto" w:fill="auto"/>
            <w:vAlign w:val="center"/>
          </w:tcPr>
          <w:p w14:paraId="31BF02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14.1130 </w:t>
            </w:r>
          </w:p>
        </w:tc>
        <w:tc>
          <w:tcPr>
            <w:tcW w:w="1394" w:type="dxa"/>
            <w:tcBorders>
              <w:tl2br w:val="nil"/>
              <w:tr2bl w:val="nil"/>
            </w:tcBorders>
            <w:shd w:val="clear" w:color="auto" w:fill="auto"/>
            <w:vAlign w:val="center"/>
          </w:tcPr>
          <w:p w14:paraId="01EE85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637.1900 </w:t>
            </w:r>
          </w:p>
        </w:tc>
        <w:tc>
          <w:tcPr>
            <w:tcW w:w="1079" w:type="dxa"/>
            <w:tcBorders>
              <w:tl2br w:val="nil"/>
              <w:tr2bl w:val="nil"/>
            </w:tcBorders>
            <w:shd w:val="clear" w:color="auto" w:fill="auto"/>
            <w:vAlign w:val="center"/>
          </w:tcPr>
          <w:p w14:paraId="6C2700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AAA1D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14.1130 </w:t>
            </w:r>
          </w:p>
        </w:tc>
        <w:tc>
          <w:tcPr>
            <w:tcW w:w="1353" w:type="dxa"/>
            <w:tcBorders>
              <w:tl2br w:val="nil"/>
              <w:tr2bl w:val="nil"/>
            </w:tcBorders>
            <w:shd w:val="clear" w:color="auto" w:fill="auto"/>
            <w:vAlign w:val="center"/>
          </w:tcPr>
          <w:p w14:paraId="6D9E6E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637.1900 </w:t>
            </w:r>
          </w:p>
        </w:tc>
      </w:tr>
      <w:tr w14:paraId="776AF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A228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890 </w:t>
            </w:r>
          </w:p>
        </w:tc>
        <w:tc>
          <w:tcPr>
            <w:tcW w:w="1443" w:type="dxa"/>
            <w:tcBorders>
              <w:tl2br w:val="nil"/>
              <w:tr2bl w:val="nil"/>
            </w:tcBorders>
            <w:shd w:val="clear" w:color="auto" w:fill="auto"/>
            <w:vAlign w:val="center"/>
          </w:tcPr>
          <w:p w14:paraId="7140FA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14.2320 </w:t>
            </w:r>
          </w:p>
        </w:tc>
        <w:tc>
          <w:tcPr>
            <w:tcW w:w="1394" w:type="dxa"/>
            <w:tcBorders>
              <w:tl2br w:val="nil"/>
              <w:tr2bl w:val="nil"/>
            </w:tcBorders>
            <w:shd w:val="clear" w:color="auto" w:fill="auto"/>
            <w:vAlign w:val="center"/>
          </w:tcPr>
          <w:p w14:paraId="5FFB7E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629.1200 </w:t>
            </w:r>
          </w:p>
        </w:tc>
        <w:tc>
          <w:tcPr>
            <w:tcW w:w="1079" w:type="dxa"/>
            <w:tcBorders>
              <w:tl2br w:val="nil"/>
              <w:tr2bl w:val="nil"/>
            </w:tcBorders>
            <w:shd w:val="clear" w:color="auto" w:fill="auto"/>
            <w:vAlign w:val="center"/>
          </w:tcPr>
          <w:p w14:paraId="6D05A7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20DFA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14.2320 </w:t>
            </w:r>
          </w:p>
        </w:tc>
        <w:tc>
          <w:tcPr>
            <w:tcW w:w="1353" w:type="dxa"/>
            <w:tcBorders>
              <w:tl2br w:val="nil"/>
              <w:tr2bl w:val="nil"/>
            </w:tcBorders>
            <w:shd w:val="clear" w:color="auto" w:fill="auto"/>
            <w:vAlign w:val="center"/>
          </w:tcPr>
          <w:p w14:paraId="0B5279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629.1200 </w:t>
            </w:r>
          </w:p>
        </w:tc>
      </w:tr>
      <w:tr w14:paraId="2EC67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6ECA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900 </w:t>
            </w:r>
          </w:p>
        </w:tc>
        <w:tc>
          <w:tcPr>
            <w:tcW w:w="1443" w:type="dxa"/>
            <w:tcBorders>
              <w:tl2br w:val="nil"/>
              <w:tr2bl w:val="nil"/>
            </w:tcBorders>
            <w:shd w:val="clear" w:color="auto" w:fill="auto"/>
            <w:vAlign w:val="center"/>
          </w:tcPr>
          <w:p w14:paraId="68A162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14.3500 </w:t>
            </w:r>
          </w:p>
        </w:tc>
        <w:tc>
          <w:tcPr>
            <w:tcW w:w="1394" w:type="dxa"/>
            <w:tcBorders>
              <w:tl2br w:val="nil"/>
              <w:tr2bl w:val="nil"/>
            </w:tcBorders>
            <w:shd w:val="clear" w:color="auto" w:fill="auto"/>
            <w:vAlign w:val="center"/>
          </w:tcPr>
          <w:p w14:paraId="316F37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621.2400 </w:t>
            </w:r>
          </w:p>
        </w:tc>
        <w:tc>
          <w:tcPr>
            <w:tcW w:w="1079" w:type="dxa"/>
            <w:tcBorders>
              <w:tl2br w:val="nil"/>
              <w:tr2bl w:val="nil"/>
            </w:tcBorders>
            <w:shd w:val="clear" w:color="auto" w:fill="auto"/>
            <w:vAlign w:val="center"/>
          </w:tcPr>
          <w:p w14:paraId="278BE0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32646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14.3500 </w:t>
            </w:r>
          </w:p>
        </w:tc>
        <w:tc>
          <w:tcPr>
            <w:tcW w:w="1353" w:type="dxa"/>
            <w:tcBorders>
              <w:tl2br w:val="nil"/>
              <w:tr2bl w:val="nil"/>
            </w:tcBorders>
            <w:shd w:val="clear" w:color="auto" w:fill="auto"/>
            <w:vAlign w:val="center"/>
          </w:tcPr>
          <w:p w14:paraId="2607DE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621.2400 </w:t>
            </w:r>
          </w:p>
        </w:tc>
      </w:tr>
      <w:tr w14:paraId="739242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FF60A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910 </w:t>
            </w:r>
          </w:p>
        </w:tc>
        <w:tc>
          <w:tcPr>
            <w:tcW w:w="1443" w:type="dxa"/>
            <w:tcBorders>
              <w:tl2br w:val="nil"/>
              <w:tr2bl w:val="nil"/>
            </w:tcBorders>
            <w:shd w:val="clear" w:color="auto" w:fill="auto"/>
            <w:vAlign w:val="center"/>
          </w:tcPr>
          <w:p w14:paraId="2516DB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14.4680 </w:t>
            </w:r>
          </w:p>
        </w:tc>
        <w:tc>
          <w:tcPr>
            <w:tcW w:w="1394" w:type="dxa"/>
            <w:tcBorders>
              <w:tl2br w:val="nil"/>
              <w:tr2bl w:val="nil"/>
            </w:tcBorders>
            <w:shd w:val="clear" w:color="auto" w:fill="auto"/>
            <w:vAlign w:val="center"/>
          </w:tcPr>
          <w:p w14:paraId="5A61D1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613.4000 </w:t>
            </w:r>
          </w:p>
        </w:tc>
        <w:tc>
          <w:tcPr>
            <w:tcW w:w="1079" w:type="dxa"/>
            <w:tcBorders>
              <w:tl2br w:val="nil"/>
              <w:tr2bl w:val="nil"/>
            </w:tcBorders>
            <w:shd w:val="clear" w:color="auto" w:fill="auto"/>
            <w:vAlign w:val="center"/>
          </w:tcPr>
          <w:p w14:paraId="68A39D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007C5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14.4680 </w:t>
            </w:r>
          </w:p>
        </w:tc>
        <w:tc>
          <w:tcPr>
            <w:tcW w:w="1353" w:type="dxa"/>
            <w:tcBorders>
              <w:tl2br w:val="nil"/>
              <w:tr2bl w:val="nil"/>
            </w:tcBorders>
            <w:shd w:val="clear" w:color="auto" w:fill="auto"/>
            <w:vAlign w:val="center"/>
          </w:tcPr>
          <w:p w14:paraId="51C197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613.4000 </w:t>
            </w:r>
          </w:p>
        </w:tc>
      </w:tr>
      <w:tr w14:paraId="3DCE0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CB2CE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920 </w:t>
            </w:r>
          </w:p>
        </w:tc>
        <w:tc>
          <w:tcPr>
            <w:tcW w:w="1443" w:type="dxa"/>
            <w:tcBorders>
              <w:tl2br w:val="nil"/>
              <w:tr2bl w:val="nil"/>
            </w:tcBorders>
            <w:shd w:val="clear" w:color="auto" w:fill="auto"/>
            <w:vAlign w:val="center"/>
          </w:tcPr>
          <w:p w14:paraId="767E2C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14.5860 </w:t>
            </w:r>
          </w:p>
        </w:tc>
        <w:tc>
          <w:tcPr>
            <w:tcW w:w="1394" w:type="dxa"/>
            <w:tcBorders>
              <w:tl2br w:val="nil"/>
              <w:tr2bl w:val="nil"/>
            </w:tcBorders>
            <w:shd w:val="clear" w:color="auto" w:fill="auto"/>
            <w:vAlign w:val="center"/>
          </w:tcPr>
          <w:p w14:paraId="7618B4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605.7000 </w:t>
            </w:r>
          </w:p>
        </w:tc>
        <w:tc>
          <w:tcPr>
            <w:tcW w:w="1079" w:type="dxa"/>
            <w:tcBorders>
              <w:tl2br w:val="nil"/>
              <w:tr2bl w:val="nil"/>
            </w:tcBorders>
            <w:shd w:val="clear" w:color="auto" w:fill="auto"/>
            <w:vAlign w:val="center"/>
          </w:tcPr>
          <w:p w14:paraId="12AC78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397A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14.5860 </w:t>
            </w:r>
          </w:p>
        </w:tc>
        <w:tc>
          <w:tcPr>
            <w:tcW w:w="1353" w:type="dxa"/>
            <w:tcBorders>
              <w:tl2br w:val="nil"/>
              <w:tr2bl w:val="nil"/>
            </w:tcBorders>
            <w:shd w:val="clear" w:color="auto" w:fill="auto"/>
            <w:vAlign w:val="center"/>
          </w:tcPr>
          <w:p w14:paraId="71A102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605.7000 </w:t>
            </w:r>
          </w:p>
        </w:tc>
      </w:tr>
      <w:tr w14:paraId="76B410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3A387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930 </w:t>
            </w:r>
          </w:p>
        </w:tc>
        <w:tc>
          <w:tcPr>
            <w:tcW w:w="1443" w:type="dxa"/>
            <w:tcBorders>
              <w:tl2br w:val="nil"/>
              <w:tr2bl w:val="nil"/>
            </w:tcBorders>
            <w:shd w:val="clear" w:color="auto" w:fill="auto"/>
            <w:vAlign w:val="center"/>
          </w:tcPr>
          <w:p w14:paraId="2C31A5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14.7040 </w:t>
            </w:r>
          </w:p>
        </w:tc>
        <w:tc>
          <w:tcPr>
            <w:tcW w:w="1394" w:type="dxa"/>
            <w:tcBorders>
              <w:tl2br w:val="nil"/>
              <w:tr2bl w:val="nil"/>
            </w:tcBorders>
            <w:shd w:val="clear" w:color="auto" w:fill="auto"/>
            <w:vAlign w:val="center"/>
          </w:tcPr>
          <w:p w14:paraId="46A072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598.1600 </w:t>
            </w:r>
          </w:p>
        </w:tc>
        <w:tc>
          <w:tcPr>
            <w:tcW w:w="1079" w:type="dxa"/>
            <w:tcBorders>
              <w:tl2br w:val="nil"/>
              <w:tr2bl w:val="nil"/>
            </w:tcBorders>
            <w:shd w:val="clear" w:color="auto" w:fill="auto"/>
            <w:vAlign w:val="center"/>
          </w:tcPr>
          <w:p w14:paraId="50A9E5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D7A07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14.7040 </w:t>
            </w:r>
          </w:p>
        </w:tc>
        <w:tc>
          <w:tcPr>
            <w:tcW w:w="1353" w:type="dxa"/>
            <w:tcBorders>
              <w:tl2br w:val="nil"/>
              <w:tr2bl w:val="nil"/>
            </w:tcBorders>
            <w:shd w:val="clear" w:color="auto" w:fill="auto"/>
            <w:vAlign w:val="center"/>
          </w:tcPr>
          <w:p w14:paraId="4D408B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598.1600 </w:t>
            </w:r>
          </w:p>
        </w:tc>
      </w:tr>
      <w:tr w14:paraId="41B0AA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5DB62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940 </w:t>
            </w:r>
          </w:p>
        </w:tc>
        <w:tc>
          <w:tcPr>
            <w:tcW w:w="1443" w:type="dxa"/>
            <w:tcBorders>
              <w:tl2br w:val="nil"/>
              <w:tr2bl w:val="nil"/>
            </w:tcBorders>
            <w:shd w:val="clear" w:color="auto" w:fill="auto"/>
            <w:vAlign w:val="center"/>
          </w:tcPr>
          <w:p w14:paraId="33C06F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14.8210 </w:t>
            </w:r>
          </w:p>
        </w:tc>
        <w:tc>
          <w:tcPr>
            <w:tcW w:w="1394" w:type="dxa"/>
            <w:tcBorders>
              <w:tl2br w:val="nil"/>
              <w:tr2bl w:val="nil"/>
            </w:tcBorders>
            <w:shd w:val="clear" w:color="auto" w:fill="auto"/>
            <w:vAlign w:val="center"/>
          </w:tcPr>
          <w:p w14:paraId="061F7E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590.7900 </w:t>
            </w:r>
          </w:p>
        </w:tc>
        <w:tc>
          <w:tcPr>
            <w:tcW w:w="1079" w:type="dxa"/>
            <w:tcBorders>
              <w:tl2br w:val="nil"/>
              <w:tr2bl w:val="nil"/>
            </w:tcBorders>
            <w:shd w:val="clear" w:color="auto" w:fill="auto"/>
            <w:vAlign w:val="center"/>
          </w:tcPr>
          <w:p w14:paraId="0435E6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E8C40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14.8210 </w:t>
            </w:r>
          </w:p>
        </w:tc>
        <w:tc>
          <w:tcPr>
            <w:tcW w:w="1353" w:type="dxa"/>
            <w:tcBorders>
              <w:tl2br w:val="nil"/>
              <w:tr2bl w:val="nil"/>
            </w:tcBorders>
            <w:shd w:val="clear" w:color="auto" w:fill="auto"/>
            <w:vAlign w:val="center"/>
          </w:tcPr>
          <w:p w14:paraId="201CC6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590.7900 </w:t>
            </w:r>
          </w:p>
        </w:tc>
      </w:tr>
      <w:tr w14:paraId="2F11C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7EF27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950 </w:t>
            </w:r>
          </w:p>
        </w:tc>
        <w:tc>
          <w:tcPr>
            <w:tcW w:w="1443" w:type="dxa"/>
            <w:tcBorders>
              <w:tl2br w:val="nil"/>
              <w:tr2bl w:val="nil"/>
            </w:tcBorders>
            <w:shd w:val="clear" w:color="auto" w:fill="auto"/>
            <w:vAlign w:val="center"/>
          </w:tcPr>
          <w:p w14:paraId="00907C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14.9380 </w:t>
            </w:r>
          </w:p>
        </w:tc>
        <w:tc>
          <w:tcPr>
            <w:tcW w:w="1394" w:type="dxa"/>
            <w:tcBorders>
              <w:tl2br w:val="nil"/>
              <w:tr2bl w:val="nil"/>
            </w:tcBorders>
            <w:shd w:val="clear" w:color="auto" w:fill="auto"/>
            <w:vAlign w:val="center"/>
          </w:tcPr>
          <w:p w14:paraId="412AB1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583.5800 </w:t>
            </w:r>
          </w:p>
        </w:tc>
        <w:tc>
          <w:tcPr>
            <w:tcW w:w="1079" w:type="dxa"/>
            <w:tcBorders>
              <w:tl2br w:val="nil"/>
              <w:tr2bl w:val="nil"/>
            </w:tcBorders>
            <w:shd w:val="clear" w:color="auto" w:fill="auto"/>
            <w:vAlign w:val="center"/>
          </w:tcPr>
          <w:p w14:paraId="4722BF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67BEF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14.9380 </w:t>
            </w:r>
          </w:p>
        </w:tc>
        <w:tc>
          <w:tcPr>
            <w:tcW w:w="1353" w:type="dxa"/>
            <w:tcBorders>
              <w:tl2br w:val="nil"/>
              <w:tr2bl w:val="nil"/>
            </w:tcBorders>
            <w:shd w:val="clear" w:color="auto" w:fill="auto"/>
            <w:vAlign w:val="center"/>
          </w:tcPr>
          <w:p w14:paraId="24CD32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583.5800 </w:t>
            </w:r>
          </w:p>
        </w:tc>
      </w:tr>
      <w:tr w14:paraId="31DA3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2D0EF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960 </w:t>
            </w:r>
          </w:p>
        </w:tc>
        <w:tc>
          <w:tcPr>
            <w:tcW w:w="1443" w:type="dxa"/>
            <w:tcBorders>
              <w:tl2br w:val="nil"/>
              <w:tr2bl w:val="nil"/>
            </w:tcBorders>
            <w:shd w:val="clear" w:color="auto" w:fill="auto"/>
            <w:vAlign w:val="center"/>
          </w:tcPr>
          <w:p w14:paraId="7A3C82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15.0550 </w:t>
            </w:r>
          </w:p>
        </w:tc>
        <w:tc>
          <w:tcPr>
            <w:tcW w:w="1394" w:type="dxa"/>
            <w:tcBorders>
              <w:tl2br w:val="nil"/>
              <w:tr2bl w:val="nil"/>
            </w:tcBorders>
            <w:shd w:val="clear" w:color="auto" w:fill="auto"/>
            <w:vAlign w:val="center"/>
          </w:tcPr>
          <w:p w14:paraId="6F90AB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576.5300 </w:t>
            </w:r>
          </w:p>
        </w:tc>
        <w:tc>
          <w:tcPr>
            <w:tcW w:w="1079" w:type="dxa"/>
            <w:tcBorders>
              <w:tl2br w:val="nil"/>
              <w:tr2bl w:val="nil"/>
            </w:tcBorders>
            <w:shd w:val="clear" w:color="auto" w:fill="auto"/>
            <w:vAlign w:val="center"/>
          </w:tcPr>
          <w:p w14:paraId="533090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6C213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15.0550 </w:t>
            </w:r>
          </w:p>
        </w:tc>
        <w:tc>
          <w:tcPr>
            <w:tcW w:w="1353" w:type="dxa"/>
            <w:tcBorders>
              <w:tl2br w:val="nil"/>
              <w:tr2bl w:val="nil"/>
            </w:tcBorders>
            <w:shd w:val="clear" w:color="auto" w:fill="auto"/>
            <w:vAlign w:val="center"/>
          </w:tcPr>
          <w:p w14:paraId="6DAB71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576.5300 </w:t>
            </w:r>
          </w:p>
        </w:tc>
      </w:tr>
      <w:tr w14:paraId="519695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CF73C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970 </w:t>
            </w:r>
          </w:p>
        </w:tc>
        <w:tc>
          <w:tcPr>
            <w:tcW w:w="1443" w:type="dxa"/>
            <w:tcBorders>
              <w:tl2br w:val="nil"/>
              <w:tr2bl w:val="nil"/>
            </w:tcBorders>
            <w:shd w:val="clear" w:color="auto" w:fill="auto"/>
            <w:vAlign w:val="center"/>
          </w:tcPr>
          <w:p w14:paraId="26D653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15.1720 </w:t>
            </w:r>
          </w:p>
        </w:tc>
        <w:tc>
          <w:tcPr>
            <w:tcW w:w="1394" w:type="dxa"/>
            <w:tcBorders>
              <w:tl2br w:val="nil"/>
              <w:tr2bl w:val="nil"/>
            </w:tcBorders>
            <w:shd w:val="clear" w:color="auto" w:fill="auto"/>
            <w:vAlign w:val="center"/>
          </w:tcPr>
          <w:p w14:paraId="0F6B9F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569.6200 </w:t>
            </w:r>
          </w:p>
        </w:tc>
        <w:tc>
          <w:tcPr>
            <w:tcW w:w="1079" w:type="dxa"/>
            <w:tcBorders>
              <w:tl2br w:val="nil"/>
              <w:tr2bl w:val="nil"/>
            </w:tcBorders>
            <w:shd w:val="clear" w:color="auto" w:fill="auto"/>
            <w:vAlign w:val="center"/>
          </w:tcPr>
          <w:p w14:paraId="03AF84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E6324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15.1720 </w:t>
            </w:r>
          </w:p>
        </w:tc>
        <w:tc>
          <w:tcPr>
            <w:tcW w:w="1353" w:type="dxa"/>
            <w:tcBorders>
              <w:tl2br w:val="nil"/>
              <w:tr2bl w:val="nil"/>
            </w:tcBorders>
            <w:shd w:val="clear" w:color="auto" w:fill="auto"/>
            <w:vAlign w:val="center"/>
          </w:tcPr>
          <w:p w14:paraId="5C9FB8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569.6200 </w:t>
            </w:r>
          </w:p>
        </w:tc>
      </w:tr>
      <w:tr w14:paraId="2B913C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2597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980 </w:t>
            </w:r>
          </w:p>
        </w:tc>
        <w:tc>
          <w:tcPr>
            <w:tcW w:w="1443" w:type="dxa"/>
            <w:tcBorders>
              <w:tl2br w:val="nil"/>
              <w:tr2bl w:val="nil"/>
            </w:tcBorders>
            <w:shd w:val="clear" w:color="auto" w:fill="auto"/>
            <w:vAlign w:val="center"/>
          </w:tcPr>
          <w:p w14:paraId="02FC77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15.2880 </w:t>
            </w:r>
          </w:p>
        </w:tc>
        <w:tc>
          <w:tcPr>
            <w:tcW w:w="1394" w:type="dxa"/>
            <w:tcBorders>
              <w:tl2br w:val="nil"/>
              <w:tr2bl w:val="nil"/>
            </w:tcBorders>
            <w:shd w:val="clear" w:color="auto" w:fill="auto"/>
            <w:vAlign w:val="center"/>
          </w:tcPr>
          <w:p w14:paraId="71C573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562.8700 </w:t>
            </w:r>
          </w:p>
        </w:tc>
        <w:tc>
          <w:tcPr>
            <w:tcW w:w="1079" w:type="dxa"/>
            <w:tcBorders>
              <w:tl2br w:val="nil"/>
              <w:tr2bl w:val="nil"/>
            </w:tcBorders>
            <w:shd w:val="clear" w:color="auto" w:fill="auto"/>
            <w:vAlign w:val="center"/>
          </w:tcPr>
          <w:p w14:paraId="407161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456F6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15.2880 </w:t>
            </w:r>
          </w:p>
        </w:tc>
        <w:tc>
          <w:tcPr>
            <w:tcW w:w="1353" w:type="dxa"/>
            <w:tcBorders>
              <w:tl2br w:val="nil"/>
              <w:tr2bl w:val="nil"/>
            </w:tcBorders>
            <w:shd w:val="clear" w:color="auto" w:fill="auto"/>
            <w:vAlign w:val="center"/>
          </w:tcPr>
          <w:p w14:paraId="653FCE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562.8700 </w:t>
            </w:r>
          </w:p>
        </w:tc>
      </w:tr>
      <w:tr w14:paraId="744EC5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F49AA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990 </w:t>
            </w:r>
          </w:p>
        </w:tc>
        <w:tc>
          <w:tcPr>
            <w:tcW w:w="1443" w:type="dxa"/>
            <w:tcBorders>
              <w:tl2br w:val="nil"/>
              <w:tr2bl w:val="nil"/>
            </w:tcBorders>
            <w:shd w:val="clear" w:color="auto" w:fill="auto"/>
            <w:vAlign w:val="center"/>
          </w:tcPr>
          <w:p w14:paraId="61844E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15.4040 </w:t>
            </w:r>
          </w:p>
        </w:tc>
        <w:tc>
          <w:tcPr>
            <w:tcW w:w="1394" w:type="dxa"/>
            <w:tcBorders>
              <w:tl2br w:val="nil"/>
              <w:tr2bl w:val="nil"/>
            </w:tcBorders>
            <w:shd w:val="clear" w:color="auto" w:fill="auto"/>
            <w:vAlign w:val="center"/>
          </w:tcPr>
          <w:p w14:paraId="5315D0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556.2600 </w:t>
            </w:r>
          </w:p>
        </w:tc>
        <w:tc>
          <w:tcPr>
            <w:tcW w:w="1079" w:type="dxa"/>
            <w:tcBorders>
              <w:tl2br w:val="nil"/>
              <w:tr2bl w:val="nil"/>
            </w:tcBorders>
            <w:shd w:val="clear" w:color="auto" w:fill="auto"/>
            <w:vAlign w:val="center"/>
          </w:tcPr>
          <w:p w14:paraId="1D270C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78977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15.4040 </w:t>
            </w:r>
          </w:p>
        </w:tc>
        <w:tc>
          <w:tcPr>
            <w:tcW w:w="1353" w:type="dxa"/>
            <w:tcBorders>
              <w:tl2br w:val="nil"/>
              <w:tr2bl w:val="nil"/>
            </w:tcBorders>
            <w:shd w:val="clear" w:color="auto" w:fill="auto"/>
            <w:vAlign w:val="center"/>
          </w:tcPr>
          <w:p w14:paraId="1CDC23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556.2600 </w:t>
            </w:r>
          </w:p>
        </w:tc>
      </w:tr>
      <w:tr w14:paraId="7B83BD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A11FB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1000 </w:t>
            </w:r>
          </w:p>
        </w:tc>
        <w:tc>
          <w:tcPr>
            <w:tcW w:w="1443" w:type="dxa"/>
            <w:tcBorders>
              <w:tl2br w:val="nil"/>
              <w:tr2bl w:val="nil"/>
            </w:tcBorders>
            <w:shd w:val="clear" w:color="auto" w:fill="auto"/>
            <w:vAlign w:val="center"/>
          </w:tcPr>
          <w:p w14:paraId="71FBB6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15.5200 </w:t>
            </w:r>
          </w:p>
        </w:tc>
        <w:tc>
          <w:tcPr>
            <w:tcW w:w="1394" w:type="dxa"/>
            <w:tcBorders>
              <w:tl2br w:val="nil"/>
              <w:tr2bl w:val="nil"/>
            </w:tcBorders>
            <w:shd w:val="clear" w:color="auto" w:fill="auto"/>
            <w:vAlign w:val="center"/>
          </w:tcPr>
          <w:p w14:paraId="0C1DB3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549.7900 </w:t>
            </w:r>
          </w:p>
        </w:tc>
        <w:tc>
          <w:tcPr>
            <w:tcW w:w="1079" w:type="dxa"/>
            <w:tcBorders>
              <w:tl2br w:val="nil"/>
              <w:tr2bl w:val="nil"/>
            </w:tcBorders>
            <w:shd w:val="clear" w:color="auto" w:fill="auto"/>
            <w:vAlign w:val="center"/>
          </w:tcPr>
          <w:p w14:paraId="767305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C7DCC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15.5200 </w:t>
            </w:r>
          </w:p>
        </w:tc>
        <w:tc>
          <w:tcPr>
            <w:tcW w:w="1353" w:type="dxa"/>
            <w:tcBorders>
              <w:tl2br w:val="nil"/>
              <w:tr2bl w:val="nil"/>
            </w:tcBorders>
            <w:shd w:val="clear" w:color="auto" w:fill="auto"/>
            <w:vAlign w:val="center"/>
          </w:tcPr>
          <w:p w14:paraId="1E856D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549.7900 </w:t>
            </w:r>
          </w:p>
        </w:tc>
      </w:tr>
      <w:tr w14:paraId="767C94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C730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1010 </w:t>
            </w:r>
          </w:p>
        </w:tc>
        <w:tc>
          <w:tcPr>
            <w:tcW w:w="1443" w:type="dxa"/>
            <w:tcBorders>
              <w:tl2br w:val="nil"/>
              <w:tr2bl w:val="nil"/>
            </w:tcBorders>
            <w:shd w:val="clear" w:color="auto" w:fill="auto"/>
            <w:vAlign w:val="center"/>
          </w:tcPr>
          <w:p w14:paraId="4BC4F9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15.6350 </w:t>
            </w:r>
          </w:p>
        </w:tc>
        <w:tc>
          <w:tcPr>
            <w:tcW w:w="1394" w:type="dxa"/>
            <w:tcBorders>
              <w:tl2br w:val="nil"/>
              <w:tr2bl w:val="nil"/>
            </w:tcBorders>
            <w:shd w:val="clear" w:color="auto" w:fill="auto"/>
            <w:vAlign w:val="center"/>
          </w:tcPr>
          <w:p w14:paraId="2BECDB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543.4500 </w:t>
            </w:r>
          </w:p>
        </w:tc>
        <w:tc>
          <w:tcPr>
            <w:tcW w:w="1079" w:type="dxa"/>
            <w:tcBorders>
              <w:tl2br w:val="nil"/>
              <w:tr2bl w:val="nil"/>
            </w:tcBorders>
            <w:shd w:val="clear" w:color="auto" w:fill="auto"/>
            <w:vAlign w:val="center"/>
          </w:tcPr>
          <w:p w14:paraId="2349E9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B5443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15.6350 </w:t>
            </w:r>
          </w:p>
        </w:tc>
        <w:tc>
          <w:tcPr>
            <w:tcW w:w="1353" w:type="dxa"/>
            <w:tcBorders>
              <w:tl2br w:val="nil"/>
              <w:tr2bl w:val="nil"/>
            </w:tcBorders>
            <w:shd w:val="clear" w:color="auto" w:fill="auto"/>
            <w:vAlign w:val="center"/>
          </w:tcPr>
          <w:p w14:paraId="58796C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543.4500 </w:t>
            </w:r>
          </w:p>
        </w:tc>
      </w:tr>
      <w:tr w14:paraId="5C40F3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8FD96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1020 </w:t>
            </w:r>
          </w:p>
        </w:tc>
        <w:tc>
          <w:tcPr>
            <w:tcW w:w="1443" w:type="dxa"/>
            <w:tcBorders>
              <w:tl2br w:val="nil"/>
              <w:tr2bl w:val="nil"/>
            </w:tcBorders>
            <w:shd w:val="clear" w:color="auto" w:fill="auto"/>
            <w:vAlign w:val="center"/>
          </w:tcPr>
          <w:p w14:paraId="7C2FC2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15.7500 </w:t>
            </w:r>
          </w:p>
        </w:tc>
        <w:tc>
          <w:tcPr>
            <w:tcW w:w="1394" w:type="dxa"/>
            <w:tcBorders>
              <w:tl2br w:val="nil"/>
              <w:tr2bl w:val="nil"/>
            </w:tcBorders>
            <w:shd w:val="clear" w:color="auto" w:fill="auto"/>
            <w:vAlign w:val="center"/>
          </w:tcPr>
          <w:p w14:paraId="420E8B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537.2400 </w:t>
            </w:r>
          </w:p>
        </w:tc>
        <w:tc>
          <w:tcPr>
            <w:tcW w:w="1079" w:type="dxa"/>
            <w:tcBorders>
              <w:tl2br w:val="nil"/>
              <w:tr2bl w:val="nil"/>
            </w:tcBorders>
            <w:shd w:val="clear" w:color="auto" w:fill="auto"/>
            <w:vAlign w:val="center"/>
          </w:tcPr>
          <w:p w14:paraId="1358D1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51808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15.7500 </w:t>
            </w:r>
          </w:p>
        </w:tc>
        <w:tc>
          <w:tcPr>
            <w:tcW w:w="1353" w:type="dxa"/>
            <w:tcBorders>
              <w:tl2br w:val="nil"/>
              <w:tr2bl w:val="nil"/>
            </w:tcBorders>
            <w:shd w:val="clear" w:color="auto" w:fill="auto"/>
            <w:vAlign w:val="center"/>
          </w:tcPr>
          <w:p w14:paraId="6C0F2F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537.2400 </w:t>
            </w:r>
          </w:p>
        </w:tc>
      </w:tr>
      <w:tr w14:paraId="3640A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4EF91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1030 </w:t>
            </w:r>
          </w:p>
        </w:tc>
        <w:tc>
          <w:tcPr>
            <w:tcW w:w="1443" w:type="dxa"/>
            <w:tcBorders>
              <w:tl2br w:val="nil"/>
              <w:tr2bl w:val="nil"/>
            </w:tcBorders>
            <w:shd w:val="clear" w:color="auto" w:fill="auto"/>
            <w:vAlign w:val="center"/>
          </w:tcPr>
          <w:p w14:paraId="311CC9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15.8650 </w:t>
            </w:r>
          </w:p>
        </w:tc>
        <w:tc>
          <w:tcPr>
            <w:tcW w:w="1394" w:type="dxa"/>
            <w:tcBorders>
              <w:tl2br w:val="nil"/>
              <w:tr2bl w:val="nil"/>
            </w:tcBorders>
            <w:shd w:val="clear" w:color="auto" w:fill="auto"/>
            <w:vAlign w:val="center"/>
          </w:tcPr>
          <w:p w14:paraId="691C64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531.1700 </w:t>
            </w:r>
          </w:p>
        </w:tc>
        <w:tc>
          <w:tcPr>
            <w:tcW w:w="1079" w:type="dxa"/>
            <w:tcBorders>
              <w:tl2br w:val="nil"/>
              <w:tr2bl w:val="nil"/>
            </w:tcBorders>
            <w:shd w:val="clear" w:color="auto" w:fill="auto"/>
            <w:vAlign w:val="center"/>
          </w:tcPr>
          <w:p w14:paraId="4A74AD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9D852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15.8650 </w:t>
            </w:r>
          </w:p>
        </w:tc>
        <w:tc>
          <w:tcPr>
            <w:tcW w:w="1353" w:type="dxa"/>
            <w:tcBorders>
              <w:tl2br w:val="nil"/>
              <w:tr2bl w:val="nil"/>
            </w:tcBorders>
            <w:shd w:val="clear" w:color="auto" w:fill="auto"/>
            <w:vAlign w:val="center"/>
          </w:tcPr>
          <w:p w14:paraId="0E7CF7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531.1700 </w:t>
            </w:r>
          </w:p>
        </w:tc>
      </w:tr>
      <w:tr w14:paraId="579A06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B26C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1040 </w:t>
            </w:r>
          </w:p>
        </w:tc>
        <w:tc>
          <w:tcPr>
            <w:tcW w:w="1443" w:type="dxa"/>
            <w:tcBorders>
              <w:tl2br w:val="nil"/>
              <w:tr2bl w:val="nil"/>
            </w:tcBorders>
            <w:shd w:val="clear" w:color="auto" w:fill="auto"/>
            <w:vAlign w:val="center"/>
          </w:tcPr>
          <w:p w14:paraId="511217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15.9800 </w:t>
            </w:r>
          </w:p>
        </w:tc>
        <w:tc>
          <w:tcPr>
            <w:tcW w:w="1394" w:type="dxa"/>
            <w:tcBorders>
              <w:tl2br w:val="nil"/>
              <w:tr2bl w:val="nil"/>
            </w:tcBorders>
            <w:shd w:val="clear" w:color="auto" w:fill="auto"/>
            <w:vAlign w:val="center"/>
          </w:tcPr>
          <w:p w14:paraId="5FFA5D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525.2100 </w:t>
            </w:r>
          </w:p>
        </w:tc>
        <w:tc>
          <w:tcPr>
            <w:tcW w:w="1079" w:type="dxa"/>
            <w:tcBorders>
              <w:tl2br w:val="nil"/>
              <w:tr2bl w:val="nil"/>
            </w:tcBorders>
            <w:shd w:val="clear" w:color="auto" w:fill="auto"/>
            <w:vAlign w:val="center"/>
          </w:tcPr>
          <w:p w14:paraId="226F54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DE590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15.9800 </w:t>
            </w:r>
          </w:p>
        </w:tc>
        <w:tc>
          <w:tcPr>
            <w:tcW w:w="1353" w:type="dxa"/>
            <w:tcBorders>
              <w:tl2br w:val="nil"/>
              <w:tr2bl w:val="nil"/>
            </w:tcBorders>
            <w:shd w:val="clear" w:color="auto" w:fill="auto"/>
            <w:vAlign w:val="center"/>
          </w:tcPr>
          <w:p w14:paraId="053F89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525.2100 </w:t>
            </w:r>
          </w:p>
        </w:tc>
      </w:tr>
      <w:tr w14:paraId="0FB7B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424B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1050 </w:t>
            </w:r>
          </w:p>
        </w:tc>
        <w:tc>
          <w:tcPr>
            <w:tcW w:w="1443" w:type="dxa"/>
            <w:tcBorders>
              <w:tl2br w:val="nil"/>
              <w:tr2bl w:val="nil"/>
            </w:tcBorders>
            <w:shd w:val="clear" w:color="auto" w:fill="auto"/>
            <w:vAlign w:val="center"/>
          </w:tcPr>
          <w:p w14:paraId="3D248A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16.0940 </w:t>
            </w:r>
          </w:p>
        </w:tc>
        <w:tc>
          <w:tcPr>
            <w:tcW w:w="1394" w:type="dxa"/>
            <w:tcBorders>
              <w:tl2br w:val="nil"/>
              <w:tr2bl w:val="nil"/>
            </w:tcBorders>
            <w:shd w:val="clear" w:color="auto" w:fill="auto"/>
            <w:vAlign w:val="center"/>
          </w:tcPr>
          <w:p w14:paraId="4F95EA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519.3700 </w:t>
            </w:r>
          </w:p>
        </w:tc>
        <w:tc>
          <w:tcPr>
            <w:tcW w:w="1079" w:type="dxa"/>
            <w:tcBorders>
              <w:tl2br w:val="nil"/>
              <w:tr2bl w:val="nil"/>
            </w:tcBorders>
            <w:shd w:val="clear" w:color="auto" w:fill="auto"/>
            <w:vAlign w:val="center"/>
          </w:tcPr>
          <w:p w14:paraId="4BFE30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8BF3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16.0940 </w:t>
            </w:r>
          </w:p>
        </w:tc>
        <w:tc>
          <w:tcPr>
            <w:tcW w:w="1353" w:type="dxa"/>
            <w:tcBorders>
              <w:tl2br w:val="nil"/>
              <w:tr2bl w:val="nil"/>
            </w:tcBorders>
            <w:shd w:val="clear" w:color="auto" w:fill="auto"/>
            <w:vAlign w:val="center"/>
          </w:tcPr>
          <w:p w14:paraId="1F53B0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519.3700 </w:t>
            </w:r>
          </w:p>
        </w:tc>
      </w:tr>
      <w:tr w14:paraId="50B54E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70475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1060 </w:t>
            </w:r>
          </w:p>
        </w:tc>
        <w:tc>
          <w:tcPr>
            <w:tcW w:w="1443" w:type="dxa"/>
            <w:tcBorders>
              <w:tl2br w:val="nil"/>
              <w:tr2bl w:val="nil"/>
            </w:tcBorders>
            <w:shd w:val="clear" w:color="auto" w:fill="auto"/>
            <w:vAlign w:val="center"/>
          </w:tcPr>
          <w:p w14:paraId="4F8268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16.2080 </w:t>
            </w:r>
          </w:p>
        </w:tc>
        <w:tc>
          <w:tcPr>
            <w:tcW w:w="1394" w:type="dxa"/>
            <w:tcBorders>
              <w:tl2br w:val="nil"/>
              <w:tr2bl w:val="nil"/>
            </w:tcBorders>
            <w:shd w:val="clear" w:color="auto" w:fill="auto"/>
            <w:vAlign w:val="center"/>
          </w:tcPr>
          <w:p w14:paraId="4E5DC0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513.6500 </w:t>
            </w:r>
          </w:p>
        </w:tc>
        <w:tc>
          <w:tcPr>
            <w:tcW w:w="1079" w:type="dxa"/>
            <w:tcBorders>
              <w:tl2br w:val="nil"/>
              <w:tr2bl w:val="nil"/>
            </w:tcBorders>
            <w:shd w:val="clear" w:color="auto" w:fill="auto"/>
            <w:vAlign w:val="center"/>
          </w:tcPr>
          <w:p w14:paraId="33B0C3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CCE5C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16.2080 </w:t>
            </w:r>
          </w:p>
        </w:tc>
        <w:tc>
          <w:tcPr>
            <w:tcW w:w="1353" w:type="dxa"/>
            <w:tcBorders>
              <w:tl2br w:val="nil"/>
              <w:tr2bl w:val="nil"/>
            </w:tcBorders>
            <w:shd w:val="clear" w:color="auto" w:fill="auto"/>
            <w:vAlign w:val="center"/>
          </w:tcPr>
          <w:p w14:paraId="0987B6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513.6500 </w:t>
            </w:r>
          </w:p>
        </w:tc>
      </w:tr>
      <w:tr w14:paraId="26ED0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526A4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1070 </w:t>
            </w:r>
          </w:p>
        </w:tc>
        <w:tc>
          <w:tcPr>
            <w:tcW w:w="1443" w:type="dxa"/>
            <w:tcBorders>
              <w:tl2br w:val="nil"/>
              <w:tr2bl w:val="nil"/>
            </w:tcBorders>
            <w:shd w:val="clear" w:color="auto" w:fill="auto"/>
            <w:vAlign w:val="center"/>
          </w:tcPr>
          <w:p w14:paraId="5AF30F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16.3220 </w:t>
            </w:r>
          </w:p>
        </w:tc>
        <w:tc>
          <w:tcPr>
            <w:tcW w:w="1394" w:type="dxa"/>
            <w:tcBorders>
              <w:tl2br w:val="nil"/>
              <w:tr2bl w:val="nil"/>
            </w:tcBorders>
            <w:shd w:val="clear" w:color="auto" w:fill="auto"/>
            <w:vAlign w:val="center"/>
          </w:tcPr>
          <w:p w14:paraId="4F761D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508.0300 </w:t>
            </w:r>
          </w:p>
        </w:tc>
        <w:tc>
          <w:tcPr>
            <w:tcW w:w="1079" w:type="dxa"/>
            <w:tcBorders>
              <w:tl2br w:val="nil"/>
              <w:tr2bl w:val="nil"/>
            </w:tcBorders>
            <w:shd w:val="clear" w:color="auto" w:fill="auto"/>
            <w:vAlign w:val="center"/>
          </w:tcPr>
          <w:p w14:paraId="78FEE8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D886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16.3220 </w:t>
            </w:r>
          </w:p>
        </w:tc>
        <w:tc>
          <w:tcPr>
            <w:tcW w:w="1353" w:type="dxa"/>
            <w:tcBorders>
              <w:tl2br w:val="nil"/>
              <w:tr2bl w:val="nil"/>
            </w:tcBorders>
            <w:shd w:val="clear" w:color="auto" w:fill="auto"/>
            <w:vAlign w:val="center"/>
          </w:tcPr>
          <w:p w14:paraId="68CD8E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508.0300 </w:t>
            </w:r>
          </w:p>
        </w:tc>
      </w:tr>
      <w:tr w14:paraId="47FFB1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C522F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1080 </w:t>
            </w:r>
          </w:p>
        </w:tc>
        <w:tc>
          <w:tcPr>
            <w:tcW w:w="1443" w:type="dxa"/>
            <w:tcBorders>
              <w:tl2br w:val="nil"/>
              <w:tr2bl w:val="nil"/>
            </w:tcBorders>
            <w:shd w:val="clear" w:color="auto" w:fill="auto"/>
            <w:vAlign w:val="center"/>
          </w:tcPr>
          <w:p w14:paraId="0E6EE5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16.4360 </w:t>
            </w:r>
          </w:p>
        </w:tc>
        <w:tc>
          <w:tcPr>
            <w:tcW w:w="1394" w:type="dxa"/>
            <w:tcBorders>
              <w:tl2br w:val="nil"/>
              <w:tr2bl w:val="nil"/>
            </w:tcBorders>
            <w:shd w:val="clear" w:color="auto" w:fill="auto"/>
            <w:vAlign w:val="center"/>
          </w:tcPr>
          <w:p w14:paraId="50AD20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502.4000 </w:t>
            </w:r>
          </w:p>
        </w:tc>
        <w:tc>
          <w:tcPr>
            <w:tcW w:w="1079" w:type="dxa"/>
            <w:tcBorders>
              <w:tl2br w:val="nil"/>
              <w:tr2bl w:val="nil"/>
            </w:tcBorders>
            <w:shd w:val="clear" w:color="auto" w:fill="auto"/>
            <w:vAlign w:val="center"/>
          </w:tcPr>
          <w:p w14:paraId="7E17C5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6E61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16.4360 </w:t>
            </w:r>
          </w:p>
        </w:tc>
        <w:tc>
          <w:tcPr>
            <w:tcW w:w="1353" w:type="dxa"/>
            <w:tcBorders>
              <w:tl2br w:val="nil"/>
              <w:tr2bl w:val="nil"/>
            </w:tcBorders>
            <w:shd w:val="clear" w:color="auto" w:fill="auto"/>
            <w:vAlign w:val="center"/>
          </w:tcPr>
          <w:p w14:paraId="70C1C5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502.4000 </w:t>
            </w:r>
          </w:p>
        </w:tc>
      </w:tr>
      <w:tr w14:paraId="308087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59A6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1090 </w:t>
            </w:r>
          </w:p>
        </w:tc>
        <w:tc>
          <w:tcPr>
            <w:tcW w:w="1443" w:type="dxa"/>
            <w:tcBorders>
              <w:tl2br w:val="nil"/>
              <w:tr2bl w:val="nil"/>
            </w:tcBorders>
            <w:shd w:val="clear" w:color="auto" w:fill="auto"/>
            <w:vAlign w:val="center"/>
          </w:tcPr>
          <w:p w14:paraId="33BFCA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16.5490 </w:t>
            </w:r>
          </w:p>
        </w:tc>
        <w:tc>
          <w:tcPr>
            <w:tcW w:w="1394" w:type="dxa"/>
            <w:tcBorders>
              <w:tl2br w:val="nil"/>
              <w:tr2bl w:val="nil"/>
            </w:tcBorders>
            <w:shd w:val="clear" w:color="auto" w:fill="auto"/>
            <w:vAlign w:val="center"/>
          </w:tcPr>
          <w:p w14:paraId="2370C2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496.8800 </w:t>
            </w:r>
          </w:p>
        </w:tc>
        <w:tc>
          <w:tcPr>
            <w:tcW w:w="1079" w:type="dxa"/>
            <w:tcBorders>
              <w:tl2br w:val="nil"/>
              <w:tr2bl w:val="nil"/>
            </w:tcBorders>
            <w:shd w:val="clear" w:color="auto" w:fill="auto"/>
            <w:vAlign w:val="center"/>
          </w:tcPr>
          <w:p w14:paraId="4CBD84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CA85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16.5490 </w:t>
            </w:r>
          </w:p>
        </w:tc>
        <w:tc>
          <w:tcPr>
            <w:tcW w:w="1353" w:type="dxa"/>
            <w:tcBorders>
              <w:tl2br w:val="nil"/>
              <w:tr2bl w:val="nil"/>
            </w:tcBorders>
            <w:shd w:val="clear" w:color="auto" w:fill="auto"/>
            <w:vAlign w:val="center"/>
          </w:tcPr>
          <w:p w14:paraId="4F360A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496.8800 </w:t>
            </w:r>
          </w:p>
        </w:tc>
      </w:tr>
      <w:tr w14:paraId="4E4556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4F9A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1100 </w:t>
            </w:r>
          </w:p>
        </w:tc>
        <w:tc>
          <w:tcPr>
            <w:tcW w:w="1443" w:type="dxa"/>
            <w:tcBorders>
              <w:tl2br w:val="nil"/>
              <w:tr2bl w:val="nil"/>
            </w:tcBorders>
            <w:shd w:val="clear" w:color="auto" w:fill="auto"/>
            <w:vAlign w:val="center"/>
          </w:tcPr>
          <w:p w14:paraId="3A1678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16.6630 </w:t>
            </w:r>
          </w:p>
        </w:tc>
        <w:tc>
          <w:tcPr>
            <w:tcW w:w="1394" w:type="dxa"/>
            <w:tcBorders>
              <w:tl2br w:val="nil"/>
              <w:tr2bl w:val="nil"/>
            </w:tcBorders>
            <w:shd w:val="clear" w:color="auto" w:fill="auto"/>
            <w:vAlign w:val="center"/>
          </w:tcPr>
          <w:p w14:paraId="60DDAB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491.4600 </w:t>
            </w:r>
          </w:p>
        </w:tc>
        <w:tc>
          <w:tcPr>
            <w:tcW w:w="1079" w:type="dxa"/>
            <w:tcBorders>
              <w:tl2br w:val="nil"/>
              <w:tr2bl w:val="nil"/>
            </w:tcBorders>
            <w:shd w:val="clear" w:color="auto" w:fill="auto"/>
            <w:vAlign w:val="center"/>
          </w:tcPr>
          <w:p w14:paraId="5DD40D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6B73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16.6630 </w:t>
            </w:r>
          </w:p>
        </w:tc>
        <w:tc>
          <w:tcPr>
            <w:tcW w:w="1353" w:type="dxa"/>
            <w:tcBorders>
              <w:tl2br w:val="nil"/>
              <w:tr2bl w:val="nil"/>
            </w:tcBorders>
            <w:shd w:val="clear" w:color="auto" w:fill="auto"/>
            <w:vAlign w:val="center"/>
          </w:tcPr>
          <w:p w14:paraId="6A8A39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491.4600 </w:t>
            </w:r>
          </w:p>
        </w:tc>
      </w:tr>
      <w:tr w14:paraId="5BDE3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2F05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1110 </w:t>
            </w:r>
          </w:p>
        </w:tc>
        <w:tc>
          <w:tcPr>
            <w:tcW w:w="1443" w:type="dxa"/>
            <w:tcBorders>
              <w:tl2br w:val="nil"/>
              <w:tr2bl w:val="nil"/>
            </w:tcBorders>
            <w:shd w:val="clear" w:color="auto" w:fill="auto"/>
            <w:vAlign w:val="center"/>
          </w:tcPr>
          <w:p w14:paraId="321125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16.7760 </w:t>
            </w:r>
          </w:p>
        </w:tc>
        <w:tc>
          <w:tcPr>
            <w:tcW w:w="1394" w:type="dxa"/>
            <w:tcBorders>
              <w:tl2br w:val="nil"/>
              <w:tr2bl w:val="nil"/>
            </w:tcBorders>
            <w:shd w:val="clear" w:color="auto" w:fill="auto"/>
            <w:vAlign w:val="center"/>
          </w:tcPr>
          <w:p w14:paraId="49AB97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486.1400 </w:t>
            </w:r>
          </w:p>
        </w:tc>
        <w:tc>
          <w:tcPr>
            <w:tcW w:w="1079" w:type="dxa"/>
            <w:tcBorders>
              <w:tl2br w:val="nil"/>
              <w:tr2bl w:val="nil"/>
            </w:tcBorders>
            <w:shd w:val="clear" w:color="auto" w:fill="auto"/>
            <w:vAlign w:val="center"/>
          </w:tcPr>
          <w:p w14:paraId="313F43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C10FD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16.7760 </w:t>
            </w:r>
          </w:p>
        </w:tc>
        <w:tc>
          <w:tcPr>
            <w:tcW w:w="1353" w:type="dxa"/>
            <w:tcBorders>
              <w:tl2br w:val="nil"/>
              <w:tr2bl w:val="nil"/>
            </w:tcBorders>
            <w:shd w:val="clear" w:color="auto" w:fill="auto"/>
            <w:vAlign w:val="center"/>
          </w:tcPr>
          <w:p w14:paraId="51EDA0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486.1400 </w:t>
            </w:r>
          </w:p>
        </w:tc>
      </w:tr>
      <w:tr w14:paraId="1A0ED2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7AB77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1120 </w:t>
            </w:r>
          </w:p>
        </w:tc>
        <w:tc>
          <w:tcPr>
            <w:tcW w:w="1443" w:type="dxa"/>
            <w:tcBorders>
              <w:tl2br w:val="nil"/>
              <w:tr2bl w:val="nil"/>
            </w:tcBorders>
            <w:shd w:val="clear" w:color="auto" w:fill="auto"/>
            <w:vAlign w:val="center"/>
          </w:tcPr>
          <w:p w14:paraId="2375A0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16.8880 </w:t>
            </w:r>
          </w:p>
        </w:tc>
        <w:tc>
          <w:tcPr>
            <w:tcW w:w="1394" w:type="dxa"/>
            <w:tcBorders>
              <w:tl2br w:val="nil"/>
              <w:tr2bl w:val="nil"/>
            </w:tcBorders>
            <w:shd w:val="clear" w:color="auto" w:fill="auto"/>
            <w:vAlign w:val="center"/>
          </w:tcPr>
          <w:p w14:paraId="61266A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480.9200 </w:t>
            </w:r>
          </w:p>
        </w:tc>
        <w:tc>
          <w:tcPr>
            <w:tcW w:w="1079" w:type="dxa"/>
            <w:tcBorders>
              <w:tl2br w:val="nil"/>
              <w:tr2bl w:val="nil"/>
            </w:tcBorders>
            <w:shd w:val="clear" w:color="auto" w:fill="auto"/>
            <w:vAlign w:val="center"/>
          </w:tcPr>
          <w:p w14:paraId="5AC955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00C71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16.8880 </w:t>
            </w:r>
          </w:p>
        </w:tc>
        <w:tc>
          <w:tcPr>
            <w:tcW w:w="1353" w:type="dxa"/>
            <w:tcBorders>
              <w:tl2br w:val="nil"/>
              <w:tr2bl w:val="nil"/>
            </w:tcBorders>
            <w:shd w:val="clear" w:color="auto" w:fill="auto"/>
            <w:vAlign w:val="center"/>
          </w:tcPr>
          <w:p w14:paraId="4FBEF8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480.9200 </w:t>
            </w:r>
          </w:p>
        </w:tc>
      </w:tr>
      <w:tr w14:paraId="78CAB2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D7229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1130 </w:t>
            </w:r>
          </w:p>
        </w:tc>
        <w:tc>
          <w:tcPr>
            <w:tcW w:w="1443" w:type="dxa"/>
            <w:tcBorders>
              <w:tl2br w:val="nil"/>
              <w:tr2bl w:val="nil"/>
            </w:tcBorders>
            <w:shd w:val="clear" w:color="auto" w:fill="auto"/>
            <w:vAlign w:val="center"/>
          </w:tcPr>
          <w:p w14:paraId="71EF4F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17.0010 </w:t>
            </w:r>
          </w:p>
        </w:tc>
        <w:tc>
          <w:tcPr>
            <w:tcW w:w="1394" w:type="dxa"/>
            <w:tcBorders>
              <w:tl2br w:val="nil"/>
              <w:tr2bl w:val="nil"/>
            </w:tcBorders>
            <w:shd w:val="clear" w:color="auto" w:fill="auto"/>
            <w:vAlign w:val="center"/>
          </w:tcPr>
          <w:p w14:paraId="4BD319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475.7900 </w:t>
            </w:r>
          </w:p>
        </w:tc>
        <w:tc>
          <w:tcPr>
            <w:tcW w:w="1079" w:type="dxa"/>
            <w:tcBorders>
              <w:tl2br w:val="nil"/>
              <w:tr2bl w:val="nil"/>
            </w:tcBorders>
            <w:shd w:val="clear" w:color="auto" w:fill="auto"/>
            <w:vAlign w:val="center"/>
          </w:tcPr>
          <w:p w14:paraId="197EF0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D9E04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17.0010 </w:t>
            </w:r>
          </w:p>
        </w:tc>
        <w:tc>
          <w:tcPr>
            <w:tcW w:w="1353" w:type="dxa"/>
            <w:tcBorders>
              <w:tl2br w:val="nil"/>
              <w:tr2bl w:val="nil"/>
            </w:tcBorders>
            <w:shd w:val="clear" w:color="auto" w:fill="auto"/>
            <w:vAlign w:val="center"/>
          </w:tcPr>
          <w:p w14:paraId="14B31F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475.7900 </w:t>
            </w:r>
          </w:p>
        </w:tc>
      </w:tr>
      <w:tr w14:paraId="37CEB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FC6A0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1140 </w:t>
            </w:r>
          </w:p>
        </w:tc>
        <w:tc>
          <w:tcPr>
            <w:tcW w:w="1443" w:type="dxa"/>
            <w:tcBorders>
              <w:tl2br w:val="nil"/>
              <w:tr2bl w:val="nil"/>
            </w:tcBorders>
            <w:shd w:val="clear" w:color="auto" w:fill="auto"/>
            <w:vAlign w:val="center"/>
          </w:tcPr>
          <w:p w14:paraId="52DEFB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17.1130 </w:t>
            </w:r>
          </w:p>
        </w:tc>
        <w:tc>
          <w:tcPr>
            <w:tcW w:w="1394" w:type="dxa"/>
            <w:tcBorders>
              <w:tl2br w:val="nil"/>
              <w:tr2bl w:val="nil"/>
            </w:tcBorders>
            <w:shd w:val="clear" w:color="auto" w:fill="auto"/>
            <w:vAlign w:val="center"/>
          </w:tcPr>
          <w:p w14:paraId="625CDE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470.7500 </w:t>
            </w:r>
          </w:p>
        </w:tc>
        <w:tc>
          <w:tcPr>
            <w:tcW w:w="1079" w:type="dxa"/>
            <w:tcBorders>
              <w:tl2br w:val="nil"/>
              <w:tr2bl w:val="nil"/>
            </w:tcBorders>
            <w:shd w:val="clear" w:color="auto" w:fill="auto"/>
            <w:vAlign w:val="center"/>
          </w:tcPr>
          <w:p w14:paraId="584B24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4E0B9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17.1130 </w:t>
            </w:r>
          </w:p>
        </w:tc>
        <w:tc>
          <w:tcPr>
            <w:tcW w:w="1353" w:type="dxa"/>
            <w:tcBorders>
              <w:tl2br w:val="nil"/>
              <w:tr2bl w:val="nil"/>
            </w:tcBorders>
            <w:shd w:val="clear" w:color="auto" w:fill="auto"/>
            <w:vAlign w:val="center"/>
          </w:tcPr>
          <w:p w14:paraId="4BA6E6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470.7500 </w:t>
            </w:r>
          </w:p>
        </w:tc>
      </w:tr>
      <w:tr w14:paraId="70C04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F0ED6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1150 </w:t>
            </w:r>
          </w:p>
        </w:tc>
        <w:tc>
          <w:tcPr>
            <w:tcW w:w="1443" w:type="dxa"/>
            <w:tcBorders>
              <w:tl2br w:val="nil"/>
              <w:tr2bl w:val="nil"/>
            </w:tcBorders>
            <w:shd w:val="clear" w:color="auto" w:fill="auto"/>
            <w:vAlign w:val="center"/>
          </w:tcPr>
          <w:p w14:paraId="7274B9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17.2250 </w:t>
            </w:r>
          </w:p>
        </w:tc>
        <w:tc>
          <w:tcPr>
            <w:tcW w:w="1394" w:type="dxa"/>
            <w:tcBorders>
              <w:tl2br w:val="nil"/>
              <w:tr2bl w:val="nil"/>
            </w:tcBorders>
            <w:shd w:val="clear" w:color="auto" w:fill="auto"/>
            <w:vAlign w:val="center"/>
          </w:tcPr>
          <w:p w14:paraId="79D67D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465.8000 </w:t>
            </w:r>
          </w:p>
        </w:tc>
        <w:tc>
          <w:tcPr>
            <w:tcW w:w="1079" w:type="dxa"/>
            <w:tcBorders>
              <w:tl2br w:val="nil"/>
              <w:tr2bl w:val="nil"/>
            </w:tcBorders>
            <w:shd w:val="clear" w:color="auto" w:fill="auto"/>
            <w:vAlign w:val="center"/>
          </w:tcPr>
          <w:p w14:paraId="3FE9BC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17B55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17.2250 </w:t>
            </w:r>
          </w:p>
        </w:tc>
        <w:tc>
          <w:tcPr>
            <w:tcW w:w="1353" w:type="dxa"/>
            <w:tcBorders>
              <w:tl2br w:val="nil"/>
              <w:tr2bl w:val="nil"/>
            </w:tcBorders>
            <w:shd w:val="clear" w:color="auto" w:fill="auto"/>
            <w:vAlign w:val="center"/>
          </w:tcPr>
          <w:p w14:paraId="260462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465.8000 </w:t>
            </w:r>
          </w:p>
        </w:tc>
      </w:tr>
      <w:tr w14:paraId="561185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96FE6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1160 </w:t>
            </w:r>
          </w:p>
        </w:tc>
        <w:tc>
          <w:tcPr>
            <w:tcW w:w="1443" w:type="dxa"/>
            <w:tcBorders>
              <w:tl2br w:val="nil"/>
              <w:tr2bl w:val="nil"/>
            </w:tcBorders>
            <w:shd w:val="clear" w:color="auto" w:fill="auto"/>
            <w:vAlign w:val="center"/>
          </w:tcPr>
          <w:p w14:paraId="3729DA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17.3370 </w:t>
            </w:r>
          </w:p>
        </w:tc>
        <w:tc>
          <w:tcPr>
            <w:tcW w:w="1394" w:type="dxa"/>
            <w:tcBorders>
              <w:tl2br w:val="nil"/>
              <w:tr2bl w:val="nil"/>
            </w:tcBorders>
            <w:shd w:val="clear" w:color="auto" w:fill="auto"/>
            <w:vAlign w:val="center"/>
          </w:tcPr>
          <w:p w14:paraId="4FD0C6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460.9400 </w:t>
            </w:r>
          </w:p>
        </w:tc>
        <w:tc>
          <w:tcPr>
            <w:tcW w:w="1079" w:type="dxa"/>
            <w:tcBorders>
              <w:tl2br w:val="nil"/>
              <w:tr2bl w:val="nil"/>
            </w:tcBorders>
            <w:shd w:val="clear" w:color="auto" w:fill="auto"/>
            <w:vAlign w:val="center"/>
          </w:tcPr>
          <w:p w14:paraId="113225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7B309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17.3370 </w:t>
            </w:r>
          </w:p>
        </w:tc>
        <w:tc>
          <w:tcPr>
            <w:tcW w:w="1353" w:type="dxa"/>
            <w:tcBorders>
              <w:tl2br w:val="nil"/>
              <w:tr2bl w:val="nil"/>
            </w:tcBorders>
            <w:shd w:val="clear" w:color="auto" w:fill="auto"/>
            <w:vAlign w:val="center"/>
          </w:tcPr>
          <w:p w14:paraId="123E21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460.9400 </w:t>
            </w:r>
          </w:p>
        </w:tc>
      </w:tr>
      <w:tr w14:paraId="04472A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0B816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1170 </w:t>
            </w:r>
          </w:p>
        </w:tc>
        <w:tc>
          <w:tcPr>
            <w:tcW w:w="1443" w:type="dxa"/>
            <w:tcBorders>
              <w:tl2br w:val="nil"/>
              <w:tr2bl w:val="nil"/>
            </w:tcBorders>
            <w:shd w:val="clear" w:color="auto" w:fill="auto"/>
            <w:vAlign w:val="center"/>
          </w:tcPr>
          <w:p w14:paraId="707DF1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17.4490 </w:t>
            </w:r>
          </w:p>
        </w:tc>
        <w:tc>
          <w:tcPr>
            <w:tcW w:w="1394" w:type="dxa"/>
            <w:tcBorders>
              <w:tl2br w:val="nil"/>
              <w:tr2bl w:val="nil"/>
            </w:tcBorders>
            <w:shd w:val="clear" w:color="auto" w:fill="auto"/>
            <w:vAlign w:val="center"/>
          </w:tcPr>
          <w:p w14:paraId="07A2BF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456.1700 </w:t>
            </w:r>
          </w:p>
        </w:tc>
        <w:tc>
          <w:tcPr>
            <w:tcW w:w="1079" w:type="dxa"/>
            <w:tcBorders>
              <w:tl2br w:val="nil"/>
              <w:tr2bl w:val="nil"/>
            </w:tcBorders>
            <w:shd w:val="clear" w:color="auto" w:fill="auto"/>
            <w:vAlign w:val="center"/>
          </w:tcPr>
          <w:p w14:paraId="5BF51D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4F693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17.4490 </w:t>
            </w:r>
          </w:p>
        </w:tc>
        <w:tc>
          <w:tcPr>
            <w:tcW w:w="1353" w:type="dxa"/>
            <w:tcBorders>
              <w:tl2br w:val="nil"/>
              <w:tr2bl w:val="nil"/>
            </w:tcBorders>
            <w:shd w:val="clear" w:color="auto" w:fill="auto"/>
            <w:vAlign w:val="center"/>
          </w:tcPr>
          <w:p w14:paraId="512B87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456.1700 </w:t>
            </w:r>
          </w:p>
        </w:tc>
      </w:tr>
      <w:tr w14:paraId="708A2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58D8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1180 </w:t>
            </w:r>
          </w:p>
        </w:tc>
        <w:tc>
          <w:tcPr>
            <w:tcW w:w="1443" w:type="dxa"/>
            <w:tcBorders>
              <w:tl2br w:val="nil"/>
              <w:tr2bl w:val="nil"/>
            </w:tcBorders>
            <w:shd w:val="clear" w:color="auto" w:fill="auto"/>
            <w:vAlign w:val="center"/>
          </w:tcPr>
          <w:p w14:paraId="55C166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17.5600 </w:t>
            </w:r>
          </w:p>
        </w:tc>
        <w:tc>
          <w:tcPr>
            <w:tcW w:w="1394" w:type="dxa"/>
            <w:tcBorders>
              <w:tl2br w:val="nil"/>
              <w:tr2bl w:val="nil"/>
            </w:tcBorders>
            <w:shd w:val="clear" w:color="auto" w:fill="auto"/>
            <w:vAlign w:val="center"/>
          </w:tcPr>
          <w:p w14:paraId="7CFE87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451.4800 </w:t>
            </w:r>
          </w:p>
        </w:tc>
        <w:tc>
          <w:tcPr>
            <w:tcW w:w="1079" w:type="dxa"/>
            <w:tcBorders>
              <w:tl2br w:val="nil"/>
              <w:tr2bl w:val="nil"/>
            </w:tcBorders>
            <w:shd w:val="clear" w:color="auto" w:fill="auto"/>
            <w:vAlign w:val="center"/>
          </w:tcPr>
          <w:p w14:paraId="544BD5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49D49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17.5600 </w:t>
            </w:r>
          </w:p>
        </w:tc>
        <w:tc>
          <w:tcPr>
            <w:tcW w:w="1353" w:type="dxa"/>
            <w:tcBorders>
              <w:tl2br w:val="nil"/>
              <w:tr2bl w:val="nil"/>
            </w:tcBorders>
            <w:shd w:val="clear" w:color="auto" w:fill="auto"/>
            <w:vAlign w:val="center"/>
          </w:tcPr>
          <w:p w14:paraId="4BF0E7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451.4800 </w:t>
            </w:r>
          </w:p>
        </w:tc>
      </w:tr>
      <w:tr w14:paraId="6458F9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B09C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1190 </w:t>
            </w:r>
          </w:p>
        </w:tc>
        <w:tc>
          <w:tcPr>
            <w:tcW w:w="1443" w:type="dxa"/>
            <w:tcBorders>
              <w:tl2br w:val="nil"/>
              <w:tr2bl w:val="nil"/>
            </w:tcBorders>
            <w:shd w:val="clear" w:color="auto" w:fill="auto"/>
            <w:vAlign w:val="center"/>
          </w:tcPr>
          <w:p w14:paraId="187AE9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17.6720 </w:t>
            </w:r>
          </w:p>
        </w:tc>
        <w:tc>
          <w:tcPr>
            <w:tcW w:w="1394" w:type="dxa"/>
            <w:tcBorders>
              <w:tl2br w:val="nil"/>
              <w:tr2bl w:val="nil"/>
            </w:tcBorders>
            <w:shd w:val="clear" w:color="auto" w:fill="auto"/>
            <w:vAlign w:val="center"/>
          </w:tcPr>
          <w:p w14:paraId="7C4638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446.8800 </w:t>
            </w:r>
          </w:p>
        </w:tc>
        <w:tc>
          <w:tcPr>
            <w:tcW w:w="1079" w:type="dxa"/>
            <w:tcBorders>
              <w:tl2br w:val="nil"/>
              <w:tr2bl w:val="nil"/>
            </w:tcBorders>
            <w:shd w:val="clear" w:color="auto" w:fill="auto"/>
            <w:vAlign w:val="center"/>
          </w:tcPr>
          <w:p w14:paraId="00B3F1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53EAC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17.6720 </w:t>
            </w:r>
          </w:p>
        </w:tc>
        <w:tc>
          <w:tcPr>
            <w:tcW w:w="1353" w:type="dxa"/>
            <w:tcBorders>
              <w:tl2br w:val="nil"/>
              <w:tr2bl w:val="nil"/>
            </w:tcBorders>
            <w:shd w:val="clear" w:color="auto" w:fill="auto"/>
            <w:vAlign w:val="center"/>
          </w:tcPr>
          <w:p w14:paraId="564FEC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446.8800 </w:t>
            </w:r>
          </w:p>
        </w:tc>
      </w:tr>
      <w:tr w14:paraId="45FC00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DB63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1200 </w:t>
            </w:r>
          </w:p>
        </w:tc>
        <w:tc>
          <w:tcPr>
            <w:tcW w:w="1443" w:type="dxa"/>
            <w:tcBorders>
              <w:tl2br w:val="nil"/>
              <w:tr2bl w:val="nil"/>
            </w:tcBorders>
            <w:shd w:val="clear" w:color="auto" w:fill="auto"/>
            <w:vAlign w:val="center"/>
          </w:tcPr>
          <w:p w14:paraId="34234D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17.7830 </w:t>
            </w:r>
          </w:p>
        </w:tc>
        <w:tc>
          <w:tcPr>
            <w:tcW w:w="1394" w:type="dxa"/>
            <w:tcBorders>
              <w:tl2br w:val="nil"/>
              <w:tr2bl w:val="nil"/>
            </w:tcBorders>
            <w:shd w:val="clear" w:color="auto" w:fill="auto"/>
            <w:vAlign w:val="center"/>
          </w:tcPr>
          <w:p w14:paraId="76BDAC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442.3500 </w:t>
            </w:r>
          </w:p>
        </w:tc>
        <w:tc>
          <w:tcPr>
            <w:tcW w:w="1079" w:type="dxa"/>
            <w:tcBorders>
              <w:tl2br w:val="nil"/>
              <w:tr2bl w:val="nil"/>
            </w:tcBorders>
            <w:shd w:val="clear" w:color="auto" w:fill="auto"/>
            <w:vAlign w:val="center"/>
          </w:tcPr>
          <w:p w14:paraId="2A30AB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581C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17.7830 </w:t>
            </w:r>
          </w:p>
        </w:tc>
        <w:tc>
          <w:tcPr>
            <w:tcW w:w="1353" w:type="dxa"/>
            <w:tcBorders>
              <w:tl2br w:val="nil"/>
              <w:tr2bl w:val="nil"/>
            </w:tcBorders>
            <w:shd w:val="clear" w:color="auto" w:fill="auto"/>
            <w:vAlign w:val="center"/>
          </w:tcPr>
          <w:p w14:paraId="08EF29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442.3500 </w:t>
            </w:r>
          </w:p>
        </w:tc>
      </w:tr>
      <w:tr w14:paraId="6F2B3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D61F2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1210 </w:t>
            </w:r>
          </w:p>
        </w:tc>
        <w:tc>
          <w:tcPr>
            <w:tcW w:w="1443" w:type="dxa"/>
            <w:tcBorders>
              <w:tl2br w:val="nil"/>
              <w:tr2bl w:val="nil"/>
            </w:tcBorders>
            <w:shd w:val="clear" w:color="auto" w:fill="auto"/>
            <w:vAlign w:val="center"/>
          </w:tcPr>
          <w:p w14:paraId="2F9E84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17.8940 </w:t>
            </w:r>
          </w:p>
        </w:tc>
        <w:tc>
          <w:tcPr>
            <w:tcW w:w="1394" w:type="dxa"/>
            <w:tcBorders>
              <w:tl2br w:val="nil"/>
              <w:tr2bl w:val="nil"/>
            </w:tcBorders>
            <w:shd w:val="clear" w:color="auto" w:fill="auto"/>
            <w:vAlign w:val="center"/>
          </w:tcPr>
          <w:p w14:paraId="708CD9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437.9100 </w:t>
            </w:r>
          </w:p>
        </w:tc>
        <w:tc>
          <w:tcPr>
            <w:tcW w:w="1079" w:type="dxa"/>
            <w:tcBorders>
              <w:tl2br w:val="nil"/>
              <w:tr2bl w:val="nil"/>
            </w:tcBorders>
            <w:shd w:val="clear" w:color="auto" w:fill="auto"/>
            <w:vAlign w:val="center"/>
          </w:tcPr>
          <w:p w14:paraId="275207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C1457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17.8940 </w:t>
            </w:r>
          </w:p>
        </w:tc>
        <w:tc>
          <w:tcPr>
            <w:tcW w:w="1353" w:type="dxa"/>
            <w:tcBorders>
              <w:tl2br w:val="nil"/>
              <w:tr2bl w:val="nil"/>
            </w:tcBorders>
            <w:shd w:val="clear" w:color="auto" w:fill="auto"/>
            <w:vAlign w:val="center"/>
          </w:tcPr>
          <w:p w14:paraId="092149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437.9100 </w:t>
            </w:r>
          </w:p>
        </w:tc>
      </w:tr>
      <w:tr w14:paraId="53FC0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7DCC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1220 </w:t>
            </w:r>
          </w:p>
        </w:tc>
        <w:tc>
          <w:tcPr>
            <w:tcW w:w="1443" w:type="dxa"/>
            <w:tcBorders>
              <w:tl2br w:val="nil"/>
              <w:tr2bl w:val="nil"/>
            </w:tcBorders>
            <w:shd w:val="clear" w:color="auto" w:fill="auto"/>
            <w:vAlign w:val="center"/>
          </w:tcPr>
          <w:p w14:paraId="527F91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18.0040 </w:t>
            </w:r>
          </w:p>
        </w:tc>
        <w:tc>
          <w:tcPr>
            <w:tcW w:w="1394" w:type="dxa"/>
            <w:tcBorders>
              <w:tl2br w:val="nil"/>
              <w:tr2bl w:val="nil"/>
            </w:tcBorders>
            <w:shd w:val="clear" w:color="auto" w:fill="auto"/>
            <w:vAlign w:val="center"/>
          </w:tcPr>
          <w:p w14:paraId="294DBA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433.5400 </w:t>
            </w:r>
          </w:p>
        </w:tc>
        <w:tc>
          <w:tcPr>
            <w:tcW w:w="1079" w:type="dxa"/>
            <w:tcBorders>
              <w:tl2br w:val="nil"/>
              <w:tr2bl w:val="nil"/>
            </w:tcBorders>
            <w:shd w:val="clear" w:color="auto" w:fill="auto"/>
            <w:vAlign w:val="center"/>
          </w:tcPr>
          <w:p w14:paraId="56CA6D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E5ED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18.0040 </w:t>
            </w:r>
          </w:p>
        </w:tc>
        <w:tc>
          <w:tcPr>
            <w:tcW w:w="1353" w:type="dxa"/>
            <w:tcBorders>
              <w:tl2br w:val="nil"/>
              <w:tr2bl w:val="nil"/>
            </w:tcBorders>
            <w:shd w:val="clear" w:color="auto" w:fill="auto"/>
            <w:vAlign w:val="center"/>
          </w:tcPr>
          <w:p w14:paraId="74ECA0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433.5400 </w:t>
            </w:r>
          </w:p>
        </w:tc>
      </w:tr>
      <w:tr w14:paraId="389DAB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C00C4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1230 </w:t>
            </w:r>
          </w:p>
        </w:tc>
        <w:tc>
          <w:tcPr>
            <w:tcW w:w="1443" w:type="dxa"/>
            <w:tcBorders>
              <w:tl2br w:val="nil"/>
              <w:tr2bl w:val="nil"/>
            </w:tcBorders>
            <w:shd w:val="clear" w:color="auto" w:fill="auto"/>
            <w:vAlign w:val="center"/>
          </w:tcPr>
          <w:p w14:paraId="2EC924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18.1150 </w:t>
            </w:r>
          </w:p>
        </w:tc>
        <w:tc>
          <w:tcPr>
            <w:tcW w:w="1394" w:type="dxa"/>
            <w:tcBorders>
              <w:tl2br w:val="nil"/>
              <w:tr2bl w:val="nil"/>
            </w:tcBorders>
            <w:shd w:val="clear" w:color="auto" w:fill="auto"/>
            <w:vAlign w:val="center"/>
          </w:tcPr>
          <w:p w14:paraId="51CCBD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429.2400 </w:t>
            </w:r>
          </w:p>
        </w:tc>
        <w:tc>
          <w:tcPr>
            <w:tcW w:w="1079" w:type="dxa"/>
            <w:tcBorders>
              <w:tl2br w:val="nil"/>
              <w:tr2bl w:val="nil"/>
            </w:tcBorders>
            <w:shd w:val="clear" w:color="auto" w:fill="auto"/>
            <w:vAlign w:val="center"/>
          </w:tcPr>
          <w:p w14:paraId="3AFDE9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9949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18.1150 </w:t>
            </w:r>
          </w:p>
        </w:tc>
        <w:tc>
          <w:tcPr>
            <w:tcW w:w="1353" w:type="dxa"/>
            <w:tcBorders>
              <w:tl2br w:val="nil"/>
              <w:tr2bl w:val="nil"/>
            </w:tcBorders>
            <w:shd w:val="clear" w:color="auto" w:fill="auto"/>
            <w:vAlign w:val="center"/>
          </w:tcPr>
          <w:p w14:paraId="54485D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429.2400 </w:t>
            </w:r>
          </w:p>
        </w:tc>
      </w:tr>
      <w:tr w14:paraId="79C34A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E60DD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1240 </w:t>
            </w:r>
          </w:p>
        </w:tc>
        <w:tc>
          <w:tcPr>
            <w:tcW w:w="1443" w:type="dxa"/>
            <w:tcBorders>
              <w:tl2br w:val="nil"/>
              <w:tr2bl w:val="nil"/>
            </w:tcBorders>
            <w:shd w:val="clear" w:color="auto" w:fill="auto"/>
            <w:vAlign w:val="center"/>
          </w:tcPr>
          <w:p w14:paraId="3633A2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18.2250 </w:t>
            </w:r>
          </w:p>
        </w:tc>
        <w:tc>
          <w:tcPr>
            <w:tcW w:w="1394" w:type="dxa"/>
            <w:tcBorders>
              <w:tl2br w:val="nil"/>
              <w:tr2bl w:val="nil"/>
            </w:tcBorders>
            <w:shd w:val="clear" w:color="auto" w:fill="auto"/>
            <w:vAlign w:val="center"/>
          </w:tcPr>
          <w:p w14:paraId="423C1E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425.0200 </w:t>
            </w:r>
          </w:p>
        </w:tc>
        <w:tc>
          <w:tcPr>
            <w:tcW w:w="1079" w:type="dxa"/>
            <w:tcBorders>
              <w:tl2br w:val="nil"/>
              <w:tr2bl w:val="nil"/>
            </w:tcBorders>
            <w:shd w:val="clear" w:color="auto" w:fill="auto"/>
            <w:vAlign w:val="center"/>
          </w:tcPr>
          <w:p w14:paraId="66F652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70EE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18.2250 </w:t>
            </w:r>
          </w:p>
        </w:tc>
        <w:tc>
          <w:tcPr>
            <w:tcW w:w="1353" w:type="dxa"/>
            <w:tcBorders>
              <w:tl2br w:val="nil"/>
              <w:tr2bl w:val="nil"/>
            </w:tcBorders>
            <w:shd w:val="clear" w:color="auto" w:fill="auto"/>
            <w:vAlign w:val="center"/>
          </w:tcPr>
          <w:p w14:paraId="04D956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425.0200 </w:t>
            </w:r>
          </w:p>
        </w:tc>
      </w:tr>
      <w:tr w14:paraId="55716B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5252A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1250 </w:t>
            </w:r>
          </w:p>
        </w:tc>
        <w:tc>
          <w:tcPr>
            <w:tcW w:w="1443" w:type="dxa"/>
            <w:tcBorders>
              <w:tl2br w:val="nil"/>
              <w:tr2bl w:val="nil"/>
            </w:tcBorders>
            <w:shd w:val="clear" w:color="auto" w:fill="auto"/>
            <w:vAlign w:val="center"/>
          </w:tcPr>
          <w:p w14:paraId="7DEA0D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18.3350 </w:t>
            </w:r>
          </w:p>
        </w:tc>
        <w:tc>
          <w:tcPr>
            <w:tcW w:w="1394" w:type="dxa"/>
            <w:tcBorders>
              <w:tl2br w:val="nil"/>
              <w:tr2bl w:val="nil"/>
            </w:tcBorders>
            <w:shd w:val="clear" w:color="auto" w:fill="auto"/>
            <w:vAlign w:val="center"/>
          </w:tcPr>
          <w:p w14:paraId="280B20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420.8700 </w:t>
            </w:r>
          </w:p>
        </w:tc>
        <w:tc>
          <w:tcPr>
            <w:tcW w:w="1079" w:type="dxa"/>
            <w:tcBorders>
              <w:tl2br w:val="nil"/>
              <w:tr2bl w:val="nil"/>
            </w:tcBorders>
            <w:shd w:val="clear" w:color="auto" w:fill="auto"/>
            <w:vAlign w:val="center"/>
          </w:tcPr>
          <w:p w14:paraId="24A086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48269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18.3350 </w:t>
            </w:r>
          </w:p>
        </w:tc>
        <w:tc>
          <w:tcPr>
            <w:tcW w:w="1353" w:type="dxa"/>
            <w:tcBorders>
              <w:tl2br w:val="nil"/>
              <w:tr2bl w:val="nil"/>
            </w:tcBorders>
            <w:shd w:val="clear" w:color="auto" w:fill="auto"/>
            <w:vAlign w:val="center"/>
          </w:tcPr>
          <w:p w14:paraId="494566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420.8700 </w:t>
            </w:r>
          </w:p>
        </w:tc>
      </w:tr>
      <w:tr w14:paraId="76B46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0AC64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1260 </w:t>
            </w:r>
          </w:p>
        </w:tc>
        <w:tc>
          <w:tcPr>
            <w:tcW w:w="1443" w:type="dxa"/>
            <w:tcBorders>
              <w:tl2br w:val="nil"/>
              <w:tr2bl w:val="nil"/>
            </w:tcBorders>
            <w:shd w:val="clear" w:color="auto" w:fill="auto"/>
            <w:vAlign w:val="center"/>
          </w:tcPr>
          <w:p w14:paraId="57B57F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18.4450 </w:t>
            </w:r>
          </w:p>
        </w:tc>
        <w:tc>
          <w:tcPr>
            <w:tcW w:w="1394" w:type="dxa"/>
            <w:tcBorders>
              <w:tl2br w:val="nil"/>
              <w:tr2bl w:val="nil"/>
            </w:tcBorders>
            <w:shd w:val="clear" w:color="auto" w:fill="auto"/>
            <w:vAlign w:val="center"/>
          </w:tcPr>
          <w:p w14:paraId="60F86E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416.7800 </w:t>
            </w:r>
          </w:p>
        </w:tc>
        <w:tc>
          <w:tcPr>
            <w:tcW w:w="1079" w:type="dxa"/>
            <w:tcBorders>
              <w:tl2br w:val="nil"/>
              <w:tr2bl w:val="nil"/>
            </w:tcBorders>
            <w:shd w:val="clear" w:color="auto" w:fill="auto"/>
            <w:vAlign w:val="center"/>
          </w:tcPr>
          <w:p w14:paraId="2B7194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ED07C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18.4450 </w:t>
            </w:r>
          </w:p>
        </w:tc>
        <w:tc>
          <w:tcPr>
            <w:tcW w:w="1353" w:type="dxa"/>
            <w:tcBorders>
              <w:tl2br w:val="nil"/>
              <w:tr2bl w:val="nil"/>
            </w:tcBorders>
            <w:shd w:val="clear" w:color="auto" w:fill="auto"/>
            <w:vAlign w:val="center"/>
          </w:tcPr>
          <w:p w14:paraId="1A8557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416.7800 </w:t>
            </w:r>
          </w:p>
        </w:tc>
      </w:tr>
      <w:tr w14:paraId="5BFBFA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EDACB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1270 </w:t>
            </w:r>
          </w:p>
        </w:tc>
        <w:tc>
          <w:tcPr>
            <w:tcW w:w="1443" w:type="dxa"/>
            <w:tcBorders>
              <w:tl2br w:val="nil"/>
              <w:tr2bl w:val="nil"/>
            </w:tcBorders>
            <w:shd w:val="clear" w:color="auto" w:fill="auto"/>
            <w:vAlign w:val="center"/>
          </w:tcPr>
          <w:p w14:paraId="0CF63D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18.5540 </w:t>
            </w:r>
          </w:p>
        </w:tc>
        <w:tc>
          <w:tcPr>
            <w:tcW w:w="1394" w:type="dxa"/>
            <w:tcBorders>
              <w:tl2br w:val="nil"/>
              <w:tr2bl w:val="nil"/>
            </w:tcBorders>
            <w:shd w:val="clear" w:color="auto" w:fill="auto"/>
            <w:vAlign w:val="center"/>
          </w:tcPr>
          <w:p w14:paraId="78D335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412.7300 </w:t>
            </w:r>
          </w:p>
        </w:tc>
        <w:tc>
          <w:tcPr>
            <w:tcW w:w="1079" w:type="dxa"/>
            <w:tcBorders>
              <w:tl2br w:val="nil"/>
              <w:tr2bl w:val="nil"/>
            </w:tcBorders>
            <w:shd w:val="clear" w:color="auto" w:fill="auto"/>
            <w:vAlign w:val="center"/>
          </w:tcPr>
          <w:p w14:paraId="7348F0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FEF9F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18.5540 </w:t>
            </w:r>
          </w:p>
        </w:tc>
        <w:tc>
          <w:tcPr>
            <w:tcW w:w="1353" w:type="dxa"/>
            <w:tcBorders>
              <w:tl2br w:val="nil"/>
              <w:tr2bl w:val="nil"/>
            </w:tcBorders>
            <w:shd w:val="clear" w:color="auto" w:fill="auto"/>
            <w:vAlign w:val="center"/>
          </w:tcPr>
          <w:p w14:paraId="432AF2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412.7300 </w:t>
            </w:r>
          </w:p>
        </w:tc>
      </w:tr>
      <w:tr w14:paraId="4CA4C8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C3E7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1280 </w:t>
            </w:r>
          </w:p>
        </w:tc>
        <w:tc>
          <w:tcPr>
            <w:tcW w:w="1443" w:type="dxa"/>
            <w:tcBorders>
              <w:tl2br w:val="nil"/>
              <w:tr2bl w:val="nil"/>
            </w:tcBorders>
            <w:shd w:val="clear" w:color="auto" w:fill="auto"/>
            <w:vAlign w:val="center"/>
          </w:tcPr>
          <w:p w14:paraId="12963B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18.6640 </w:t>
            </w:r>
          </w:p>
        </w:tc>
        <w:tc>
          <w:tcPr>
            <w:tcW w:w="1394" w:type="dxa"/>
            <w:tcBorders>
              <w:tl2br w:val="nil"/>
              <w:tr2bl w:val="nil"/>
            </w:tcBorders>
            <w:shd w:val="clear" w:color="auto" w:fill="auto"/>
            <w:vAlign w:val="center"/>
          </w:tcPr>
          <w:p w14:paraId="60899E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408.7000 </w:t>
            </w:r>
          </w:p>
        </w:tc>
        <w:tc>
          <w:tcPr>
            <w:tcW w:w="1079" w:type="dxa"/>
            <w:tcBorders>
              <w:tl2br w:val="nil"/>
              <w:tr2bl w:val="nil"/>
            </w:tcBorders>
            <w:shd w:val="clear" w:color="auto" w:fill="auto"/>
            <w:vAlign w:val="center"/>
          </w:tcPr>
          <w:p w14:paraId="5AEEC6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897B1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18.6640 </w:t>
            </w:r>
          </w:p>
        </w:tc>
        <w:tc>
          <w:tcPr>
            <w:tcW w:w="1353" w:type="dxa"/>
            <w:tcBorders>
              <w:tl2br w:val="nil"/>
              <w:tr2bl w:val="nil"/>
            </w:tcBorders>
            <w:shd w:val="clear" w:color="auto" w:fill="auto"/>
            <w:vAlign w:val="center"/>
          </w:tcPr>
          <w:p w14:paraId="25C4C4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408.7000 </w:t>
            </w:r>
          </w:p>
        </w:tc>
      </w:tr>
      <w:tr w14:paraId="2F5F6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6CEC7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1290 </w:t>
            </w:r>
          </w:p>
        </w:tc>
        <w:tc>
          <w:tcPr>
            <w:tcW w:w="1443" w:type="dxa"/>
            <w:tcBorders>
              <w:tl2br w:val="nil"/>
              <w:tr2bl w:val="nil"/>
            </w:tcBorders>
            <w:shd w:val="clear" w:color="auto" w:fill="auto"/>
            <w:vAlign w:val="center"/>
          </w:tcPr>
          <w:p w14:paraId="1F0DCB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18.7730 </w:t>
            </w:r>
          </w:p>
        </w:tc>
        <w:tc>
          <w:tcPr>
            <w:tcW w:w="1394" w:type="dxa"/>
            <w:tcBorders>
              <w:tl2br w:val="nil"/>
              <w:tr2bl w:val="nil"/>
            </w:tcBorders>
            <w:shd w:val="clear" w:color="auto" w:fill="auto"/>
            <w:vAlign w:val="center"/>
          </w:tcPr>
          <w:p w14:paraId="07631E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404.7400 </w:t>
            </w:r>
          </w:p>
        </w:tc>
        <w:tc>
          <w:tcPr>
            <w:tcW w:w="1079" w:type="dxa"/>
            <w:tcBorders>
              <w:tl2br w:val="nil"/>
              <w:tr2bl w:val="nil"/>
            </w:tcBorders>
            <w:shd w:val="clear" w:color="auto" w:fill="auto"/>
            <w:vAlign w:val="center"/>
          </w:tcPr>
          <w:p w14:paraId="1291B5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564A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18.7730 </w:t>
            </w:r>
          </w:p>
        </w:tc>
        <w:tc>
          <w:tcPr>
            <w:tcW w:w="1353" w:type="dxa"/>
            <w:tcBorders>
              <w:tl2br w:val="nil"/>
              <w:tr2bl w:val="nil"/>
            </w:tcBorders>
            <w:shd w:val="clear" w:color="auto" w:fill="auto"/>
            <w:vAlign w:val="center"/>
          </w:tcPr>
          <w:p w14:paraId="7DECE3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404.7400 </w:t>
            </w:r>
          </w:p>
        </w:tc>
      </w:tr>
      <w:tr w14:paraId="7C8545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B0ADA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1300 </w:t>
            </w:r>
          </w:p>
        </w:tc>
        <w:tc>
          <w:tcPr>
            <w:tcW w:w="1443" w:type="dxa"/>
            <w:tcBorders>
              <w:tl2br w:val="nil"/>
              <w:tr2bl w:val="nil"/>
            </w:tcBorders>
            <w:shd w:val="clear" w:color="auto" w:fill="auto"/>
            <w:vAlign w:val="center"/>
          </w:tcPr>
          <w:p w14:paraId="60D2EB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18.8820 </w:t>
            </w:r>
          </w:p>
        </w:tc>
        <w:tc>
          <w:tcPr>
            <w:tcW w:w="1394" w:type="dxa"/>
            <w:tcBorders>
              <w:tl2br w:val="nil"/>
              <w:tr2bl w:val="nil"/>
            </w:tcBorders>
            <w:shd w:val="clear" w:color="auto" w:fill="auto"/>
            <w:vAlign w:val="center"/>
          </w:tcPr>
          <w:p w14:paraId="032035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400.8400 </w:t>
            </w:r>
          </w:p>
        </w:tc>
        <w:tc>
          <w:tcPr>
            <w:tcW w:w="1079" w:type="dxa"/>
            <w:tcBorders>
              <w:tl2br w:val="nil"/>
              <w:tr2bl w:val="nil"/>
            </w:tcBorders>
            <w:shd w:val="clear" w:color="auto" w:fill="auto"/>
            <w:vAlign w:val="center"/>
          </w:tcPr>
          <w:p w14:paraId="7ECB9B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AEF3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18.8820 </w:t>
            </w:r>
          </w:p>
        </w:tc>
        <w:tc>
          <w:tcPr>
            <w:tcW w:w="1353" w:type="dxa"/>
            <w:tcBorders>
              <w:tl2br w:val="nil"/>
              <w:tr2bl w:val="nil"/>
            </w:tcBorders>
            <w:shd w:val="clear" w:color="auto" w:fill="auto"/>
            <w:vAlign w:val="center"/>
          </w:tcPr>
          <w:p w14:paraId="5322C6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400.8400 </w:t>
            </w:r>
          </w:p>
        </w:tc>
      </w:tr>
      <w:tr w14:paraId="74EADB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8125B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1310 </w:t>
            </w:r>
          </w:p>
        </w:tc>
        <w:tc>
          <w:tcPr>
            <w:tcW w:w="1443" w:type="dxa"/>
            <w:tcBorders>
              <w:tl2br w:val="nil"/>
              <w:tr2bl w:val="nil"/>
            </w:tcBorders>
            <w:shd w:val="clear" w:color="auto" w:fill="auto"/>
            <w:vAlign w:val="center"/>
          </w:tcPr>
          <w:p w14:paraId="3955EF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18.9910 </w:t>
            </w:r>
          </w:p>
        </w:tc>
        <w:tc>
          <w:tcPr>
            <w:tcW w:w="1394" w:type="dxa"/>
            <w:tcBorders>
              <w:tl2br w:val="nil"/>
              <w:tr2bl w:val="nil"/>
            </w:tcBorders>
            <w:shd w:val="clear" w:color="auto" w:fill="auto"/>
            <w:vAlign w:val="center"/>
          </w:tcPr>
          <w:p w14:paraId="186E68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396.9900 </w:t>
            </w:r>
          </w:p>
        </w:tc>
        <w:tc>
          <w:tcPr>
            <w:tcW w:w="1079" w:type="dxa"/>
            <w:tcBorders>
              <w:tl2br w:val="nil"/>
              <w:tr2bl w:val="nil"/>
            </w:tcBorders>
            <w:shd w:val="clear" w:color="auto" w:fill="auto"/>
            <w:vAlign w:val="center"/>
          </w:tcPr>
          <w:p w14:paraId="7CE866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E06F7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18.9910 </w:t>
            </w:r>
          </w:p>
        </w:tc>
        <w:tc>
          <w:tcPr>
            <w:tcW w:w="1353" w:type="dxa"/>
            <w:tcBorders>
              <w:tl2br w:val="nil"/>
              <w:tr2bl w:val="nil"/>
            </w:tcBorders>
            <w:shd w:val="clear" w:color="auto" w:fill="auto"/>
            <w:vAlign w:val="center"/>
          </w:tcPr>
          <w:p w14:paraId="618111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396.9900 </w:t>
            </w:r>
          </w:p>
        </w:tc>
      </w:tr>
      <w:tr w14:paraId="50FC76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C7488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1320 </w:t>
            </w:r>
          </w:p>
        </w:tc>
        <w:tc>
          <w:tcPr>
            <w:tcW w:w="1443" w:type="dxa"/>
            <w:tcBorders>
              <w:tl2br w:val="nil"/>
              <w:tr2bl w:val="nil"/>
            </w:tcBorders>
            <w:shd w:val="clear" w:color="auto" w:fill="auto"/>
            <w:vAlign w:val="center"/>
          </w:tcPr>
          <w:p w14:paraId="56E3E1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19.1000 </w:t>
            </w:r>
          </w:p>
        </w:tc>
        <w:tc>
          <w:tcPr>
            <w:tcW w:w="1394" w:type="dxa"/>
            <w:tcBorders>
              <w:tl2br w:val="nil"/>
              <w:tr2bl w:val="nil"/>
            </w:tcBorders>
            <w:shd w:val="clear" w:color="auto" w:fill="auto"/>
            <w:vAlign w:val="center"/>
          </w:tcPr>
          <w:p w14:paraId="2F271F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393.2100 </w:t>
            </w:r>
          </w:p>
        </w:tc>
        <w:tc>
          <w:tcPr>
            <w:tcW w:w="1079" w:type="dxa"/>
            <w:tcBorders>
              <w:tl2br w:val="nil"/>
              <w:tr2bl w:val="nil"/>
            </w:tcBorders>
            <w:shd w:val="clear" w:color="auto" w:fill="auto"/>
            <w:vAlign w:val="center"/>
          </w:tcPr>
          <w:p w14:paraId="601E38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13A4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19.1000 </w:t>
            </w:r>
          </w:p>
        </w:tc>
        <w:tc>
          <w:tcPr>
            <w:tcW w:w="1353" w:type="dxa"/>
            <w:tcBorders>
              <w:tl2br w:val="nil"/>
              <w:tr2bl w:val="nil"/>
            </w:tcBorders>
            <w:shd w:val="clear" w:color="auto" w:fill="auto"/>
            <w:vAlign w:val="center"/>
          </w:tcPr>
          <w:p w14:paraId="698FCC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393.2100 </w:t>
            </w:r>
          </w:p>
        </w:tc>
      </w:tr>
      <w:tr w14:paraId="609410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2D1C4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1330 </w:t>
            </w:r>
          </w:p>
        </w:tc>
        <w:tc>
          <w:tcPr>
            <w:tcW w:w="1443" w:type="dxa"/>
            <w:tcBorders>
              <w:tl2br w:val="nil"/>
              <w:tr2bl w:val="nil"/>
            </w:tcBorders>
            <w:shd w:val="clear" w:color="auto" w:fill="auto"/>
            <w:vAlign w:val="center"/>
          </w:tcPr>
          <w:p w14:paraId="5AC59A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19.2090 </w:t>
            </w:r>
          </w:p>
        </w:tc>
        <w:tc>
          <w:tcPr>
            <w:tcW w:w="1394" w:type="dxa"/>
            <w:tcBorders>
              <w:tl2br w:val="nil"/>
              <w:tr2bl w:val="nil"/>
            </w:tcBorders>
            <w:shd w:val="clear" w:color="auto" w:fill="auto"/>
            <w:vAlign w:val="center"/>
          </w:tcPr>
          <w:p w14:paraId="60B46D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389.4900 </w:t>
            </w:r>
          </w:p>
        </w:tc>
        <w:tc>
          <w:tcPr>
            <w:tcW w:w="1079" w:type="dxa"/>
            <w:tcBorders>
              <w:tl2br w:val="nil"/>
              <w:tr2bl w:val="nil"/>
            </w:tcBorders>
            <w:shd w:val="clear" w:color="auto" w:fill="auto"/>
            <w:vAlign w:val="center"/>
          </w:tcPr>
          <w:p w14:paraId="68E047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D3287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19.2090 </w:t>
            </w:r>
          </w:p>
        </w:tc>
        <w:tc>
          <w:tcPr>
            <w:tcW w:w="1353" w:type="dxa"/>
            <w:tcBorders>
              <w:tl2br w:val="nil"/>
              <w:tr2bl w:val="nil"/>
            </w:tcBorders>
            <w:shd w:val="clear" w:color="auto" w:fill="auto"/>
            <w:vAlign w:val="center"/>
          </w:tcPr>
          <w:p w14:paraId="05AF54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389.4900 </w:t>
            </w:r>
          </w:p>
        </w:tc>
      </w:tr>
      <w:tr w14:paraId="65F444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F66B0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1340 </w:t>
            </w:r>
          </w:p>
        </w:tc>
        <w:tc>
          <w:tcPr>
            <w:tcW w:w="1443" w:type="dxa"/>
            <w:tcBorders>
              <w:tl2br w:val="nil"/>
              <w:tr2bl w:val="nil"/>
            </w:tcBorders>
            <w:shd w:val="clear" w:color="auto" w:fill="auto"/>
            <w:vAlign w:val="center"/>
          </w:tcPr>
          <w:p w14:paraId="0EEF39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19.3170 </w:t>
            </w:r>
          </w:p>
        </w:tc>
        <w:tc>
          <w:tcPr>
            <w:tcW w:w="1394" w:type="dxa"/>
            <w:tcBorders>
              <w:tl2br w:val="nil"/>
              <w:tr2bl w:val="nil"/>
            </w:tcBorders>
            <w:shd w:val="clear" w:color="auto" w:fill="auto"/>
            <w:vAlign w:val="center"/>
          </w:tcPr>
          <w:p w14:paraId="626750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385.8200 </w:t>
            </w:r>
          </w:p>
        </w:tc>
        <w:tc>
          <w:tcPr>
            <w:tcW w:w="1079" w:type="dxa"/>
            <w:tcBorders>
              <w:tl2br w:val="nil"/>
              <w:tr2bl w:val="nil"/>
            </w:tcBorders>
            <w:shd w:val="clear" w:color="auto" w:fill="auto"/>
            <w:vAlign w:val="center"/>
          </w:tcPr>
          <w:p w14:paraId="3FBCEB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9A555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19.3170 </w:t>
            </w:r>
          </w:p>
        </w:tc>
        <w:tc>
          <w:tcPr>
            <w:tcW w:w="1353" w:type="dxa"/>
            <w:tcBorders>
              <w:tl2br w:val="nil"/>
              <w:tr2bl w:val="nil"/>
            </w:tcBorders>
            <w:shd w:val="clear" w:color="auto" w:fill="auto"/>
            <w:vAlign w:val="center"/>
          </w:tcPr>
          <w:p w14:paraId="205981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385.8200 </w:t>
            </w:r>
          </w:p>
        </w:tc>
      </w:tr>
      <w:tr w14:paraId="7411A9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D8980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1350 </w:t>
            </w:r>
          </w:p>
        </w:tc>
        <w:tc>
          <w:tcPr>
            <w:tcW w:w="1443" w:type="dxa"/>
            <w:tcBorders>
              <w:tl2br w:val="nil"/>
              <w:tr2bl w:val="nil"/>
            </w:tcBorders>
            <w:shd w:val="clear" w:color="auto" w:fill="auto"/>
            <w:vAlign w:val="center"/>
          </w:tcPr>
          <w:p w14:paraId="5B253E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19.4250 </w:t>
            </w:r>
          </w:p>
        </w:tc>
        <w:tc>
          <w:tcPr>
            <w:tcW w:w="1394" w:type="dxa"/>
            <w:tcBorders>
              <w:tl2br w:val="nil"/>
              <w:tr2bl w:val="nil"/>
            </w:tcBorders>
            <w:shd w:val="clear" w:color="auto" w:fill="auto"/>
            <w:vAlign w:val="center"/>
          </w:tcPr>
          <w:p w14:paraId="72FECB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382.2100 </w:t>
            </w:r>
          </w:p>
        </w:tc>
        <w:tc>
          <w:tcPr>
            <w:tcW w:w="1079" w:type="dxa"/>
            <w:tcBorders>
              <w:tl2br w:val="nil"/>
              <w:tr2bl w:val="nil"/>
            </w:tcBorders>
            <w:shd w:val="clear" w:color="auto" w:fill="auto"/>
            <w:vAlign w:val="center"/>
          </w:tcPr>
          <w:p w14:paraId="62BF16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ED6B3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19.4250 </w:t>
            </w:r>
          </w:p>
        </w:tc>
        <w:tc>
          <w:tcPr>
            <w:tcW w:w="1353" w:type="dxa"/>
            <w:tcBorders>
              <w:tl2br w:val="nil"/>
              <w:tr2bl w:val="nil"/>
            </w:tcBorders>
            <w:shd w:val="clear" w:color="auto" w:fill="auto"/>
            <w:vAlign w:val="center"/>
          </w:tcPr>
          <w:p w14:paraId="24F75B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382.2100 </w:t>
            </w:r>
          </w:p>
        </w:tc>
      </w:tr>
      <w:tr w14:paraId="7875B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F2DB9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1360 </w:t>
            </w:r>
          </w:p>
        </w:tc>
        <w:tc>
          <w:tcPr>
            <w:tcW w:w="1443" w:type="dxa"/>
            <w:tcBorders>
              <w:tl2br w:val="nil"/>
              <w:tr2bl w:val="nil"/>
            </w:tcBorders>
            <w:shd w:val="clear" w:color="auto" w:fill="auto"/>
            <w:vAlign w:val="center"/>
          </w:tcPr>
          <w:p w14:paraId="29B05F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19.5330 </w:t>
            </w:r>
          </w:p>
        </w:tc>
        <w:tc>
          <w:tcPr>
            <w:tcW w:w="1394" w:type="dxa"/>
            <w:tcBorders>
              <w:tl2br w:val="nil"/>
              <w:tr2bl w:val="nil"/>
            </w:tcBorders>
            <w:shd w:val="clear" w:color="auto" w:fill="auto"/>
            <w:vAlign w:val="center"/>
          </w:tcPr>
          <w:p w14:paraId="6EC77A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378.6600 </w:t>
            </w:r>
          </w:p>
        </w:tc>
        <w:tc>
          <w:tcPr>
            <w:tcW w:w="1079" w:type="dxa"/>
            <w:tcBorders>
              <w:tl2br w:val="nil"/>
              <w:tr2bl w:val="nil"/>
            </w:tcBorders>
            <w:shd w:val="clear" w:color="auto" w:fill="auto"/>
            <w:vAlign w:val="center"/>
          </w:tcPr>
          <w:p w14:paraId="628EC4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23BA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19.5330 </w:t>
            </w:r>
          </w:p>
        </w:tc>
        <w:tc>
          <w:tcPr>
            <w:tcW w:w="1353" w:type="dxa"/>
            <w:tcBorders>
              <w:tl2br w:val="nil"/>
              <w:tr2bl w:val="nil"/>
            </w:tcBorders>
            <w:shd w:val="clear" w:color="auto" w:fill="auto"/>
            <w:vAlign w:val="center"/>
          </w:tcPr>
          <w:p w14:paraId="77D774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378.6600 </w:t>
            </w:r>
          </w:p>
        </w:tc>
      </w:tr>
      <w:tr w14:paraId="0D2D7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057D2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1370 </w:t>
            </w:r>
          </w:p>
        </w:tc>
        <w:tc>
          <w:tcPr>
            <w:tcW w:w="1443" w:type="dxa"/>
            <w:tcBorders>
              <w:tl2br w:val="nil"/>
              <w:tr2bl w:val="nil"/>
            </w:tcBorders>
            <w:shd w:val="clear" w:color="auto" w:fill="auto"/>
            <w:vAlign w:val="center"/>
          </w:tcPr>
          <w:p w14:paraId="2CF1A4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19.6410 </w:t>
            </w:r>
          </w:p>
        </w:tc>
        <w:tc>
          <w:tcPr>
            <w:tcW w:w="1394" w:type="dxa"/>
            <w:tcBorders>
              <w:tl2br w:val="nil"/>
              <w:tr2bl w:val="nil"/>
            </w:tcBorders>
            <w:shd w:val="clear" w:color="auto" w:fill="auto"/>
            <w:vAlign w:val="center"/>
          </w:tcPr>
          <w:p w14:paraId="3F013A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375.1600 </w:t>
            </w:r>
          </w:p>
        </w:tc>
        <w:tc>
          <w:tcPr>
            <w:tcW w:w="1079" w:type="dxa"/>
            <w:tcBorders>
              <w:tl2br w:val="nil"/>
              <w:tr2bl w:val="nil"/>
            </w:tcBorders>
            <w:shd w:val="clear" w:color="auto" w:fill="auto"/>
            <w:vAlign w:val="center"/>
          </w:tcPr>
          <w:p w14:paraId="42AD4F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9AA1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19.6410 </w:t>
            </w:r>
          </w:p>
        </w:tc>
        <w:tc>
          <w:tcPr>
            <w:tcW w:w="1353" w:type="dxa"/>
            <w:tcBorders>
              <w:tl2br w:val="nil"/>
              <w:tr2bl w:val="nil"/>
            </w:tcBorders>
            <w:shd w:val="clear" w:color="auto" w:fill="auto"/>
            <w:vAlign w:val="center"/>
          </w:tcPr>
          <w:p w14:paraId="410F18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375.1600 </w:t>
            </w:r>
          </w:p>
        </w:tc>
      </w:tr>
      <w:tr w14:paraId="21EAD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2CBC8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1380 </w:t>
            </w:r>
          </w:p>
        </w:tc>
        <w:tc>
          <w:tcPr>
            <w:tcW w:w="1443" w:type="dxa"/>
            <w:tcBorders>
              <w:tl2br w:val="nil"/>
              <w:tr2bl w:val="nil"/>
            </w:tcBorders>
            <w:shd w:val="clear" w:color="auto" w:fill="auto"/>
            <w:vAlign w:val="center"/>
          </w:tcPr>
          <w:p w14:paraId="2348C0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19.7490 </w:t>
            </w:r>
          </w:p>
        </w:tc>
        <w:tc>
          <w:tcPr>
            <w:tcW w:w="1394" w:type="dxa"/>
            <w:tcBorders>
              <w:tl2br w:val="nil"/>
              <w:tr2bl w:val="nil"/>
            </w:tcBorders>
            <w:shd w:val="clear" w:color="auto" w:fill="auto"/>
            <w:vAlign w:val="center"/>
          </w:tcPr>
          <w:p w14:paraId="5173BA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371.7200 </w:t>
            </w:r>
          </w:p>
        </w:tc>
        <w:tc>
          <w:tcPr>
            <w:tcW w:w="1079" w:type="dxa"/>
            <w:tcBorders>
              <w:tl2br w:val="nil"/>
              <w:tr2bl w:val="nil"/>
            </w:tcBorders>
            <w:shd w:val="clear" w:color="auto" w:fill="auto"/>
            <w:vAlign w:val="center"/>
          </w:tcPr>
          <w:p w14:paraId="6A0035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5BD9A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19.7490 </w:t>
            </w:r>
          </w:p>
        </w:tc>
        <w:tc>
          <w:tcPr>
            <w:tcW w:w="1353" w:type="dxa"/>
            <w:tcBorders>
              <w:tl2br w:val="nil"/>
              <w:tr2bl w:val="nil"/>
            </w:tcBorders>
            <w:shd w:val="clear" w:color="auto" w:fill="auto"/>
            <w:vAlign w:val="center"/>
          </w:tcPr>
          <w:p w14:paraId="223A42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371.7200 </w:t>
            </w:r>
          </w:p>
        </w:tc>
      </w:tr>
      <w:tr w14:paraId="136AE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30F97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1390 </w:t>
            </w:r>
          </w:p>
        </w:tc>
        <w:tc>
          <w:tcPr>
            <w:tcW w:w="1443" w:type="dxa"/>
            <w:tcBorders>
              <w:tl2br w:val="nil"/>
              <w:tr2bl w:val="nil"/>
            </w:tcBorders>
            <w:shd w:val="clear" w:color="auto" w:fill="auto"/>
            <w:vAlign w:val="center"/>
          </w:tcPr>
          <w:p w14:paraId="1FC0CA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19.8560 </w:t>
            </w:r>
          </w:p>
        </w:tc>
        <w:tc>
          <w:tcPr>
            <w:tcW w:w="1394" w:type="dxa"/>
            <w:tcBorders>
              <w:tl2br w:val="nil"/>
              <w:tr2bl w:val="nil"/>
            </w:tcBorders>
            <w:shd w:val="clear" w:color="auto" w:fill="auto"/>
            <w:vAlign w:val="center"/>
          </w:tcPr>
          <w:p w14:paraId="0775D1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368.3200 </w:t>
            </w:r>
          </w:p>
        </w:tc>
        <w:tc>
          <w:tcPr>
            <w:tcW w:w="1079" w:type="dxa"/>
            <w:tcBorders>
              <w:tl2br w:val="nil"/>
              <w:tr2bl w:val="nil"/>
            </w:tcBorders>
            <w:shd w:val="clear" w:color="auto" w:fill="auto"/>
            <w:vAlign w:val="center"/>
          </w:tcPr>
          <w:p w14:paraId="47EDA3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E69B9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19.8560 </w:t>
            </w:r>
          </w:p>
        </w:tc>
        <w:tc>
          <w:tcPr>
            <w:tcW w:w="1353" w:type="dxa"/>
            <w:tcBorders>
              <w:tl2br w:val="nil"/>
              <w:tr2bl w:val="nil"/>
            </w:tcBorders>
            <w:shd w:val="clear" w:color="auto" w:fill="auto"/>
            <w:vAlign w:val="center"/>
          </w:tcPr>
          <w:p w14:paraId="48B6B9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368.3200 </w:t>
            </w:r>
          </w:p>
        </w:tc>
      </w:tr>
      <w:tr w14:paraId="7B3E87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EB1C0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1400 </w:t>
            </w:r>
          </w:p>
        </w:tc>
        <w:tc>
          <w:tcPr>
            <w:tcW w:w="1443" w:type="dxa"/>
            <w:tcBorders>
              <w:tl2br w:val="nil"/>
              <w:tr2bl w:val="nil"/>
            </w:tcBorders>
            <w:shd w:val="clear" w:color="auto" w:fill="auto"/>
            <w:vAlign w:val="center"/>
          </w:tcPr>
          <w:p w14:paraId="7DA428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19.9640 </w:t>
            </w:r>
          </w:p>
        </w:tc>
        <w:tc>
          <w:tcPr>
            <w:tcW w:w="1394" w:type="dxa"/>
            <w:tcBorders>
              <w:tl2br w:val="nil"/>
              <w:tr2bl w:val="nil"/>
            </w:tcBorders>
            <w:shd w:val="clear" w:color="auto" w:fill="auto"/>
            <w:vAlign w:val="center"/>
          </w:tcPr>
          <w:p w14:paraId="0EB27F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364.9800 </w:t>
            </w:r>
          </w:p>
        </w:tc>
        <w:tc>
          <w:tcPr>
            <w:tcW w:w="1079" w:type="dxa"/>
            <w:tcBorders>
              <w:tl2br w:val="nil"/>
              <w:tr2bl w:val="nil"/>
            </w:tcBorders>
            <w:shd w:val="clear" w:color="auto" w:fill="auto"/>
            <w:vAlign w:val="center"/>
          </w:tcPr>
          <w:p w14:paraId="7CE9A8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4961A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19.9640 </w:t>
            </w:r>
          </w:p>
        </w:tc>
        <w:tc>
          <w:tcPr>
            <w:tcW w:w="1353" w:type="dxa"/>
            <w:tcBorders>
              <w:tl2br w:val="nil"/>
              <w:tr2bl w:val="nil"/>
            </w:tcBorders>
            <w:shd w:val="clear" w:color="auto" w:fill="auto"/>
            <w:vAlign w:val="center"/>
          </w:tcPr>
          <w:p w14:paraId="34423C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364.9800 </w:t>
            </w:r>
          </w:p>
        </w:tc>
      </w:tr>
      <w:tr w14:paraId="034EED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AA4AA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1410 </w:t>
            </w:r>
          </w:p>
        </w:tc>
        <w:tc>
          <w:tcPr>
            <w:tcW w:w="1443" w:type="dxa"/>
            <w:tcBorders>
              <w:tl2br w:val="nil"/>
              <w:tr2bl w:val="nil"/>
            </w:tcBorders>
            <w:shd w:val="clear" w:color="auto" w:fill="auto"/>
            <w:vAlign w:val="center"/>
          </w:tcPr>
          <w:p w14:paraId="749822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20.0710 </w:t>
            </w:r>
          </w:p>
        </w:tc>
        <w:tc>
          <w:tcPr>
            <w:tcW w:w="1394" w:type="dxa"/>
            <w:tcBorders>
              <w:tl2br w:val="nil"/>
              <w:tr2bl w:val="nil"/>
            </w:tcBorders>
            <w:shd w:val="clear" w:color="auto" w:fill="auto"/>
            <w:vAlign w:val="center"/>
          </w:tcPr>
          <w:p w14:paraId="58E4B9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361.6900 </w:t>
            </w:r>
          </w:p>
        </w:tc>
        <w:tc>
          <w:tcPr>
            <w:tcW w:w="1079" w:type="dxa"/>
            <w:tcBorders>
              <w:tl2br w:val="nil"/>
              <w:tr2bl w:val="nil"/>
            </w:tcBorders>
            <w:shd w:val="clear" w:color="auto" w:fill="auto"/>
            <w:vAlign w:val="center"/>
          </w:tcPr>
          <w:p w14:paraId="3A48E2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253DF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20.0710 </w:t>
            </w:r>
          </w:p>
        </w:tc>
        <w:tc>
          <w:tcPr>
            <w:tcW w:w="1353" w:type="dxa"/>
            <w:tcBorders>
              <w:tl2br w:val="nil"/>
              <w:tr2bl w:val="nil"/>
            </w:tcBorders>
            <w:shd w:val="clear" w:color="auto" w:fill="auto"/>
            <w:vAlign w:val="center"/>
          </w:tcPr>
          <w:p w14:paraId="5CAC86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361.6900 </w:t>
            </w:r>
          </w:p>
        </w:tc>
      </w:tr>
      <w:tr w14:paraId="70AD1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A3765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1420 </w:t>
            </w:r>
          </w:p>
        </w:tc>
        <w:tc>
          <w:tcPr>
            <w:tcW w:w="1443" w:type="dxa"/>
            <w:tcBorders>
              <w:tl2br w:val="nil"/>
              <w:tr2bl w:val="nil"/>
            </w:tcBorders>
            <w:shd w:val="clear" w:color="auto" w:fill="auto"/>
            <w:vAlign w:val="center"/>
          </w:tcPr>
          <w:p w14:paraId="416310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20.1780 </w:t>
            </w:r>
          </w:p>
        </w:tc>
        <w:tc>
          <w:tcPr>
            <w:tcW w:w="1394" w:type="dxa"/>
            <w:tcBorders>
              <w:tl2br w:val="nil"/>
              <w:tr2bl w:val="nil"/>
            </w:tcBorders>
            <w:shd w:val="clear" w:color="auto" w:fill="auto"/>
            <w:vAlign w:val="center"/>
          </w:tcPr>
          <w:p w14:paraId="0856D3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358.4500 </w:t>
            </w:r>
          </w:p>
        </w:tc>
        <w:tc>
          <w:tcPr>
            <w:tcW w:w="1079" w:type="dxa"/>
            <w:tcBorders>
              <w:tl2br w:val="nil"/>
              <w:tr2bl w:val="nil"/>
            </w:tcBorders>
            <w:shd w:val="clear" w:color="auto" w:fill="auto"/>
            <w:vAlign w:val="center"/>
          </w:tcPr>
          <w:p w14:paraId="331A7E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841D3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20.1780 </w:t>
            </w:r>
          </w:p>
        </w:tc>
        <w:tc>
          <w:tcPr>
            <w:tcW w:w="1353" w:type="dxa"/>
            <w:tcBorders>
              <w:tl2br w:val="nil"/>
              <w:tr2bl w:val="nil"/>
            </w:tcBorders>
            <w:shd w:val="clear" w:color="auto" w:fill="auto"/>
            <w:vAlign w:val="center"/>
          </w:tcPr>
          <w:p w14:paraId="098C0E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358.4500 </w:t>
            </w:r>
          </w:p>
        </w:tc>
      </w:tr>
      <w:tr w14:paraId="13FA8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96281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1430 </w:t>
            </w:r>
          </w:p>
        </w:tc>
        <w:tc>
          <w:tcPr>
            <w:tcW w:w="1443" w:type="dxa"/>
            <w:tcBorders>
              <w:tl2br w:val="nil"/>
              <w:tr2bl w:val="nil"/>
            </w:tcBorders>
            <w:shd w:val="clear" w:color="auto" w:fill="auto"/>
            <w:vAlign w:val="center"/>
          </w:tcPr>
          <w:p w14:paraId="1682B1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20.2850 </w:t>
            </w:r>
          </w:p>
        </w:tc>
        <w:tc>
          <w:tcPr>
            <w:tcW w:w="1394" w:type="dxa"/>
            <w:tcBorders>
              <w:tl2br w:val="nil"/>
              <w:tr2bl w:val="nil"/>
            </w:tcBorders>
            <w:shd w:val="clear" w:color="auto" w:fill="auto"/>
            <w:vAlign w:val="center"/>
          </w:tcPr>
          <w:p w14:paraId="5E8E53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355.2600 </w:t>
            </w:r>
          </w:p>
        </w:tc>
        <w:tc>
          <w:tcPr>
            <w:tcW w:w="1079" w:type="dxa"/>
            <w:tcBorders>
              <w:tl2br w:val="nil"/>
              <w:tr2bl w:val="nil"/>
            </w:tcBorders>
            <w:shd w:val="clear" w:color="auto" w:fill="auto"/>
            <w:vAlign w:val="center"/>
          </w:tcPr>
          <w:p w14:paraId="487669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DA16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20.2850 </w:t>
            </w:r>
          </w:p>
        </w:tc>
        <w:tc>
          <w:tcPr>
            <w:tcW w:w="1353" w:type="dxa"/>
            <w:tcBorders>
              <w:tl2br w:val="nil"/>
              <w:tr2bl w:val="nil"/>
            </w:tcBorders>
            <w:shd w:val="clear" w:color="auto" w:fill="auto"/>
            <w:vAlign w:val="center"/>
          </w:tcPr>
          <w:p w14:paraId="774FE8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355.2600 </w:t>
            </w:r>
          </w:p>
        </w:tc>
      </w:tr>
      <w:tr w14:paraId="09B993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B6027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1440 </w:t>
            </w:r>
          </w:p>
        </w:tc>
        <w:tc>
          <w:tcPr>
            <w:tcW w:w="1443" w:type="dxa"/>
            <w:tcBorders>
              <w:tl2br w:val="nil"/>
              <w:tr2bl w:val="nil"/>
            </w:tcBorders>
            <w:shd w:val="clear" w:color="auto" w:fill="auto"/>
            <w:vAlign w:val="center"/>
          </w:tcPr>
          <w:p w14:paraId="66628F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20.3920 </w:t>
            </w:r>
          </w:p>
        </w:tc>
        <w:tc>
          <w:tcPr>
            <w:tcW w:w="1394" w:type="dxa"/>
            <w:tcBorders>
              <w:tl2br w:val="nil"/>
              <w:tr2bl w:val="nil"/>
            </w:tcBorders>
            <w:shd w:val="clear" w:color="auto" w:fill="auto"/>
            <w:vAlign w:val="center"/>
          </w:tcPr>
          <w:p w14:paraId="058844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352.1100 </w:t>
            </w:r>
          </w:p>
        </w:tc>
        <w:tc>
          <w:tcPr>
            <w:tcW w:w="1079" w:type="dxa"/>
            <w:tcBorders>
              <w:tl2br w:val="nil"/>
              <w:tr2bl w:val="nil"/>
            </w:tcBorders>
            <w:shd w:val="clear" w:color="auto" w:fill="auto"/>
            <w:vAlign w:val="center"/>
          </w:tcPr>
          <w:p w14:paraId="7C7C94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35F97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20.3920 </w:t>
            </w:r>
          </w:p>
        </w:tc>
        <w:tc>
          <w:tcPr>
            <w:tcW w:w="1353" w:type="dxa"/>
            <w:tcBorders>
              <w:tl2br w:val="nil"/>
              <w:tr2bl w:val="nil"/>
            </w:tcBorders>
            <w:shd w:val="clear" w:color="auto" w:fill="auto"/>
            <w:vAlign w:val="center"/>
          </w:tcPr>
          <w:p w14:paraId="50E7BC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352.1100 </w:t>
            </w:r>
          </w:p>
        </w:tc>
      </w:tr>
      <w:tr w14:paraId="557E2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2D6E9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1450 </w:t>
            </w:r>
          </w:p>
        </w:tc>
        <w:tc>
          <w:tcPr>
            <w:tcW w:w="1443" w:type="dxa"/>
            <w:tcBorders>
              <w:tl2br w:val="nil"/>
              <w:tr2bl w:val="nil"/>
            </w:tcBorders>
            <w:shd w:val="clear" w:color="auto" w:fill="auto"/>
            <w:vAlign w:val="center"/>
          </w:tcPr>
          <w:p w14:paraId="05AB04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20.4980 </w:t>
            </w:r>
          </w:p>
        </w:tc>
        <w:tc>
          <w:tcPr>
            <w:tcW w:w="1394" w:type="dxa"/>
            <w:tcBorders>
              <w:tl2br w:val="nil"/>
              <w:tr2bl w:val="nil"/>
            </w:tcBorders>
            <w:shd w:val="clear" w:color="auto" w:fill="auto"/>
            <w:vAlign w:val="center"/>
          </w:tcPr>
          <w:p w14:paraId="734579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349.0100 </w:t>
            </w:r>
          </w:p>
        </w:tc>
        <w:tc>
          <w:tcPr>
            <w:tcW w:w="1079" w:type="dxa"/>
            <w:tcBorders>
              <w:tl2br w:val="nil"/>
              <w:tr2bl w:val="nil"/>
            </w:tcBorders>
            <w:shd w:val="clear" w:color="auto" w:fill="auto"/>
            <w:vAlign w:val="center"/>
          </w:tcPr>
          <w:p w14:paraId="27D92C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35B42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20.4980 </w:t>
            </w:r>
          </w:p>
        </w:tc>
        <w:tc>
          <w:tcPr>
            <w:tcW w:w="1353" w:type="dxa"/>
            <w:tcBorders>
              <w:tl2br w:val="nil"/>
              <w:tr2bl w:val="nil"/>
            </w:tcBorders>
            <w:shd w:val="clear" w:color="auto" w:fill="auto"/>
            <w:vAlign w:val="center"/>
          </w:tcPr>
          <w:p w14:paraId="138826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349.0100 </w:t>
            </w:r>
          </w:p>
        </w:tc>
      </w:tr>
      <w:tr w14:paraId="3A85C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EF915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1460 </w:t>
            </w:r>
          </w:p>
        </w:tc>
        <w:tc>
          <w:tcPr>
            <w:tcW w:w="1443" w:type="dxa"/>
            <w:tcBorders>
              <w:tl2br w:val="nil"/>
              <w:tr2bl w:val="nil"/>
            </w:tcBorders>
            <w:shd w:val="clear" w:color="auto" w:fill="auto"/>
            <w:vAlign w:val="center"/>
          </w:tcPr>
          <w:p w14:paraId="33C857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20.6050 </w:t>
            </w:r>
          </w:p>
        </w:tc>
        <w:tc>
          <w:tcPr>
            <w:tcW w:w="1394" w:type="dxa"/>
            <w:tcBorders>
              <w:tl2br w:val="nil"/>
              <w:tr2bl w:val="nil"/>
            </w:tcBorders>
            <w:shd w:val="clear" w:color="auto" w:fill="auto"/>
            <w:vAlign w:val="center"/>
          </w:tcPr>
          <w:p w14:paraId="6A2E43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345.9600 </w:t>
            </w:r>
          </w:p>
        </w:tc>
        <w:tc>
          <w:tcPr>
            <w:tcW w:w="1079" w:type="dxa"/>
            <w:tcBorders>
              <w:tl2br w:val="nil"/>
              <w:tr2bl w:val="nil"/>
            </w:tcBorders>
            <w:shd w:val="clear" w:color="auto" w:fill="auto"/>
            <w:vAlign w:val="center"/>
          </w:tcPr>
          <w:p w14:paraId="246A97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BD8A6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20.6050 </w:t>
            </w:r>
          </w:p>
        </w:tc>
        <w:tc>
          <w:tcPr>
            <w:tcW w:w="1353" w:type="dxa"/>
            <w:tcBorders>
              <w:tl2br w:val="nil"/>
              <w:tr2bl w:val="nil"/>
            </w:tcBorders>
            <w:shd w:val="clear" w:color="auto" w:fill="auto"/>
            <w:vAlign w:val="center"/>
          </w:tcPr>
          <w:p w14:paraId="32B1C9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345.9600 </w:t>
            </w:r>
          </w:p>
        </w:tc>
      </w:tr>
      <w:tr w14:paraId="4F9B01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D44A1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1470 </w:t>
            </w:r>
          </w:p>
        </w:tc>
        <w:tc>
          <w:tcPr>
            <w:tcW w:w="1443" w:type="dxa"/>
            <w:tcBorders>
              <w:tl2br w:val="nil"/>
              <w:tr2bl w:val="nil"/>
            </w:tcBorders>
            <w:shd w:val="clear" w:color="auto" w:fill="auto"/>
            <w:vAlign w:val="center"/>
          </w:tcPr>
          <w:p w14:paraId="19291D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20.7110 </w:t>
            </w:r>
          </w:p>
        </w:tc>
        <w:tc>
          <w:tcPr>
            <w:tcW w:w="1394" w:type="dxa"/>
            <w:tcBorders>
              <w:tl2br w:val="nil"/>
              <w:tr2bl w:val="nil"/>
            </w:tcBorders>
            <w:shd w:val="clear" w:color="auto" w:fill="auto"/>
            <w:vAlign w:val="center"/>
          </w:tcPr>
          <w:p w14:paraId="035D50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342.9500 </w:t>
            </w:r>
          </w:p>
        </w:tc>
        <w:tc>
          <w:tcPr>
            <w:tcW w:w="1079" w:type="dxa"/>
            <w:tcBorders>
              <w:tl2br w:val="nil"/>
              <w:tr2bl w:val="nil"/>
            </w:tcBorders>
            <w:shd w:val="clear" w:color="auto" w:fill="auto"/>
            <w:vAlign w:val="center"/>
          </w:tcPr>
          <w:p w14:paraId="334CB0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2239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20.7110 </w:t>
            </w:r>
          </w:p>
        </w:tc>
        <w:tc>
          <w:tcPr>
            <w:tcW w:w="1353" w:type="dxa"/>
            <w:tcBorders>
              <w:tl2br w:val="nil"/>
              <w:tr2bl w:val="nil"/>
            </w:tcBorders>
            <w:shd w:val="clear" w:color="auto" w:fill="auto"/>
            <w:vAlign w:val="center"/>
          </w:tcPr>
          <w:p w14:paraId="42DCBC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342.9500 </w:t>
            </w:r>
          </w:p>
        </w:tc>
      </w:tr>
      <w:tr w14:paraId="29468B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726B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1480 </w:t>
            </w:r>
          </w:p>
        </w:tc>
        <w:tc>
          <w:tcPr>
            <w:tcW w:w="1443" w:type="dxa"/>
            <w:tcBorders>
              <w:tl2br w:val="nil"/>
              <w:tr2bl w:val="nil"/>
            </w:tcBorders>
            <w:shd w:val="clear" w:color="auto" w:fill="auto"/>
            <w:vAlign w:val="center"/>
          </w:tcPr>
          <w:p w14:paraId="774073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20.8170 </w:t>
            </w:r>
          </w:p>
        </w:tc>
        <w:tc>
          <w:tcPr>
            <w:tcW w:w="1394" w:type="dxa"/>
            <w:tcBorders>
              <w:tl2br w:val="nil"/>
              <w:tr2bl w:val="nil"/>
            </w:tcBorders>
            <w:shd w:val="clear" w:color="auto" w:fill="auto"/>
            <w:vAlign w:val="center"/>
          </w:tcPr>
          <w:p w14:paraId="2E9F93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339.9900 </w:t>
            </w:r>
          </w:p>
        </w:tc>
        <w:tc>
          <w:tcPr>
            <w:tcW w:w="1079" w:type="dxa"/>
            <w:tcBorders>
              <w:tl2br w:val="nil"/>
              <w:tr2bl w:val="nil"/>
            </w:tcBorders>
            <w:shd w:val="clear" w:color="auto" w:fill="auto"/>
            <w:vAlign w:val="center"/>
          </w:tcPr>
          <w:p w14:paraId="273DD9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D6B69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20.8170 </w:t>
            </w:r>
          </w:p>
        </w:tc>
        <w:tc>
          <w:tcPr>
            <w:tcW w:w="1353" w:type="dxa"/>
            <w:tcBorders>
              <w:tl2br w:val="nil"/>
              <w:tr2bl w:val="nil"/>
            </w:tcBorders>
            <w:shd w:val="clear" w:color="auto" w:fill="auto"/>
            <w:vAlign w:val="center"/>
          </w:tcPr>
          <w:p w14:paraId="4AB53E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339.9900 </w:t>
            </w:r>
          </w:p>
        </w:tc>
      </w:tr>
      <w:tr w14:paraId="00E38C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02B2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1490 </w:t>
            </w:r>
          </w:p>
        </w:tc>
        <w:tc>
          <w:tcPr>
            <w:tcW w:w="1443" w:type="dxa"/>
            <w:tcBorders>
              <w:tl2br w:val="nil"/>
              <w:tr2bl w:val="nil"/>
            </w:tcBorders>
            <w:shd w:val="clear" w:color="auto" w:fill="auto"/>
            <w:vAlign w:val="center"/>
          </w:tcPr>
          <w:p w14:paraId="482C61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20.9230 </w:t>
            </w:r>
          </w:p>
        </w:tc>
        <w:tc>
          <w:tcPr>
            <w:tcW w:w="1394" w:type="dxa"/>
            <w:tcBorders>
              <w:tl2br w:val="nil"/>
              <w:tr2bl w:val="nil"/>
            </w:tcBorders>
            <w:shd w:val="clear" w:color="auto" w:fill="auto"/>
            <w:vAlign w:val="center"/>
          </w:tcPr>
          <w:p w14:paraId="443531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337.0600 </w:t>
            </w:r>
          </w:p>
        </w:tc>
        <w:tc>
          <w:tcPr>
            <w:tcW w:w="1079" w:type="dxa"/>
            <w:tcBorders>
              <w:tl2br w:val="nil"/>
              <w:tr2bl w:val="nil"/>
            </w:tcBorders>
            <w:shd w:val="clear" w:color="auto" w:fill="auto"/>
            <w:vAlign w:val="center"/>
          </w:tcPr>
          <w:p w14:paraId="760C16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31CA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20.9230 </w:t>
            </w:r>
          </w:p>
        </w:tc>
        <w:tc>
          <w:tcPr>
            <w:tcW w:w="1353" w:type="dxa"/>
            <w:tcBorders>
              <w:tl2br w:val="nil"/>
              <w:tr2bl w:val="nil"/>
            </w:tcBorders>
            <w:shd w:val="clear" w:color="auto" w:fill="auto"/>
            <w:vAlign w:val="center"/>
          </w:tcPr>
          <w:p w14:paraId="12885C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337.0600 </w:t>
            </w:r>
          </w:p>
        </w:tc>
      </w:tr>
      <w:tr w14:paraId="1B41E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F9170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1500 </w:t>
            </w:r>
          </w:p>
        </w:tc>
        <w:tc>
          <w:tcPr>
            <w:tcW w:w="1443" w:type="dxa"/>
            <w:tcBorders>
              <w:tl2br w:val="nil"/>
              <w:tr2bl w:val="nil"/>
            </w:tcBorders>
            <w:shd w:val="clear" w:color="auto" w:fill="auto"/>
            <w:vAlign w:val="center"/>
          </w:tcPr>
          <w:p w14:paraId="1C2267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21.0290 </w:t>
            </w:r>
          </w:p>
        </w:tc>
        <w:tc>
          <w:tcPr>
            <w:tcW w:w="1394" w:type="dxa"/>
            <w:tcBorders>
              <w:tl2br w:val="nil"/>
              <w:tr2bl w:val="nil"/>
            </w:tcBorders>
            <w:shd w:val="clear" w:color="auto" w:fill="auto"/>
            <w:vAlign w:val="center"/>
          </w:tcPr>
          <w:p w14:paraId="6E0041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334.1700 </w:t>
            </w:r>
          </w:p>
        </w:tc>
        <w:tc>
          <w:tcPr>
            <w:tcW w:w="1079" w:type="dxa"/>
            <w:tcBorders>
              <w:tl2br w:val="nil"/>
              <w:tr2bl w:val="nil"/>
            </w:tcBorders>
            <w:shd w:val="clear" w:color="auto" w:fill="auto"/>
            <w:vAlign w:val="center"/>
          </w:tcPr>
          <w:p w14:paraId="7F2FC9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8A6C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21.0290 </w:t>
            </w:r>
          </w:p>
        </w:tc>
        <w:tc>
          <w:tcPr>
            <w:tcW w:w="1353" w:type="dxa"/>
            <w:tcBorders>
              <w:tl2br w:val="nil"/>
              <w:tr2bl w:val="nil"/>
            </w:tcBorders>
            <w:shd w:val="clear" w:color="auto" w:fill="auto"/>
            <w:vAlign w:val="center"/>
          </w:tcPr>
          <w:p w14:paraId="1FC96A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334.1700 </w:t>
            </w:r>
          </w:p>
        </w:tc>
      </w:tr>
      <w:tr w14:paraId="56D192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B310C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1510 </w:t>
            </w:r>
          </w:p>
        </w:tc>
        <w:tc>
          <w:tcPr>
            <w:tcW w:w="1443" w:type="dxa"/>
            <w:tcBorders>
              <w:tl2br w:val="nil"/>
              <w:tr2bl w:val="nil"/>
            </w:tcBorders>
            <w:shd w:val="clear" w:color="auto" w:fill="auto"/>
            <w:vAlign w:val="center"/>
          </w:tcPr>
          <w:p w14:paraId="0B401E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21.1340 </w:t>
            </w:r>
          </w:p>
        </w:tc>
        <w:tc>
          <w:tcPr>
            <w:tcW w:w="1394" w:type="dxa"/>
            <w:tcBorders>
              <w:tl2br w:val="nil"/>
              <w:tr2bl w:val="nil"/>
            </w:tcBorders>
            <w:shd w:val="clear" w:color="auto" w:fill="auto"/>
            <w:vAlign w:val="center"/>
          </w:tcPr>
          <w:p w14:paraId="6502BB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331.2800 </w:t>
            </w:r>
          </w:p>
        </w:tc>
        <w:tc>
          <w:tcPr>
            <w:tcW w:w="1079" w:type="dxa"/>
            <w:tcBorders>
              <w:tl2br w:val="nil"/>
              <w:tr2bl w:val="nil"/>
            </w:tcBorders>
            <w:shd w:val="clear" w:color="auto" w:fill="auto"/>
            <w:vAlign w:val="center"/>
          </w:tcPr>
          <w:p w14:paraId="7ED2BF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F1D9F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21.1340 </w:t>
            </w:r>
          </w:p>
        </w:tc>
        <w:tc>
          <w:tcPr>
            <w:tcW w:w="1353" w:type="dxa"/>
            <w:tcBorders>
              <w:tl2br w:val="nil"/>
              <w:tr2bl w:val="nil"/>
            </w:tcBorders>
            <w:shd w:val="clear" w:color="auto" w:fill="auto"/>
            <w:vAlign w:val="center"/>
          </w:tcPr>
          <w:p w14:paraId="06F3BE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331.2800 </w:t>
            </w:r>
          </w:p>
        </w:tc>
      </w:tr>
      <w:tr w14:paraId="300150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7A67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1520 </w:t>
            </w:r>
          </w:p>
        </w:tc>
        <w:tc>
          <w:tcPr>
            <w:tcW w:w="1443" w:type="dxa"/>
            <w:tcBorders>
              <w:tl2br w:val="nil"/>
              <w:tr2bl w:val="nil"/>
            </w:tcBorders>
            <w:shd w:val="clear" w:color="auto" w:fill="auto"/>
            <w:vAlign w:val="center"/>
          </w:tcPr>
          <w:p w14:paraId="2822AB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21.2400 </w:t>
            </w:r>
          </w:p>
        </w:tc>
        <w:tc>
          <w:tcPr>
            <w:tcW w:w="1394" w:type="dxa"/>
            <w:tcBorders>
              <w:tl2br w:val="nil"/>
              <w:tr2bl w:val="nil"/>
            </w:tcBorders>
            <w:shd w:val="clear" w:color="auto" w:fill="auto"/>
            <w:vAlign w:val="center"/>
          </w:tcPr>
          <w:p w14:paraId="318CB8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328.4300 </w:t>
            </w:r>
          </w:p>
        </w:tc>
        <w:tc>
          <w:tcPr>
            <w:tcW w:w="1079" w:type="dxa"/>
            <w:tcBorders>
              <w:tl2br w:val="nil"/>
              <w:tr2bl w:val="nil"/>
            </w:tcBorders>
            <w:shd w:val="clear" w:color="auto" w:fill="auto"/>
            <w:vAlign w:val="center"/>
          </w:tcPr>
          <w:p w14:paraId="4C6681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7E2F7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21.2400 </w:t>
            </w:r>
          </w:p>
        </w:tc>
        <w:tc>
          <w:tcPr>
            <w:tcW w:w="1353" w:type="dxa"/>
            <w:tcBorders>
              <w:tl2br w:val="nil"/>
              <w:tr2bl w:val="nil"/>
            </w:tcBorders>
            <w:shd w:val="clear" w:color="auto" w:fill="auto"/>
            <w:vAlign w:val="center"/>
          </w:tcPr>
          <w:p w14:paraId="5A21F5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328.4300 </w:t>
            </w:r>
          </w:p>
        </w:tc>
      </w:tr>
      <w:tr w14:paraId="2BA91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C75F0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1530 </w:t>
            </w:r>
          </w:p>
        </w:tc>
        <w:tc>
          <w:tcPr>
            <w:tcW w:w="1443" w:type="dxa"/>
            <w:tcBorders>
              <w:tl2br w:val="nil"/>
              <w:tr2bl w:val="nil"/>
            </w:tcBorders>
            <w:shd w:val="clear" w:color="auto" w:fill="auto"/>
            <w:vAlign w:val="center"/>
          </w:tcPr>
          <w:p w14:paraId="4148BA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21.3450 </w:t>
            </w:r>
          </w:p>
        </w:tc>
        <w:tc>
          <w:tcPr>
            <w:tcW w:w="1394" w:type="dxa"/>
            <w:tcBorders>
              <w:tl2br w:val="nil"/>
              <w:tr2bl w:val="nil"/>
            </w:tcBorders>
            <w:shd w:val="clear" w:color="auto" w:fill="auto"/>
            <w:vAlign w:val="center"/>
          </w:tcPr>
          <w:p w14:paraId="6F67CE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325.6100 </w:t>
            </w:r>
          </w:p>
        </w:tc>
        <w:tc>
          <w:tcPr>
            <w:tcW w:w="1079" w:type="dxa"/>
            <w:tcBorders>
              <w:tl2br w:val="nil"/>
              <w:tr2bl w:val="nil"/>
            </w:tcBorders>
            <w:shd w:val="clear" w:color="auto" w:fill="auto"/>
            <w:vAlign w:val="center"/>
          </w:tcPr>
          <w:p w14:paraId="2B5370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23526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21.3450 </w:t>
            </w:r>
          </w:p>
        </w:tc>
        <w:tc>
          <w:tcPr>
            <w:tcW w:w="1353" w:type="dxa"/>
            <w:tcBorders>
              <w:tl2br w:val="nil"/>
              <w:tr2bl w:val="nil"/>
            </w:tcBorders>
            <w:shd w:val="clear" w:color="auto" w:fill="auto"/>
            <w:vAlign w:val="center"/>
          </w:tcPr>
          <w:p w14:paraId="4BC926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325.6100 </w:t>
            </w:r>
          </w:p>
        </w:tc>
      </w:tr>
      <w:tr w14:paraId="01E094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7551B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1540 </w:t>
            </w:r>
          </w:p>
        </w:tc>
        <w:tc>
          <w:tcPr>
            <w:tcW w:w="1443" w:type="dxa"/>
            <w:tcBorders>
              <w:tl2br w:val="nil"/>
              <w:tr2bl w:val="nil"/>
            </w:tcBorders>
            <w:shd w:val="clear" w:color="auto" w:fill="auto"/>
            <w:vAlign w:val="center"/>
          </w:tcPr>
          <w:p w14:paraId="638D8E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21.4500 </w:t>
            </w:r>
          </w:p>
        </w:tc>
        <w:tc>
          <w:tcPr>
            <w:tcW w:w="1394" w:type="dxa"/>
            <w:tcBorders>
              <w:tl2br w:val="nil"/>
              <w:tr2bl w:val="nil"/>
            </w:tcBorders>
            <w:shd w:val="clear" w:color="auto" w:fill="auto"/>
            <w:vAlign w:val="center"/>
          </w:tcPr>
          <w:p w14:paraId="711F06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322.8400 </w:t>
            </w:r>
          </w:p>
        </w:tc>
        <w:tc>
          <w:tcPr>
            <w:tcW w:w="1079" w:type="dxa"/>
            <w:tcBorders>
              <w:tl2br w:val="nil"/>
              <w:tr2bl w:val="nil"/>
            </w:tcBorders>
            <w:shd w:val="clear" w:color="auto" w:fill="auto"/>
            <w:vAlign w:val="center"/>
          </w:tcPr>
          <w:p w14:paraId="2E8CE5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DDC4E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21.4500 </w:t>
            </w:r>
          </w:p>
        </w:tc>
        <w:tc>
          <w:tcPr>
            <w:tcW w:w="1353" w:type="dxa"/>
            <w:tcBorders>
              <w:tl2br w:val="nil"/>
              <w:tr2bl w:val="nil"/>
            </w:tcBorders>
            <w:shd w:val="clear" w:color="auto" w:fill="auto"/>
            <w:vAlign w:val="center"/>
          </w:tcPr>
          <w:p w14:paraId="7D67D8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322.8400 </w:t>
            </w:r>
          </w:p>
        </w:tc>
      </w:tr>
      <w:tr w14:paraId="526D19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01731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1550 </w:t>
            </w:r>
          </w:p>
        </w:tc>
        <w:tc>
          <w:tcPr>
            <w:tcW w:w="1443" w:type="dxa"/>
            <w:tcBorders>
              <w:tl2br w:val="nil"/>
              <w:tr2bl w:val="nil"/>
            </w:tcBorders>
            <w:shd w:val="clear" w:color="auto" w:fill="auto"/>
            <w:vAlign w:val="center"/>
          </w:tcPr>
          <w:p w14:paraId="339D9E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21.5550 </w:t>
            </w:r>
          </w:p>
        </w:tc>
        <w:tc>
          <w:tcPr>
            <w:tcW w:w="1394" w:type="dxa"/>
            <w:tcBorders>
              <w:tl2br w:val="nil"/>
              <w:tr2bl w:val="nil"/>
            </w:tcBorders>
            <w:shd w:val="clear" w:color="auto" w:fill="auto"/>
            <w:vAlign w:val="center"/>
          </w:tcPr>
          <w:p w14:paraId="7C8FFE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320.1100 </w:t>
            </w:r>
          </w:p>
        </w:tc>
        <w:tc>
          <w:tcPr>
            <w:tcW w:w="1079" w:type="dxa"/>
            <w:tcBorders>
              <w:tl2br w:val="nil"/>
              <w:tr2bl w:val="nil"/>
            </w:tcBorders>
            <w:shd w:val="clear" w:color="auto" w:fill="auto"/>
            <w:vAlign w:val="center"/>
          </w:tcPr>
          <w:p w14:paraId="50129B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0FE02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21.5550 </w:t>
            </w:r>
          </w:p>
        </w:tc>
        <w:tc>
          <w:tcPr>
            <w:tcW w:w="1353" w:type="dxa"/>
            <w:tcBorders>
              <w:tl2br w:val="nil"/>
              <w:tr2bl w:val="nil"/>
            </w:tcBorders>
            <w:shd w:val="clear" w:color="auto" w:fill="auto"/>
            <w:vAlign w:val="center"/>
          </w:tcPr>
          <w:p w14:paraId="11DB52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320.1100 </w:t>
            </w:r>
          </w:p>
        </w:tc>
      </w:tr>
      <w:tr w14:paraId="0B3FA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9312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1560 </w:t>
            </w:r>
          </w:p>
        </w:tc>
        <w:tc>
          <w:tcPr>
            <w:tcW w:w="1443" w:type="dxa"/>
            <w:tcBorders>
              <w:tl2br w:val="nil"/>
              <w:tr2bl w:val="nil"/>
            </w:tcBorders>
            <w:shd w:val="clear" w:color="auto" w:fill="auto"/>
            <w:vAlign w:val="center"/>
          </w:tcPr>
          <w:p w14:paraId="5DEF38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21.6600 </w:t>
            </w:r>
          </w:p>
        </w:tc>
        <w:tc>
          <w:tcPr>
            <w:tcW w:w="1394" w:type="dxa"/>
            <w:tcBorders>
              <w:tl2br w:val="nil"/>
              <w:tr2bl w:val="nil"/>
            </w:tcBorders>
            <w:shd w:val="clear" w:color="auto" w:fill="auto"/>
            <w:vAlign w:val="center"/>
          </w:tcPr>
          <w:p w14:paraId="65A730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317.4100 </w:t>
            </w:r>
          </w:p>
        </w:tc>
        <w:tc>
          <w:tcPr>
            <w:tcW w:w="1079" w:type="dxa"/>
            <w:tcBorders>
              <w:tl2br w:val="nil"/>
              <w:tr2bl w:val="nil"/>
            </w:tcBorders>
            <w:shd w:val="clear" w:color="auto" w:fill="auto"/>
            <w:vAlign w:val="center"/>
          </w:tcPr>
          <w:p w14:paraId="56C760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CC3F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21.6600 </w:t>
            </w:r>
          </w:p>
        </w:tc>
        <w:tc>
          <w:tcPr>
            <w:tcW w:w="1353" w:type="dxa"/>
            <w:tcBorders>
              <w:tl2br w:val="nil"/>
              <w:tr2bl w:val="nil"/>
            </w:tcBorders>
            <w:shd w:val="clear" w:color="auto" w:fill="auto"/>
            <w:vAlign w:val="center"/>
          </w:tcPr>
          <w:p w14:paraId="7E4B36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317.4100 </w:t>
            </w:r>
          </w:p>
        </w:tc>
      </w:tr>
      <w:tr w14:paraId="7A0E7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8D4E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1570 </w:t>
            </w:r>
          </w:p>
        </w:tc>
        <w:tc>
          <w:tcPr>
            <w:tcW w:w="1443" w:type="dxa"/>
            <w:tcBorders>
              <w:tl2br w:val="nil"/>
              <w:tr2bl w:val="nil"/>
            </w:tcBorders>
            <w:shd w:val="clear" w:color="auto" w:fill="auto"/>
            <w:vAlign w:val="center"/>
          </w:tcPr>
          <w:p w14:paraId="7EBF2F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21.7650 </w:t>
            </w:r>
          </w:p>
        </w:tc>
        <w:tc>
          <w:tcPr>
            <w:tcW w:w="1394" w:type="dxa"/>
            <w:tcBorders>
              <w:tl2br w:val="nil"/>
              <w:tr2bl w:val="nil"/>
            </w:tcBorders>
            <w:shd w:val="clear" w:color="auto" w:fill="auto"/>
            <w:vAlign w:val="center"/>
          </w:tcPr>
          <w:p w14:paraId="5D4012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314.7500 </w:t>
            </w:r>
          </w:p>
        </w:tc>
        <w:tc>
          <w:tcPr>
            <w:tcW w:w="1079" w:type="dxa"/>
            <w:tcBorders>
              <w:tl2br w:val="nil"/>
              <w:tr2bl w:val="nil"/>
            </w:tcBorders>
            <w:shd w:val="clear" w:color="auto" w:fill="auto"/>
            <w:vAlign w:val="center"/>
          </w:tcPr>
          <w:p w14:paraId="224303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D7547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21.7650 </w:t>
            </w:r>
          </w:p>
        </w:tc>
        <w:tc>
          <w:tcPr>
            <w:tcW w:w="1353" w:type="dxa"/>
            <w:tcBorders>
              <w:tl2br w:val="nil"/>
              <w:tr2bl w:val="nil"/>
            </w:tcBorders>
            <w:shd w:val="clear" w:color="auto" w:fill="auto"/>
            <w:vAlign w:val="center"/>
          </w:tcPr>
          <w:p w14:paraId="5F414D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314.7500 </w:t>
            </w:r>
          </w:p>
        </w:tc>
      </w:tr>
      <w:tr w14:paraId="249A85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73FF3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1580 </w:t>
            </w:r>
          </w:p>
        </w:tc>
        <w:tc>
          <w:tcPr>
            <w:tcW w:w="1443" w:type="dxa"/>
            <w:tcBorders>
              <w:tl2br w:val="nil"/>
              <w:tr2bl w:val="nil"/>
            </w:tcBorders>
            <w:shd w:val="clear" w:color="auto" w:fill="auto"/>
            <w:vAlign w:val="center"/>
          </w:tcPr>
          <w:p w14:paraId="0F8173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21.8700 </w:t>
            </w:r>
          </w:p>
        </w:tc>
        <w:tc>
          <w:tcPr>
            <w:tcW w:w="1394" w:type="dxa"/>
            <w:tcBorders>
              <w:tl2br w:val="nil"/>
              <w:tr2bl w:val="nil"/>
            </w:tcBorders>
            <w:shd w:val="clear" w:color="auto" w:fill="auto"/>
            <w:vAlign w:val="center"/>
          </w:tcPr>
          <w:p w14:paraId="73AA3C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312.1200 </w:t>
            </w:r>
          </w:p>
        </w:tc>
        <w:tc>
          <w:tcPr>
            <w:tcW w:w="1079" w:type="dxa"/>
            <w:tcBorders>
              <w:tl2br w:val="nil"/>
              <w:tr2bl w:val="nil"/>
            </w:tcBorders>
            <w:shd w:val="clear" w:color="auto" w:fill="auto"/>
            <w:vAlign w:val="center"/>
          </w:tcPr>
          <w:p w14:paraId="36D0BD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F5B3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21.8700 </w:t>
            </w:r>
          </w:p>
        </w:tc>
        <w:tc>
          <w:tcPr>
            <w:tcW w:w="1353" w:type="dxa"/>
            <w:tcBorders>
              <w:tl2br w:val="nil"/>
              <w:tr2bl w:val="nil"/>
            </w:tcBorders>
            <w:shd w:val="clear" w:color="auto" w:fill="auto"/>
            <w:vAlign w:val="center"/>
          </w:tcPr>
          <w:p w14:paraId="040000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312.1200 </w:t>
            </w:r>
          </w:p>
        </w:tc>
      </w:tr>
      <w:tr w14:paraId="668FC3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4C29E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1590 </w:t>
            </w:r>
          </w:p>
        </w:tc>
        <w:tc>
          <w:tcPr>
            <w:tcW w:w="1443" w:type="dxa"/>
            <w:tcBorders>
              <w:tl2br w:val="nil"/>
              <w:tr2bl w:val="nil"/>
            </w:tcBorders>
            <w:shd w:val="clear" w:color="auto" w:fill="auto"/>
            <w:vAlign w:val="center"/>
          </w:tcPr>
          <w:p w14:paraId="4A54D2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21.9740 </w:t>
            </w:r>
          </w:p>
        </w:tc>
        <w:tc>
          <w:tcPr>
            <w:tcW w:w="1394" w:type="dxa"/>
            <w:tcBorders>
              <w:tl2br w:val="nil"/>
              <w:tr2bl w:val="nil"/>
            </w:tcBorders>
            <w:shd w:val="clear" w:color="auto" w:fill="auto"/>
            <w:vAlign w:val="center"/>
          </w:tcPr>
          <w:p w14:paraId="6C0788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309.5300 </w:t>
            </w:r>
          </w:p>
        </w:tc>
        <w:tc>
          <w:tcPr>
            <w:tcW w:w="1079" w:type="dxa"/>
            <w:tcBorders>
              <w:tl2br w:val="nil"/>
              <w:tr2bl w:val="nil"/>
            </w:tcBorders>
            <w:shd w:val="clear" w:color="auto" w:fill="auto"/>
            <w:vAlign w:val="center"/>
          </w:tcPr>
          <w:p w14:paraId="5CF147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86591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21.9740 </w:t>
            </w:r>
          </w:p>
        </w:tc>
        <w:tc>
          <w:tcPr>
            <w:tcW w:w="1353" w:type="dxa"/>
            <w:tcBorders>
              <w:tl2br w:val="nil"/>
              <w:tr2bl w:val="nil"/>
            </w:tcBorders>
            <w:shd w:val="clear" w:color="auto" w:fill="auto"/>
            <w:vAlign w:val="center"/>
          </w:tcPr>
          <w:p w14:paraId="54E399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309.5300 </w:t>
            </w:r>
          </w:p>
        </w:tc>
      </w:tr>
      <w:tr w14:paraId="1FDC1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DE73A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1600 </w:t>
            </w:r>
          </w:p>
        </w:tc>
        <w:tc>
          <w:tcPr>
            <w:tcW w:w="1443" w:type="dxa"/>
            <w:tcBorders>
              <w:tl2br w:val="nil"/>
              <w:tr2bl w:val="nil"/>
            </w:tcBorders>
            <w:shd w:val="clear" w:color="auto" w:fill="auto"/>
            <w:vAlign w:val="center"/>
          </w:tcPr>
          <w:p w14:paraId="0F492B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22.0780 </w:t>
            </w:r>
          </w:p>
        </w:tc>
        <w:tc>
          <w:tcPr>
            <w:tcW w:w="1394" w:type="dxa"/>
            <w:tcBorders>
              <w:tl2br w:val="nil"/>
              <w:tr2bl w:val="nil"/>
            </w:tcBorders>
            <w:shd w:val="clear" w:color="auto" w:fill="auto"/>
            <w:vAlign w:val="center"/>
          </w:tcPr>
          <w:p w14:paraId="139B28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306.9700 </w:t>
            </w:r>
          </w:p>
        </w:tc>
        <w:tc>
          <w:tcPr>
            <w:tcW w:w="1079" w:type="dxa"/>
            <w:tcBorders>
              <w:tl2br w:val="nil"/>
              <w:tr2bl w:val="nil"/>
            </w:tcBorders>
            <w:shd w:val="clear" w:color="auto" w:fill="auto"/>
            <w:vAlign w:val="center"/>
          </w:tcPr>
          <w:p w14:paraId="283151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3A45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22.0780 </w:t>
            </w:r>
          </w:p>
        </w:tc>
        <w:tc>
          <w:tcPr>
            <w:tcW w:w="1353" w:type="dxa"/>
            <w:tcBorders>
              <w:tl2br w:val="nil"/>
              <w:tr2bl w:val="nil"/>
            </w:tcBorders>
            <w:shd w:val="clear" w:color="auto" w:fill="auto"/>
            <w:vAlign w:val="center"/>
          </w:tcPr>
          <w:p w14:paraId="3AA2D9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306.9700 </w:t>
            </w:r>
          </w:p>
        </w:tc>
      </w:tr>
      <w:tr w14:paraId="603C0B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CB61C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1610 </w:t>
            </w:r>
          </w:p>
        </w:tc>
        <w:tc>
          <w:tcPr>
            <w:tcW w:w="1443" w:type="dxa"/>
            <w:tcBorders>
              <w:tl2br w:val="nil"/>
              <w:tr2bl w:val="nil"/>
            </w:tcBorders>
            <w:shd w:val="clear" w:color="auto" w:fill="auto"/>
            <w:vAlign w:val="center"/>
          </w:tcPr>
          <w:p w14:paraId="53F75E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22.1820 </w:t>
            </w:r>
          </w:p>
        </w:tc>
        <w:tc>
          <w:tcPr>
            <w:tcW w:w="1394" w:type="dxa"/>
            <w:tcBorders>
              <w:tl2br w:val="nil"/>
              <w:tr2bl w:val="nil"/>
            </w:tcBorders>
            <w:shd w:val="clear" w:color="auto" w:fill="auto"/>
            <w:vAlign w:val="center"/>
          </w:tcPr>
          <w:p w14:paraId="1636C9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304.4500 </w:t>
            </w:r>
          </w:p>
        </w:tc>
        <w:tc>
          <w:tcPr>
            <w:tcW w:w="1079" w:type="dxa"/>
            <w:tcBorders>
              <w:tl2br w:val="nil"/>
              <w:tr2bl w:val="nil"/>
            </w:tcBorders>
            <w:shd w:val="clear" w:color="auto" w:fill="auto"/>
            <w:vAlign w:val="center"/>
          </w:tcPr>
          <w:p w14:paraId="520C52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67185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22.1820 </w:t>
            </w:r>
          </w:p>
        </w:tc>
        <w:tc>
          <w:tcPr>
            <w:tcW w:w="1353" w:type="dxa"/>
            <w:tcBorders>
              <w:tl2br w:val="nil"/>
              <w:tr2bl w:val="nil"/>
            </w:tcBorders>
            <w:shd w:val="clear" w:color="auto" w:fill="auto"/>
            <w:vAlign w:val="center"/>
          </w:tcPr>
          <w:p w14:paraId="1E3ABA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304.4500 </w:t>
            </w:r>
          </w:p>
        </w:tc>
      </w:tr>
      <w:tr w14:paraId="06AFA2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37A85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1620 </w:t>
            </w:r>
          </w:p>
        </w:tc>
        <w:tc>
          <w:tcPr>
            <w:tcW w:w="1443" w:type="dxa"/>
            <w:tcBorders>
              <w:tl2br w:val="nil"/>
              <w:tr2bl w:val="nil"/>
            </w:tcBorders>
            <w:shd w:val="clear" w:color="auto" w:fill="auto"/>
            <w:vAlign w:val="center"/>
          </w:tcPr>
          <w:p w14:paraId="569137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22.2870 </w:t>
            </w:r>
          </w:p>
        </w:tc>
        <w:tc>
          <w:tcPr>
            <w:tcW w:w="1394" w:type="dxa"/>
            <w:tcBorders>
              <w:tl2br w:val="nil"/>
              <w:tr2bl w:val="nil"/>
            </w:tcBorders>
            <w:shd w:val="clear" w:color="auto" w:fill="auto"/>
            <w:vAlign w:val="center"/>
          </w:tcPr>
          <w:p w14:paraId="2F547A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301.9700 </w:t>
            </w:r>
          </w:p>
        </w:tc>
        <w:tc>
          <w:tcPr>
            <w:tcW w:w="1079" w:type="dxa"/>
            <w:tcBorders>
              <w:tl2br w:val="nil"/>
              <w:tr2bl w:val="nil"/>
            </w:tcBorders>
            <w:shd w:val="clear" w:color="auto" w:fill="auto"/>
            <w:vAlign w:val="center"/>
          </w:tcPr>
          <w:p w14:paraId="7421EB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83C44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22.2870 </w:t>
            </w:r>
          </w:p>
        </w:tc>
        <w:tc>
          <w:tcPr>
            <w:tcW w:w="1353" w:type="dxa"/>
            <w:tcBorders>
              <w:tl2br w:val="nil"/>
              <w:tr2bl w:val="nil"/>
            </w:tcBorders>
            <w:shd w:val="clear" w:color="auto" w:fill="auto"/>
            <w:vAlign w:val="center"/>
          </w:tcPr>
          <w:p w14:paraId="1BA800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301.9700 </w:t>
            </w:r>
          </w:p>
        </w:tc>
      </w:tr>
      <w:tr w14:paraId="68AF5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CB662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1630 </w:t>
            </w:r>
          </w:p>
        </w:tc>
        <w:tc>
          <w:tcPr>
            <w:tcW w:w="1443" w:type="dxa"/>
            <w:tcBorders>
              <w:tl2br w:val="nil"/>
              <w:tr2bl w:val="nil"/>
            </w:tcBorders>
            <w:shd w:val="clear" w:color="auto" w:fill="auto"/>
            <w:vAlign w:val="center"/>
          </w:tcPr>
          <w:p w14:paraId="2FF1A8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22.3900 </w:t>
            </w:r>
          </w:p>
        </w:tc>
        <w:tc>
          <w:tcPr>
            <w:tcW w:w="1394" w:type="dxa"/>
            <w:tcBorders>
              <w:tl2br w:val="nil"/>
              <w:tr2bl w:val="nil"/>
            </w:tcBorders>
            <w:shd w:val="clear" w:color="auto" w:fill="auto"/>
            <w:vAlign w:val="center"/>
          </w:tcPr>
          <w:p w14:paraId="6D59B4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299.5100 </w:t>
            </w:r>
          </w:p>
        </w:tc>
        <w:tc>
          <w:tcPr>
            <w:tcW w:w="1079" w:type="dxa"/>
            <w:tcBorders>
              <w:tl2br w:val="nil"/>
              <w:tr2bl w:val="nil"/>
            </w:tcBorders>
            <w:shd w:val="clear" w:color="auto" w:fill="auto"/>
            <w:vAlign w:val="center"/>
          </w:tcPr>
          <w:p w14:paraId="5BDDC0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409C9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22.3900 </w:t>
            </w:r>
          </w:p>
        </w:tc>
        <w:tc>
          <w:tcPr>
            <w:tcW w:w="1353" w:type="dxa"/>
            <w:tcBorders>
              <w:tl2br w:val="nil"/>
              <w:tr2bl w:val="nil"/>
            </w:tcBorders>
            <w:shd w:val="clear" w:color="auto" w:fill="auto"/>
            <w:vAlign w:val="center"/>
          </w:tcPr>
          <w:p w14:paraId="3DD302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299.5100 </w:t>
            </w:r>
          </w:p>
        </w:tc>
      </w:tr>
      <w:tr w14:paraId="63D031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4898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1640 </w:t>
            </w:r>
          </w:p>
        </w:tc>
        <w:tc>
          <w:tcPr>
            <w:tcW w:w="1443" w:type="dxa"/>
            <w:tcBorders>
              <w:tl2br w:val="nil"/>
              <w:tr2bl w:val="nil"/>
            </w:tcBorders>
            <w:shd w:val="clear" w:color="auto" w:fill="auto"/>
            <w:vAlign w:val="center"/>
          </w:tcPr>
          <w:p w14:paraId="2C33C2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22.4940 </w:t>
            </w:r>
          </w:p>
        </w:tc>
        <w:tc>
          <w:tcPr>
            <w:tcW w:w="1394" w:type="dxa"/>
            <w:tcBorders>
              <w:tl2br w:val="nil"/>
              <w:tr2bl w:val="nil"/>
            </w:tcBorders>
            <w:shd w:val="clear" w:color="auto" w:fill="auto"/>
            <w:vAlign w:val="center"/>
          </w:tcPr>
          <w:p w14:paraId="1893DC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297.0900 </w:t>
            </w:r>
          </w:p>
        </w:tc>
        <w:tc>
          <w:tcPr>
            <w:tcW w:w="1079" w:type="dxa"/>
            <w:tcBorders>
              <w:tl2br w:val="nil"/>
              <w:tr2bl w:val="nil"/>
            </w:tcBorders>
            <w:shd w:val="clear" w:color="auto" w:fill="auto"/>
            <w:vAlign w:val="center"/>
          </w:tcPr>
          <w:p w14:paraId="29FD12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0BF6F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22.4940 </w:t>
            </w:r>
          </w:p>
        </w:tc>
        <w:tc>
          <w:tcPr>
            <w:tcW w:w="1353" w:type="dxa"/>
            <w:tcBorders>
              <w:tl2br w:val="nil"/>
              <w:tr2bl w:val="nil"/>
            </w:tcBorders>
            <w:shd w:val="clear" w:color="auto" w:fill="auto"/>
            <w:vAlign w:val="center"/>
          </w:tcPr>
          <w:p w14:paraId="1BF6E1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297.0900 </w:t>
            </w:r>
          </w:p>
        </w:tc>
      </w:tr>
      <w:tr w14:paraId="4A58A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047E2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1650 </w:t>
            </w:r>
          </w:p>
        </w:tc>
        <w:tc>
          <w:tcPr>
            <w:tcW w:w="1443" w:type="dxa"/>
            <w:tcBorders>
              <w:tl2br w:val="nil"/>
              <w:tr2bl w:val="nil"/>
            </w:tcBorders>
            <w:shd w:val="clear" w:color="auto" w:fill="auto"/>
            <w:vAlign w:val="center"/>
          </w:tcPr>
          <w:p w14:paraId="03092B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22.5980 </w:t>
            </w:r>
          </w:p>
        </w:tc>
        <w:tc>
          <w:tcPr>
            <w:tcW w:w="1394" w:type="dxa"/>
            <w:tcBorders>
              <w:tl2br w:val="nil"/>
              <w:tr2bl w:val="nil"/>
            </w:tcBorders>
            <w:shd w:val="clear" w:color="auto" w:fill="auto"/>
            <w:vAlign w:val="center"/>
          </w:tcPr>
          <w:p w14:paraId="136999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294.7000 </w:t>
            </w:r>
          </w:p>
        </w:tc>
        <w:tc>
          <w:tcPr>
            <w:tcW w:w="1079" w:type="dxa"/>
            <w:tcBorders>
              <w:tl2br w:val="nil"/>
              <w:tr2bl w:val="nil"/>
            </w:tcBorders>
            <w:shd w:val="clear" w:color="auto" w:fill="auto"/>
            <w:vAlign w:val="center"/>
          </w:tcPr>
          <w:p w14:paraId="384197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E7317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22.5980 </w:t>
            </w:r>
          </w:p>
        </w:tc>
        <w:tc>
          <w:tcPr>
            <w:tcW w:w="1353" w:type="dxa"/>
            <w:tcBorders>
              <w:tl2br w:val="nil"/>
              <w:tr2bl w:val="nil"/>
            </w:tcBorders>
            <w:shd w:val="clear" w:color="auto" w:fill="auto"/>
            <w:vAlign w:val="center"/>
          </w:tcPr>
          <w:p w14:paraId="63DB8F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294.7000 </w:t>
            </w:r>
          </w:p>
        </w:tc>
      </w:tr>
      <w:tr w14:paraId="28D0E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6028E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1660 </w:t>
            </w:r>
          </w:p>
        </w:tc>
        <w:tc>
          <w:tcPr>
            <w:tcW w:w="1443" w:type="dxa"/>
            <w:tcBorders>
              <w:tl2br w:val="nil"/>
              <w:tr2bl w:val="nil"/>
            </w:tcBorders>
            <w:shd w:val="clear" w:color="auto" w:fill="auto"/>
            <w:vAlign w:val="center"/>
          </w:tcPr>
          <w:p w14:paraId="4E3E6C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22.7010 </w:t>
            </w:r>
          </w:p>
        </w:tc>
        <w:tc>
          <w:tcPr>
            <w:tcW w:w="1394" w:type="dxa"/>
            <w:tcBorders>
              <w:tl2br w:val="nil"/>
              <w:tr2bl w:val="nil"/>
            </w:tcBorders>
            <w:shd w:val="clear" w:color="auto" w:fill="auto"/>
            <w:vAlign w:val="center"/>
          </w:tcPr>
          <w:p w14:paraId="7F14B7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292.3400 </w:t>
            </w:r>
          </w:p>
        </w:tc>
        <w:tc>
          <w:tcPr>
            <w:tcW w:w="1079" w:type="dxa"/>
            <w:tcBorders>
              <w:tl2br w:val="nil"/>
              <w:tr2bl w:val="nil"/>
            </w:tcBorders>
            <w:shd w:val="clear" w:color="auto" w:fill="auto"/>
            <w:vAlign w:val="center"/>
          </w:tcPr>
          <w:p w14:paraId="5EB06B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ED0B4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22.7010 </w:t>
            </w:r>
          </w:p>
        </w:tc>
        <w:tc>
          <w:tcPr>
            <w:tcW w:w="1353" w:type="dxa"/>
            <w:tcBorders>
              <w:tl2br w:val="nil"/>
              <w:tr2bl w:val="nil"/>
            </w:tcBorders>
            <w:shd w:val="clear" w:color="auto" w:fill="auto"/>
            <w:vAlign w:val="center"/>
          </w:tcPr>
          <w:p w14:paraId="27650E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292.3400 </w:t>
            </w:r>
          </w:p>
        </w:tc>
      </w:tr>
      <w:tr w14:paraId="20741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EF85A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1670 </w:t>
            </w:r>
          </w:p>
        </w:tc>
        <w:tc>
          <w:tcPr>
            <w:tcW w:w="1443" w:type="dxa"/>
            <w:tcBorders>
              <w:tl2br w:val="nil"/>
              <w:tr2bl w:val="nil"/>
            </w:tcBorders>
            <w:shd w:val="clear" w:color="auto" w:fill="auto"/>
            <w:vAlign w:val="center"/>
          </w:tcPr>
          <w:p w14:paraId="32B028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22.8050 </w:t>
            </w:r>
          </w:p>
        </w:tc>
        <w:tc>
          <w:tcPr>
            <w:tcW w:w="1394" w:type="dxa"/>
            <w:tcBorders>
              <w:tl2br w:val="nil"/>
              <w:tr2bl w:val="nil"/>
            </w:tcBorders>
            <w:shd w:val="clear" w:color="auto" w:fill="auto"/>
            <w:vAlign w:val="center"/>
          </w:tcPr>
          <w:p w14:paraId="054123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290.0100 </w:t>
            </w:r>
          </w:p>
        </w:tc>
        <w:tc>
          <w:tcPr>
            <w:tcW w:w="1079" w:type="dxa"/>
            <w:tcBorders>
              <w:tl2br w:val="nil"/>
              <w:tr2bl w:val="nil"/>
            </w:tcBorders>
            <w:shd w:val="clear" w:color="auto" w:fill="auto"/>
            <w:vAlign w:val="center"/>
          </w:tcPr>
          <w:p w14:paraId="1F835F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4B5E2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22.8050 </w:t>
            </w:r>
          </w:p>
        </w:tc>
        <w:tc>
          <w:tcPr>
            <w:tcW w:w="1353" w:type="dxa"/>
            <w:tcBorders>
              <w:tl2br w:val="nil"/>
              <w:tr2bl w:val="nil"/>
            </w:tcBorders>
            <w:shd w:val="clear" w:color="auto" w:fill="auto"/>
            <w:vAlign w:val="center"/>
          </w:tcPr>
          <w:p w14:paraId="09E795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290.0100 </w:t>
            </w:r>
          </w:p>
        </w:tc>
      </w:tr>
      <w:tr w14:paraId="49165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52CAE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1680 </w:t>
            </w:r>
          </w:p>
        </w:tc>
        <w:tc>
          <w:tcPr>
            <w:tcW w:w="1443" w:type="dxa"/>
            <w:tcBorders>
              <w:tl2br w:val="nil"/>
              <w:tr2bl w:val="nil"/>
            </w:tcBorders>
            <w:shd w:val="clear" w:color="auto" w:fill="auto"/>
            <w:vAlign w:val="center"/>
          </w:tcPr>
          <w:p w14:paraId="5C51B2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22.9080 </w:t>
            </w:r>
          </w:p>
        </w:tc>
        <w:tc>
          <w:tcPr>
            <w:tcW w:w="1394" w:type="dxa"/>
            <w:tcBorders>
              <w:tl2br w:val="nil"/>
              <w:tr2bl w:val="nil"/>
            </w:tcBorders>
            <w:shd w:val="clear" w:color="auto" w:fill="auto"/>
            <w:vAlign w:val="center"/>
          </w:tcPr>
          <w:p w14:paraId="4E1E43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287.7200 </w:t>
            </w:r>
          </w:p>
        </w:tc>
        <w:tc>
          <w:tcPr>
            <w:tcW w:w="1079" w:type="dxa"/>
            <w:tcBorders>
              <w:tl2br w:val="nil"/>
              <w:tr2bl w:val="nil"/>
            </w:tcBorders>
            <w:shd w:val="clear" w:color="auto" w:fill="auto"/>
            <w:vAlign w:val="center"/>
          </w:tcPr>
          <w:p w14:paraId="70A68E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96A95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22.9080 </w:t>
            </w:r>
          </w:p>
        </w:tc>
        <w:tc>
          <w:tcPr>
            <w:tcW w:w="1353" w:type="dxa"/>
            <w:tcBorders>
              <w:tl2br w:val="nil"/>
              <w:tr2bl w:val="nil"/>
            </w:tcBorders>
            <w:shd w:val="clear" w:color="auto" w:fill="auto"/>
            <w:vAlign w:val="center"/>
          </w:tcPr>
          <w:p w14:paraId="06FCE1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287.7200 </w:t>
            </w:r>
          </w:p>
        </w:tc>
      </w:tr>
      <w:tr w14:paraId="2E794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05FAD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1690 </w:t>
            </w:r>
          </w:p>
        </w:tc>
        <w:tc>
          <w:tcPr>
            <w:tcW w:w="1443" w:type="dxa"/>
            <w:tcBorders>
              <w:tl2br w:val="nil"/>
              <w:tr2bl w:val="nil"/>
            </w:tcBorders>
            <w:shd w:val="clear" w:color="auto" w:fill="auto"/>
            <w:vAlign w:val="center"/>
          </w:tcPr>
          <w:p w14:paraId="1330DE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23.0110 </w:t>
            </w:r>
          </w:p>
        </w:tc>
        <w:tc>
          <w:tcPr>
            <w:tcW w:w="1394" w:type="dxa"/>
            <w:tcBorders>
              <w:tl2br w:val="nil"/>
              <w:tr2bl w:val="nil"/>
            </w:tcBorders>
            <w:shd w:val="clear" w:color="auto" w:fill="auto"/>
            <w:vAlign w:val="center"/>
          </w:tcPr>
          <w:p w14:paraId="174455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285.4500 </w:t>
            </w:r>
          </w:p>
        </w:tc>
        <w:tc>
          <w:tcPr>
            <w:tcW w:w="1079" w:type="dxa"/>
            <w:tcBorders>
              <w:tl2br w:val="nil"/>
              <w:tr2bl w:val="nil"/>
            </w:tcBorders>
            <w:shd w:val="clear" w:color="auto" w:fill="auto"/>
            <w:vAlign w:val="center"/>
          </w:tcPr>
          <w:p w14:paraId="5A8AC6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ED242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23.0110 </w:t>
            </w:r>
          </w:p>
        </w:tc>
        <w:tc>
          <w:tcPr>
            <w:tcW w:w="1353" w:type="dxa"/>
            <w:tcBorders>
              <w:tl2br w:val="nil"/>
              <w:tr2bl w:val="nil"/>
            </w:tcBorders>
            <w:shd w:val="clear" w:color="auto" w:fill="auto"/>
            <w:vAlign w:val="center"/>
          </w:tcPr>
          <w:p w14:paraId="3DDEB9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285.4500 </w:t>
            </w:r>
          </w:p>
        </w:tc>
      </w:tr>
      <w:tr w14:paraId="1A618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A5413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1700 </w:t>
            </w:r>
          </w:p>
        </w:tc>
        <w:tc>
          <w:tcPr>
            <w:tcW w:w="1443" w:type="dxa"/>
            <w:tcBorders>
              <w:tl2br w:val="nil"/>
              <w:tr2bl w:val="nil"/>
            </w:tcBorders>
            <w:shd w:val="clear" w:color="auto" w:fill="auto"/>
            <w:vAlign w:val="center"/>
          </w:tcPr>
          <w:p w14:paraId="49DEDB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23.1140 </w:t>
            </w:r>
          </w:p>
        </w:tc>
        <w:tc>
          <w:tcPr>
            <w:tcW w:w="1394" w:type="dxa"/>
            <w:tcBorders>
              <w:tl2br w:val="nil"/>
              <w:tr2bl w:val="nil"/>
            </w:tcBorders>
            <w:shd w:val="clear" w:color="auto" w:fill="auto"/>
            <w:vAlign w:val="center"/>
          </w:tcPr>
          <w:p w14:paraId="401DEC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283.2100 </w:t>
            </w:r>
          </w:p>
        </w:tc>
        <w:tc>
          <w:tcPr>
            <w:tcW w:w="1079" w:type="dxa"/>
            <w:tcBorders>
              <w:tl2br w:val="nil"/>
              <w:tr2bl w:val="nil"/>
            </w:tcBorders>
            <w:shd w:val="clear" w:color="auto" w:fill="auto"/>
            <w:vAlign w:val="center"/>
          </w:tcPr>
          <w:p w14:paraId="4C30B5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D07D6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23.1140 </w:t>
            </w:r>
          </w:p>
        </w:tc>
        <w:tc>
          <w:tcPr>
            <w:tcW w:w="1353" w:type="dxa"/>
            <w:tcBorders>
              <w:tl2br w:val="nil"/>
              <w:tr2bl w:val="nil"/>
            </w:tcBorders>
            <w:shd w:val="clear" w:color="auto" w:fill="auto"/>
            <w:vAlign w:val="center"/>
          </w:tcPr>
          <w:p w14:paraId="765295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283.2100 </w:t>
            </w:r>
          </w:p>
        </w:tc>
      </w:tr>
      <w:tr w14:paraId="2A1395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38343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1710 </w:t>
            </w:r>
          </w:p>
        </w:tc>
        <w:tc>
          <w:tcPr>
            <w:tcW w:w="1443" w:type="dxa"/>
            <w:tcBorders>
              <w:tl2br w:val="nil"/>
              <w:tr2bl w:val="nil"/>
            </w:tcBorders>
            <w:shd w:val="clear" w:color="auto" w:fill="auto"/>
            <w:vAlign w:val="center"/>
          </w:tcPr>
          <w:p w14:paraId="5D2723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23.2170 </w:t>
            </w:r>
          </w:p>
        </w:tc>
        <w:tc>
          <w:tcPr>
            <w:tcW w:w="1394" w:type="dxa"/>
            <w:tcBorders>
              <w:tl2br w:val="nil"/>
              <w:tr2bl w:val="nil"/>
            </w:tcBorders>
            <w:shd w:val="clear" w:color="auto" w:fill="auto"/>
            <w:vAlign w:val="center"/>
          </w:tcPr>
          <w:p w14:paraId="6A827A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281.0000 </w:t>
            </w:r>
          </w:p>
        </w:tc>
        <w:tc>
          <w:tcPr>
            <w:tcW w:w="1079" w:type="dxa"/>
            <w:tcBorders>
              <w:tl2br w:val="nil"/>
              <w:tr2bl w:val="nil"/>
            </w:tcBorders>
            <w:shd w:val="clear" w:color="auto" w:fill="auto"/>
            <w:vAlign w:val="center"/>
          </w:tcPr>
          <w:p w14:paraId="6041AD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E81A5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23.2170 </w:t>
            </w:r>
          </w:p>
        </w:tc>
        <w:tc>
          <w:tcPr>
            <w:tcW w:w="1353" w:type="dxa"/>
            <w:tcBorders>
              <w:tl2br w:val="nil"/>
              <w:tr2bl w:val="nil"/>
            </w:tcBorders>
            <w:shd w:val="clear" w:color="auto" w:fill="auto"/>
            <w:vAlign w:val="center"/>
          </w:tcPr>
          <w:p w14:paraId="0F3DCE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281.0000 </w:t>
            </w:r>
          </w:p>
        </w:tc>
      </w:tr>
      <w:tr w14:paraId="096FF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CC9E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1720 </w:t>
            </w:r>
          </w:p>
        </w:tc>
        <w:tc>
          <w:tcPr>
            <w:tcW w:w="1443" w:type="dxa"/>
            <w:tcBorders>
              <w:tl2br w:val="nil"/>
              <w:tr2bl w:val="nil"/>
            </w:tcBorders>
            <w:shd w:val="clear" w:color="auto" w:fill="auto"/>
            <w:vAlign w:val="center"/>
          </w:tcPr>
          <w:p w14:paraId="4B0E93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23.3190 </w:t>
            </w:r>
          </w:p>
        </w:tc>
        <w:tc>
          <w:tcPr>
            <w:tcW w:w="1394" w:type="dxa"/>
            <w:tcBorders>
              <w:tl2br w:val="nil"/>
              <w:tr2bl w:val="nil"/>
            </w:tcBorders>
            <w:shd w:val="clear" w:color="auto" w:fill="auto"/>
            <w:vAlign w:val="center"/>
          </w:tcPr>
          <w:p w14:paraId="725560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278.8200 </w:t>
            </w:r>
          </w:p>
        </w:tc>
        <w:tc>
          <w:tcPr>
            <w:tcW w:w="1079" w:type="dxa"/>
            <w:tcBorders>
              <w:tl2br w:val="nil"/>
              <w:tr2bl w:val="nil"/>
            </w:tcBorders>
            <w:shd w:val="clear" w:color="auto" w:fill="auto"/>
            <w:vAlign w:val="center"/>
          </w:tcPr>
          <w:p w14:paraId="0FA0F5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D8BF1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23.3190 </w:t>
            </w:r>
          </w:p>
        </w:tc>
        <w:tc>
          <w:tcPr>
            <w:tcW w:w="1353" w:type="dxa"/>
            <w:tcBorders>
              <w:tl2br w:val="nil"/>
              <w:tr2bl w:val="nil"/>
            </w:tcBorders>
            <w:shd w:val="clear" w:color="auto" w:fill="auto"/>
            <w:vAlign w:val="center"/>
          </w:tcPr>
          <w:p w14:paraId="4B3F66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278.8200 </w:t>
            </w:r>
          </w:p>
        </w:tc>
      </w:tr>
      <w:tr w14:paraId="4FC75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A92A2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1730 </w:t>
            </w:r>
          </w:p>
        </w:tc>
        <w:tc>
          <w:tcPr>
            <w:tcW w:w="1443" w:type="dxa"/>
            <w:tcBorders>
              <w:tl2br w:val="nil"/>
              <w:tr2bl w:val="nil"/>
            </w:tcBorders>
            <w:shd w:val="clear" w:color="auto" w:fill="auto"/>
            <w:vAlign w:val="center"/>
          </w:tcPr>
          <w:p w14:paraId="12E62D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23.4220 </w:t>
            </w:r>
          </w:p>
        </w:tc>
        <w:tc>
          <w:tcPr>
            <w:tcW w:w="1394" w:type="dxa"/>
            <w:tcBorders>
              <w:tl2br w:val="nil"/>
              <w:tr2bl w:val="nil"/>
            </w:tcBorders>
            <w:shd w:val="clear" w:color="auto" w:fill="auto"/>
            <w:vAlign w:val="center"/>
          </w:tcPr>
          <w:p w14:paraId="0C8DFB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276.6600 </w:t>
            </w:r>
          </w:p>
        </w:tc>
        <w:tc>
          <w:tcPr>
            <w:tcW w:w="1079" w:type="dxa"/>
            <w:tcBorders>
              <w:tl2br w:val="nil"/>
              <w:tr2bl w:val="nil"/>
            </w:tcBorders>
            <w:shd w:val="clear" w:color="auto" w:fill="auto"/>
            <w:vAlign w:val="center"/>
          </w:tcPr>
          <w:p w14:paraId="1EAA60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9308A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23.4220 </w:t>
            </w:r>
          </w:p>
        </w:tc>
        <w:tc>
          <w:tcPr>
            <w:tcW w:w="1353" w:type="dxa"/>
            <w:tcBorders>
              <w:tl2br w:val="nil"/>
              <w:tr2bl w:val="nil"/>
            </w:tcBorders>
            <w:shd w:val="clear" w:color="auto" w:fill="auto"/>
            <w:vAlign w:val="center"/>
          </w:tcPr>
          <w:p w14:paraId="0396E6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276.6600 </w:t>
            </w:r>
          </w:p>
        </w:tc>
      </w:tr>
      <w:tr w14:paraId="51783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C2064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1740 </w:t>
            </w:r>
          </w:p>
        </w:tc>
        <w:tc>
          <w:tcPr>
            <w:tcW w:w="1443" w:type="dxa"/>
            <w:tcBorders>
              <w:tl2br w:val="nil"/>
              <w:tr2bl w:val="nil"/>
            </w:tcBorders>
            <w:shd w:val="clear" w:color="auto" w:fill="auto"/>
            <w:vAlign w:val="center"/>
          </w:tcPr>
          <w:p w14:paraId="7814FA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23.5240 </w:t>
            </w:r>
          </w:p>
        </w:tc>
        <w:tc>
          <w:tcPr>
            <w:tcW w:w="1394" w:type="dxa"/>
            <w:tcBorders>
              <w:tl2br w:val="nil"/>
              <w:tr2bl w:val="nil"/>
            </w:tcBorders>
            <w:shd w:val="clear" w:color="auto" w:fill="auto"/>
            <w:vAlign w:val="center"/>
          </w:tcPr>
          <w:p w14:paraId="7734E6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274.5400 </w:t>
            </w:r>
          </w:p>
        </w:tc>
        <w:tc>
          <w:tcPr>
            <w:tcW w:w="1079" w:type="dxa"/>
            <w:tcBorders>
              <w:tl2br w:val="nil"/>
              <w:tr2bl w:val="nil"/>
            </w:tcBorders>
            <w:shd w:val="clear" w:color="auto" w:fill="auto"/>
            <w:vAlign w:val="center"/>
          </w:tcPr>
          <w:p w14:paraId="572FFB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C882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23.5240 </w:t>
            </w:r>
          </w:p>
        </w:tc>
        <w:tc>
          <w:tcPr>
            <w:tcW w:w="1353" w:type="dxa"/>
            <w:tcBorders>
              <w:tl2br w:val="nil"/>
              <w:tr2bl w:val="nil"/>
            </w:tcBorders>
            <w:shd w:val="clear" w:color="auto" w:fill="auto"/>
            <w:vAlign w:val="center"/>
          </w:tcPr>
          <w:p w14:paraId="231443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274.5400 </w:t>
            </w:r>
          </w:p>
        </w:tc>
      </w:tr>
      <w:tr w14:paraId="5D613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7A768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1750 </w:t>
            </w:r>
          </w:p>
        </w:tc>
        <w:tc>
          <w:tcPr>
            <w:tcW w:w="1443" w:type="dxa"/>
            <w:tcBorders>
              <w:tl2br w:val="nil"/>
              <w:tr2bl w:val="nil"/>
            </w:tcBorders>
            <w:shd w:val="clear" w:color="auto" w:fill="auto"/>
            <w:vAlign w:val="center"/>
          </w:tcPr>
          <w:p w14:paraId="1C4F0C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23.6270 </w:t>
            </w:r>
          </w:p>
        </w:tc>
        <w:tc>
          <w:tcPr>
            <w:tcW w:w="1394" w:type="dxa"/>
            <w:tcBorders>
              <w:tl2br w:val="nil"/>
              <w:tr2bl w:val="nil"/>
            </w:tcBorders>
            <w:shd w:val="clear" w:color="auto" w:fill="auto"/>
            <w:vAlign w:val="center"/>
          </w:tcPr>
          <w:p w14:paraId="4D84A2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272.4400 </w:t>
            </w:r>
          </w:p>
        </w:tc>
        <w:tc>
          <w:tcPr>
            <w:tcW w:w="1079" w:type="dxa"/>
            <w:tcBorders>
              <w:tl2br w:val="nil"/>
              <w:tr2bl w:val="nil"/>
            </w:tcBorders>
            <w:shd w:val="clear" w:color="auto" w:fill="auto"/>
            <w:vAlign w:val="center"/>
          </w:tcPr>
          <w:p w14:paraId="2E9D21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8360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23.6270 </w:t>
            </w:r>
          </w:p>
        </w:tc>
        <w:tc>
          <w:tcPr>
            <w:tcW w:w="1353" w:type="dxa"/>
            <w:tcBorders>
              <w:tl2br w:val="nil"/>
              <w:tr2bl w:val="nil"/>
            </w:tcBorders>
            <w:shd w:val="clear" w:color="auto" w:fill="auto"/>
            <w:vAlign w:val="center"/>
          </w:tcPr>
          <w:p w14:paraId="045C48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272.4400 </w:t>
            </w:r>
          </w:p>
        </w:tc>
      </w:tr>
      <w:tr w14:paraId="72A8AE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620B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1760 </w:t>
            </w:r>
          </w:p>
        </w:tc>
        <w:tc>
          <w:tcPr>
            <w:tcW w:w="1443" w:type="dxa"/>
            <w:tcBorders>
              <w:tl2br w:val="nil"/>
              <w:tr2bl w:val="nil"/>
            </w:tcBorders>
            <w:shd w:val="clear" w:color="auto" w:fill="auto"/>
            <w:vAlign w:val="center"/>
          </w:tcPr>
          <w:p w14:paraId="14444C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23.7290 </w:t>
            </w:r>
          </w:p>
        </w:tc>
        <w:tc>
          <w:tcPr>
            <w:tcW w:w="1394" w:type="dxa"/>
            <w:tcBorders>
              <w:tl2br w:val="nil"/>
              <w:tr2bl w:val="nil"/>
            </w:tcBorders>
            <w:shd w:val="clear" w:color="auto" w:fill="auto"/>
            <w:vAlign w:val="center"/>
          </w:tcPr>
          <w:p w14:paraId="63C75D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270.3600 </w:t>
            </w:r>
          </w:p>
        </w:tc>
        <w:tc>
          <w:tcPr>
            <w:tcW w:w="1079" w:type="dxa"/>
            <w:tcBorders>
              <w:tl2br w:val="nil"/>
              <w:tr2bl w:val="nil"/>
            </w:tcBorders>
            <w:shd w:val="clear" w:color="auto" w:fill="auto"/>
            <w:vAlign w:val="center"/>
          </w:tcPr>
          <w:p w14:paraId="0C1118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1A9C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23.7290 </w:t>
            </w:r>
          </w:p>
        </w:tc>
        <w:tc>
          <w:tcPr>
            <w:tcW w:w="1353" w:type="dxa"/>
            <w:tcBorders>
              <w:tl2br w:val="nil"/>
              <w:tr2bl w:val="nil"/>
            </w:tcBorders>
            <w:shd w:val="clear" w:color="auto" w:fill="auto"/>
            <w:vAlign w:val="center"/>
          </w:tcPr>
          <w:p w14:paraId="625D28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270.3600 </w:t>
            </w:r>
          </w:p>
        </w:tc>
      </w:tr>
      <w:tr w14:paraId="4BC48D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17F3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1770 </w:t>
            </w:r>
          </w:p>
        </w:tc>
        <w:tc>
          <w:tcPr>
            <w:tcW w:w="1443" w:type="dxa"/>
            <w:tcBorders>
              <w:tl2br w:val="nil"/>
              <w:tr2bl w:val="nil"/>
            </w:tcBorders>
            <w:shd w:val="clear" w:color="auto" w:fill="auto"/>
            <w:vAlign w:val="center"/>
          </w:tcPr>
          <w:p w14:paraId="7BC340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23.8310 </w:t>
            </w:r>
          </w:p>
        </w:tc>
        <w:tc>
          <w:tcPr>
            <w:tcW w:w="1394" w:type="dxa"/>
            <w:tcBorders>
              <w:tl2br w:val="nil"/>
              <w:tr2bl w:val="nil"/>
            </w:tcBorders>
            <w:shd w:val="clear" w:color="auto" w:fill="auto"/>
            <w:vAlign w:val="center"/>
          </w:tcPr>
          <w:p w14:paraId="3BCA54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268.3000 </w:t>
            </w:r>
          </w:p>
        </w:tc>
        <w:tc>
          <w:tcPr>
            <w:tcW w:w="1079" w:type="dxa"/>
            <w:tcBorders>
              <w:tl2br w:val="nil"/>
              <w:tr2bl w:val="nil"/>
            </w:tcBorders>
            <w:shd w:val="clear" w:color="auto" w:fill="auto"/>
            <w:vAlign w:val="center"/>
          </w:tcPr>
          <w:p w14:paraId="649C4C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3B2DF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23.8310 </w:t>
            </w:r>
          </w:p>
        </w:tc>
        <w:tc>
          <w:tcPr>
            <w:tcW w:w="1353" w:type="dxa"/>
            <w:tcBorders>
              <w:tl2br w:val="nil"/>
              <w:tr2bl w:val="nil"/>
            </w:tcBorders>
            <w:shd w:val="clear" w:color="auto" w:fill="auto"/>
            <w:vAlign w:val="center"/>
          </w:tcPr>
          <w:p w14:paraId="47AF0C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268.3000 </w:t>
            </w:r>
          </w:p>
        </w:tc>
      </w:tr>
      <w:tr w14:paraId="19186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D8FD1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1780 </w:t>
            </w:r>
          </w:p>
        </w:tc>
        <w:tc>
          <w:tcPr>
            <w:tcW w:w="1443" w:type="dxa"/>
            <w:tcBorders>
              <w:tl2br w:val="nil"/>
              <w:tr2bl w:val="nil"/>
            </w:tcBorders>
            <w:shd w:val="clear" w:color="auto" w:fill="auto"/>
            <w:vAlign w:val="center"/>
          </w:tcPr>
          <w:p w14:paraId="70DEBF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23.9330 </w:t>
            </w:r>
          </w:p>
        </w:tc>
        <w:tc>
          <w:tcPr>
            <w:tcW w:w="1394" w:type="dxa"/>
            <w:tcBorders>
              <w:tl2br w:val="nil"/>
              <w:tr2bl w:val="nil"/>
            </w:tcBorders>
            <w:shd w:val="clear" w:color="auto" w:fill="auto"/>
            <w:vAlign w:val="center"/>
          </w:tcPr>
          <w:p w14:paraId="3F0C4A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266.2400 </w:t>
            </w:r>
          </w:p>
        </w:tc>
        <w:tc>
          <w:tcPr>
            <w:tcW w:w="1079" w:type="dxa"/>
            <w:tcBorders>
              <w:tl2br w:val="nil"/>
              <w:tr2bl w:val="nil"/>
            </w:tcBorders>
            <w:shd w:val="clear" w:color="auto" w:fill="auto"/>
            <w:vAlign w:val="center"/>
          </w:tcPr>
          <w:p w14:paraId="69CE31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CA4A7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23.9330 </w:t>
            </w:r>
          </w:p>
        </w:tc>
        <w:tc>
          <w:tcPr>
            <w:tcW w:w="1353" w:type="dxa"/>
            <w:tcBorders>
              <w:tl2br w:val="nil"/>
              <w:tr2bl w:val="nil"/>
            </w:tcBorders>
            <w:shd w:val="clear" w:color="auto" w:fill="auto"/>
            <w:vAlign w:val="center"/>
          </w:tcPr>
          <w:p w14:paraId="5DDE4A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266.2400 </w:t>
            </w:r>
          </w:p>
        </w:tc>
      </w:tr>
      <w:tr w14:paraId="53C7E2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00A1B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1790 </w:t>
            </w:r>
          </w:p>
        </w:tc>
        <w:tc>
          <w:tcPr>
            <w:tcW w:w="1443" w:type="dxa"/>
            <w:tcBorders>
              <w:tl2br w:val="nil"/>
              <w:tr2bl w:val="nil"/>
            </w:tcBorders>
            <w:shd w:val="clear" w:color="auto" w:fill="auto"/>
            <w:vAlign w:val="center"/>
          </w:tcPr>
          <w:p w14:paraId="1400F3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24.0350 </w:t>
            </w:r>
          </w:p>
        </w:tc>
        <w:tc>
          <w:tcPr>
            <w:tcW w:w="1394" w:type="dxa"/>
            <w:tcBorders>
              <w:tl2br w:val="nil"/>
              <w:tr2bl w:val="nil"/>
            </w:tcBorders>
            <w:shd w:val="clear" w:color="auto" w:fill="auto"/>
            <w:vAlign w:val="center"/>
          </w:tcPr>
          <w:p w14:paraId="032F8C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264.1900 </w:t>
            </w:r>
          </w:p>
        </w:tc>
        <w:tc>
          <w:tcPr>
            <w:tcW w:w="1079" w:type="dxa"/>
            <w:tcBorders>
              <w:tl2br w:val="nil"/>
              <w:tr2bl w:val="nil"/>
            </w:tcBorders>
            <w:shd w:val="clear" w:color="auto" w:fill="auto"/>
            <w:vAlign w:val="center"/>
          </w:tcPr>
          <w:p w14:paraId="6D280D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0336D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24.0350 </w:t>
            </w:r>
          </w:p>
        </w:tc>
        <w:tc>
          <w:tcPr>
            <w:tcW w:w="1353" w:type="dxa"/>
            <w:tcBorders>
              <w:tl2br w:val="nil"/>
              <w:tr2bl w:val="nil"/>
            </w:tcBorders>
            <w:shd w:val="clear" w:color="auto" w:fill="auto"/>
            <w:vAlign w:val="center"/>
          </w:tcPr>
          <w:p w14:paraId="4902CA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264.1900 </w:t>
            </w:r>
          </w:p>
        </w:tc>
      </w:tr>
      <w:tr w14:paraId="4465F7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7AE1D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1800 </w:t>
            </w:r>
          </w:p>
        </w:tc>
        <w:tc>
          <w:tcPr>
            <w:tcW w:w="1443" w:type="dxa"/>
            <w:tcBorders>
              <w:tl2br w:val="nil"/>
              <w:tr2bl w:val="nil"/>
            </w:tcBorders>
            <w:shd w:val="clear" w:color="auto" w:fill="auto"/>
            <w:vAlign w:val="center"/>
          </w:tcPr>
          <w:p w14:paraId="7A2B74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24.1360 </w:t>
            </w:r>
          </w:p>
        </w:tc>
        <w:tc>
          <w:tcPr>
            <w:tcW w:w="1394" w:type="dxa"/>
            <w:tcBorders>
              <w:tl2br w:val="nil"/>
              <w:tr2bl w:val="nil"/>
            </w:tcBorders>
            <w:shd w:val="clear" w:color="auto" w:fill="auto"/>
            <w:vAlign w:val="center"/>
          </w:tcPr>
          <w:p w14:paraId="29D7B2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262.1700 </w:t>
            </w:r>
          </w:p>
        </w:tc>
        <w:tc>
          <w:tcPr>
            <w:tcW w:w="1079" w:type="dxa"/>
            <w:tcBorders>
              <w:tl2br w:val="nil"/>
              <w:tr2bl w:val="nil"/>
            </w:tcBorders>
            <w:shd w:val="clear" w:color="auto" w:fill="auto"/>
            <w:vAlign w:val="center"/>
          </w:tcPr>
          <w:p w14:paraId="458D52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CE717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24.1360 </w:t>
            </w:r>
          </w:p>
        </w:tc>
        <w:tc>
          <w:tcPr>
            <w:tcW w:w="1353" w:type="dxa"/>
            <w:tcBorders>
              <w:tl2br w:val="nil"/>
              <w:tr2bl w:val="nil"/>
            </w:tcBorders>
            <w:shd w:val="clear" w:color="auto" w:fill="auto"/>
            <w:vAlign w:val="center"/>
          </w:tcPr>
          <w:p w14:paraId="0492C9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262.1700 </w:t>
            </w:r>
          </w:p>
        </w:tc>
      </w:tr>
      <w:tr w14:paraId="6EC973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63EB3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1810 </w:t>
            </w:r>
          </w:p>
        </w:tc>
        <w:tc>
          <w:tcPr>
            <w:tcW w:w="1443" w:type="dxa"/>
            <w:tcBorders>
              <w:tl2br w:val="nil"/>
              <w:tr2bl w:val="nil"/>
            </w:tcBorders>
            <w:shd w:val="clear" w:color="auto" w:fill="auto"/>
            <w:vAlign w:val="center"/>
          </w:tcPr>
          <w:p w14:paraId="1BB79A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24.2380 </w:t>
            </w:r>
          </w:p>
        </w:tc>
        <w:tc>
          <w:tcPr>
            <w:tcW w:w="1394" w:type="dxa"/>
            <w:tcBorders>
              <w:tl2br w:val="nil"/>
              <w:tr2bl w:val="nil"/>
            </w:tcBorders>
            <w:shd w:val="clear" w:color="auto" w:fill="auto"/>
            <w:vAlign w:val="center"/>
          </w:tcPr>
          <w:p w14:paraId="02BF21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260.1800 </w:t>
            </w:r>
          </w:p>
        </w:tc>
        <w:tc>
          <w:tcPr>
            <w:tcW w:w="1079" w:type="dxa"/>
            <w:tcBorders>
              <w:tl2br w:val="nil"/>
              <w:tr2bl w:val="nil"/>
            </w:tcBorders>
            <w:shd w:val="clear" w:color="auto" w:fill="auto"/>
            <w:vAlign w:val="center"/>
          </w:tcPr>
          <w:p w14:paraId="50BBCA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3744F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24.2380 </w:t>
            </w:r>
          </w:p>
        </w:tc>
        <w:tc>
          <w:tcPr>
            <w:tcW w:w="1353" w:type="dxa"/>
            <w:tcBorders>
              <w:tl2br w:val="nil"/>
              <w:tr2bl w:val="nil"/>
            </w:tcBorders>
            <w:shd w:val="clear" w:color="auto" w:fill="auto"/>
            <w:vAlign w:val="center"/>
          </w:tcPr>
          <w:p w14:paraId="591636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260.1800 </w:t>
            </w:r>
          </w:p>
        </w:tc>
      </w:tr>
      <w:tr w14:paraId="0A4322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7554D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1820 </w:t>
            </w:r>
          </w:p>
        </w:tc>
        <w:tc>
          <w:tcPr>
            <w:tcW w:w="1443" w:type="dxa"/>
            <w:tcBorders>
              <w:tl2br w:val="nil"/>
              <w:tr2bl w:val="nil"/>
            </w:tcBorders>
            <w:shd w:val="clear" w:color="auto" w:fill="auto"/>
            <w:vAlign w:val="center"/>
          </w:tcPr>
          <w:p w14:paraId="1D76A3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24.3390 </w:t>
            </w:r>
          </w:p>
        </w:tc>
        <w:tc>
          <w:tcPr>
            <w:tcW w:w="1394" w:type="dxa"/>
            <w:tcBorders>
              <w:tl2br w:val="nil"/>
              <w:tr2bl w:val="nil"/>
            </w:tcBorders>
            <w:shd w:val="clear" w:color="auto" w:fill="auto"/>
            <w:vAlign w:val="center"/>
          </w:tcPr>
          <w:p w14:paraId="2A4E5B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258.2100 </w:t>
            </w:r>
          </w:p>
        </w:tc>
        <w:tc>
          <w:tcPr>
            <w:tcW w:w="1079" w:type="dxa"/>
            <w:tcBorders>
              <w:tl2br w:val="nil"/>
              <w:tr2bl w:val="nil"/>
            </w:tcBorders>
            <w:shd w:val="clear" w:color="auto" w:fill="auto"/>
            <w:vAlign w:val="center"/>
          </w:tcPr>
          <w:p w14:paraId="454889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D8E7A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24.3390 </w:t>
            </w:r>
          </w:p>
        </w:tc>
        <w:tc>
          <w:tcPr>
            <w:tcW w:w="1353" w:type="dxa"/>
            <w:tcBorders>
              <w:tl2br w:val="nil"/>
              <w:tr2bl w:val="nil"/>
            </w:tcBorders>
            <w:shd w:val="clear" w:color="auto" w:fill="auto"/>
            <w:vAlign w:val="center"/>
          </w:tcPr>
          <w:p w14:paraId="19AC7F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258.2100 </w:t>
            </w:r>
          </w:p>
        </w:tc>
      </w:tr>
      <w:tr w14:paraId="4A9DE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09D92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1830 </w:t>
            </w:r>
          </w:p>
        </w:tc>
        <w:tc>
          <w:tcPr>
            <w:tcW w:w="1443" w:type="dxa"/>
            <w:tcBorders>
              <w:tl2br w:val="nil"/>
              <w:tr2bl w:val="nil"/>
            </w:tcBorders>
            <w:shd w:val="clear" w:color="auto" w:fill="auto"/>
            <w:vAlign w:val="center"/>
          </w:tcPr>
          <w:p w14:paraId="754BCD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24.4410 </w:t>
            </w:r>
          </w:p>
        </w:tc>
        <w:tc>
          <w:tcPr>
            <w:tcW w:w="1394" w:type="dxa"/>
            <w:tcBorders>
              <w:tl2br w:val="nil"/>
              <w:tr2bl w:val="nil"/>
            </w:tcBorders>
            <w:shd w:val="clear" w:color="auto" w:fill="auto"/>
            <w:vAlign w:val="center"/>
          </w:tcPr>
          <w:p w14:paraId="574B2E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256.2600 </w:t>
            </w:r>
          </w:p>
        </w:tc>
        <w:tc>
          <w:tcPr>
            <w:tcW w:w="1079" w:type="dxa"/>
            <w:tcBorders>
              <w:tl2br w:val="nil"/>
              <w:tr2bl w:val="nil"/>
            </w:tcBorders>
            <w:shd w:val="clear" w:color="auto" w:fill="auto"/>
            <w:vAlign w:val="center"/>
          </w:tcPr>
          <w:p w14:paraId="62D0E0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545E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24.4410 </w:t>
            </w:r>
          </w:p>
        </w:tc>
        <w:tc>
          <w:tcPr>
            <w:tcW w:w="1353" w:type="dxa"/>
            <w:tcBorders>
              <w:tl2br w:val="nil"/>
              <w:tr2bl w:val="nil"/>
            </w:tcBorders>
            <w:shd w:val="clear" w:color="auto" w:fill="auto"/>
            <w:vAlign w:val="center"/>
          </w:tcPr>
          <w:p w14:paraId="679243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256.2600 </w:t>
            </w:r>
          </w:p>
        </w:tc>
      </w:tr>
      <w:tr w14:paraId="4F3E2B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F9E60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1840 </w:t>
            </w:r>
          </w:p>
        </w:tc>
        <w:tc>
          <w:tcPr>
            <w:tcW w:w="1443" w:type="dxa"/>
            <w:tcBorders>
              <w:tl2br w:val="nil"/>
              <w:tr2bl w:val="nil"/>
            </w:tcBorders>
            <w:shd w:val="clear" w:color="auto" w:fill="auto"/>
            <w:vAlign w:val="center"/>
          </w:tcPr>
          <w:p w14:paraId="214B2A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24.5420 </w:t>
            </w:r>
          </w:p>
        </w:tc>
        <w:tc>
          <w:tcPr>
            <w:tcW w:w="1394" w:type="dxa"/>
            <w:tcBorders>
              <w:tl2br w:val="nil"/>
              <w:tr2bl w:val="nil"/>
            </w:tcBorders>
            <w:shd w:val="clear" w:color="auto" w:fill="auto"/>
            <w:vAlign w:val="center"/>
          </w:tcPr>
          <w:p w14:paraId="1B2EEB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254.3300 </w:t>
            </w:r>
          </w:p>
        </w:tc>
        <w:tc>
          <w:tcPr>
            <w:tcW w:w="1079" w:type="dxa"/>
            <w:tcBorders>
              <w:tl2br w:val="nil"/>
              <w:tr2bl w:val="nil"/>
            </w:tcBorders>
            <w:shd w:val="clear" w:color="auto" w:fill="auto"/>
            <w:vAlign w:val="center"/>
          </w:tcPr>
          <w:p w14:paraId="4A3F39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1946D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24.5420 </w:t>
            </w:r>
          </w:p>
        </w:tc>
        <w:tc>
          <w:tcPr>
            <w:tcW w:w="1353" w:type="dxa"/>
            <w:tcBorders>
              <w:tl2br w:val="nil"/>
              <w:tr2bl w:val="nil"/>
            </w:tcBorders>
            <w:shd w:val="clear" w:color="auto" w:fill="auto"/>
            <w:vAlign w:val="center"/>
          </w:tcPr>
          <w:p w14:paraId="144CDF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254.3300 </w:t>
            </w:r>
          </w:p>
        </w:tc>
      </w:tr>
      <w:tr w14:paraId="59DCBF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C391C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1850 </w:t>
            </w:r>
          </w:p>
        </w:tc>
        <w:tc>
          <w:tcPr>
            <w:tcW w:w="1443" w:type="dxa"/>
            <w:tcBorders>
              <w:tl2br w:val="nil"/>
              <w:tr2bl w:val="nil"/>
            </w:tcBorders>
            <w:shd w:val="clear" w:color="auto" w:fill="auto"/>
            <w:vAlign w:val="center"/>
          </w:tcPr>
          <w:p w14:paraId="419927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24.6430 </w:t>
            </w:r>
          </w:p>
        </w:tc>
        <w:tc>
          <w:tcPr>
            <w:tcW w:w="1394" w:type="dxa"/>
            <w:tcBorders>
              <w:tl2br w:val="nil"/>
              <w:tr2bl w:val="nil"/>
            </w:tcBorders>
            <w:shd w:val="clear" w:color="auto" w:fill="auto"/>
            <w:vAlign w:val="center"/>
          </w:tcPr>
          <w:p w14:paraId="58EEE3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252.4300 </w:t>
            </w:r>
          </w:p>
        </w:tc>
        <w:tc>
          <w:tcPr>
            <w:tcW w:w="1079" w:type="dxa"/>
            <w:tcBorders>
              <w:tl2br w:val="nil"/>
              <w:tr2bl w:val="nil"/>
            </w:tcBorders>
            <w:shd w:val="clear" w:color="auto" w:fill="auto"/>
            <w:vAlign w:val="center"/>
          </w:tcPr>
          <w:p w14:paraId="4CBB0B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05E63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24.6430 </w:t>
            </w:r>
          </w:p>
        </w:tc>
        <w:tc>
          <w:tcPr>
            <w:tcW w:w="1353" w:type="dxa"/>
            <w:tcBorders>
              <w:tl2br w:val="nil"/>
              <w:tr2bl w:val="nil"/>
            </w:tcBorders>
            <w:shd w:val="clear" w:color="auto" w:fill="auto"/>
            <w:vAlign w:val="center"/>
          </w:tcPr>
          <w:p w14:paraId="41B18C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252.4300 </w:t>
            </w:r>
          </w:p>
        </w:tc>
      </w:tr>
      <w:tr w14:paraId="72AF5A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CFB99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1860 </w:t>
            </w:r>
          </w:p>
        </w:tc>
        <w:tc>
          <w:tcPr>
            <w:tcW w:w="1443" w:type="dxa"/>
            <w:tcBorders>
              <w:tl2br w:val="nil"/>
              <w:tr2bl w:val="nil"/>
            </w:tcBorders>
            <w:shd w:val="clear" w:color="auto" w:fill="auto"/>
            <w:vAlign w:val="center"/>
          </w:tcPr>
          <w:p w14:paraId="010CBA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24.7440 </w:t>
            </w:r>
          </w:p>
        </w:tc>
        <w:tc>
          <w:tcPr>
            <w:tcW w:w="1394" w:type="dxa"/>
            <w:tcBorders>
              <w:tl2br w:val="nil"/>
              <w:tr2bl w:val="nil"/>
            </w:tcBorders>
            <w:shd w:val="clear" w:color="auto" w:fill="auto"/>
            <w:vAlign w:val="center"/>
          </w:tcPr>
          <w:p w14:paraId="6E1A2D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250.5400 </w:t>
            </w:r>
          </w:p>
        </w:tc>
        <w:tc>
          <w:tcPr>
            <w:tcW w:w="1079" w:type="dxa"/>
            <w:tcBorders>
              <w:tl2br w:val="nil"/>
              <w:tr2bl w:val="nil"/>
            </w:tcBorders>
            <w:shd w:val="clear" w:color="auto" w:fill="auto"/>
            <w:vAlign w:val="center"/>
          </w:tcPr>
          <w:p w14:paraId="1B3C1A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9D31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24.7440 </w:t>
            </w:r>
          </w:p>
        </w:tc>
        <w:tc>
          <w:tcPr>
            <w:tcW w:w="1353" w:type="dxa"/>
            <w:tcBorders>
              <w:tl2br w:val="nil"/>
              <w:tr2bl w:val="nil"/>
            </w:tcBorders>
            <w:shd w:val="clear" w:color="auto" w:fill="auto"/>
            <w:vAlign w:val="center"/>
          </w:tcPr>
          <w:p w14:paraId="4A75D4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250.5400 </w:t>
            </w:r>
          </w:p>
        </w:tc>
      </w:tr>
      <w:tr w14:paraId="051C5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24827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1870 </w:t>
            </w:r>
          </w:p>
        </w:tc>
        <w:tc>
          <w:tcPr>
            <w:tcW w:w="1443" w:type="dxa"/>
            <w:tcBorders>
              <w:tl2br w:val="nil"/>
              <w:tr2bl w:val="nil"/>
            </w:tcBorders>
            <w:shd w:val="clear" w:color="auto" w:fill="auto"/>
            <w:vAlign w:val="center"/>
          </w:tcPr>
          <w:p w14:paraId="394AC7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24.8450 </w:t>
            </w:r>
          </w:p>
        </w:tc>
        <w:tc>
          <w:tcPr>
            <w:tcW w:w="1394" w:type="dxa"/>
            <w:tcBorders>
              <w:tl2br w:val="nil"/>
              <w:tr2bl w:val="nil"/>
            </w:tcBorders>
            <w:shd w:val="clear" w:color="auto" w:fill="auto"/>
            <w:vAlign w:val="center"/>
          </w:tcPr>
          <w:p w14:paraId="3ACA45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248.6800 </w:t>
            </w:r>
          </w:p>
        </w:tc>
        <w:tc>
          <w:tcPr>
            <w:tcW w:w="1079" w:type="dxa"/>
            <w:tcBorders>
              <w:tl2br w:val="nil"/>
              <w:tr2bl w:val="nil"/>
            </w:tcBorders>
            <w:shd w:val="clear" w:color="auto" w:fill="auto"/>
            <w:vAlign w:val="center"/>
          </w:tcPr>
          <w:p w14:paraId="17D834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CB271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24.8450 </w:t>
            </w:r>
          </w:p>
        </w:tc>
        <w:tc>
          <w:tcPr>
            <w:tcW w:w="1353" w:type="dxa"/>
            <w:tcBorders>
              <w:tl2br w:val="nil"/>
              <w:tr2bl w:val="nil"/>
            </w:tcBorders>
            <w:shd w:val="clear" w:color="auto" w:fill="auto"/>
            <w:vAlign w:val="center"/>
          </w:tcPr>
          <w:p w14:paraId="449BEF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248.6800 </w:t>
            </w:r>
          </w:p>
        </w:tc>
      </w:tr>
      <w:tr w14:paraId="6725D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71D39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1880 </w:t>
            </w:r>
          </w:p>
        </w:tc>
        <w:tc>
          <w:tcPr>
            <w:tcW w:w="1443" w:type="dxa"/>
            <w:tcBorders>
              <w:tl2br w:val="nil"/>
              <w:tr2bl w:val="nil"/>
            </w:tcBorders>
            <w:shd w:val="clear" w:color="auto" w:fill="auto"/>
            <w:vAlign w:val="center"/>
          </w:tcPr>
          <w:p w14:paraId="5C0ABB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24.9460 </w:t>
            </w:r>
          </w:p>
        </w:tc>
        <w:tc>
          <w:tcPr>
            <w:tcW w:w="1394" w:type="dxa"/>
            <w:tcBorders>
              <w:tl2br w:val="nil"/>
              <w:tr2bl w:val="nil"/>
            </w:tcBorders>
            <w:shd w:val="clear" w:color="auto" w:fill="auto"/>
            <w:vAlign w:val="center"/>
          </w:tcPr>
          <w:p w14:paraId="398269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246.8500 </w:t>
            </w:r>
          </w:p>
        </w:tc>
        <w:tc>
          <w:tcPr>
            <w:tcW w:w="1079" w:type="dxa"/>
            <w:tcBorders>
              <w:tl2br w:val="nil"/>
              <w:tr2bl w:val="nil"/>
            </w:tcBorders>
            <w:shd w:val="clear" w:color="auto" w:fill="auto"/>
            <w:vAlign w:val="center"/>
          </w:tcPr>
          <w:p w14:paraId="2EBB8B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D63E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24.9460 </w:t>
            </w:r>
          </w:p>
        </w:tc>
        <w:tc>
          <w:tcPr>
            <w:tcW w:w="1353" w:type="dxa"/>
            <w:tcBorders>
              <w:tl2br w:val="nil"/>
              <w:tr2bl w:val="nil"/>
            </w:tcBorders>
            <w:shd w:val="clear" w:color="auto" w:fill="auto"/>
            <w:vAlign w:val="center"/>
          </w:tcPr>
          <w:p w14:paraId="41DC3C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246.8500 </w:t>
            </w:r>
          </w:p>
        </w:tc>
      </w:tr>
      <w:tr w14:paraId="0D458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286FD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1890 </w:t>
            </w:r>
          </w:p>
        </w:tc>
        <w:tc>
          <w:tcPr>
            <w:tcW w:w="1443" w:type="dxa"/>
            <w:tcBorders>
              <w:tl2br w:val="nil"/>
              <w:tr2bl w:val="nil"/>
            </w:tcBorders>
            <w:shd w:val="clear" w:color="auto" w:fill="auto"/>
            <w:vAlign w:val="center"/>
          </w:tcPr>
          <w:p w14:paraId="65B45D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25.0460 </w:t>
            </w:r>
          </w:p>
        </w:tc>
        <w:tc>
          <w:tcPr>
            <w:tcW w:w="1394" w:type="dxa"/>
            <w:tcBorders>
              <w:tl2br w:val="nil"/>
              <w:tr2bl w:val="nil"/>
            </w:tcBorders>
            <w:shd w:val="clear" w:color="auto" w:fill="auto"/>
            <w:vAlign w:val="center"/>
          </w:tcPr>
          <w:p w14:paraId="524576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245.0300 </w:t>
            </w:r>
          </w:p>
        </w:tc>
        <w:tc>
          <w:tcPr>
            <w:tcW w:w="1079" w:type="dxa"/>
            <w:tcBorders>
              <w:tl2br w:val="nil"/>
              <w:tr2bl w:val="nil"/>
            </w:tcBorders>
            <w:shd w:val="clear" w:color="auto" w:fill="auto"/>
            <w:vAlign w:val="center"/>
          </w:tcPr>
          <w:p w14:paraId="63D4F2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D5E4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25.0460 </w:t>
            </w:r>
          </w:p>
        </w:tc>
        <w:tc>
          <w:tcPr>
            <w:tcW w:w="1353" w:type="dxa"/>
            <w:tcBorders>
              <w:tl2br w:val="nil"/>
              <w:tr2bl w:val="nil"/>
            </w:tcBorders>
            <w:shd w:val="clear" w:color="auto" w:fill="auto"/>
            <w:vAlign w:val="center"/>
          </w:tcPr>
          <w:p w14:paraId="515E5D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245.0300 </w:t>
            </w:r>
          </w:p>
        </w:tc>
      </w:tr>
      <w:tr w14:paraId="01AC69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360B9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1900 </w:t>
            </w:r>
          </w:p>
        </w:tc>
        <w:tc>
          <w:tcPr>
            <w:tcW w:w="1443" w:type="dxa"/>
            <w:tcBorders>
              <w:tl2br w:val="nil"/>
              <w:tr2bl w:val="nil"/>
            </w:tcBorders>
            <w:shd w:val="clear" w:color="auto" w:fill="auto"/>
            <w:vAlign w:val="center"/>
          </w:tcPr>
          <w:p w14:paraId="6CE42D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25.1470 </w:t>
            </w:r>
          </w:p>
        </w:tc>
        <w:tc>
          <w:tcPr>
            <w:tcW w:w="1394" w:type="dxa"/>
            <w:tcBorders>
              <w:tl2br w:val="nil"/>
              <w:tr2bl w:val="nil"/>
            </w:tcBorders>
            <w:shd w:val="clear" w:color="auto" w:fill="auto"/>
            <w:vAlign w:val="center"/>
          </w:tcPr>
          <w:p w14:paraId="33A54D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243.2300 </w:t>
            </w:r>
          </w:p>
        </w:tc>
        <w:tc>
          <w:tcPr>
            <w:tcW w:w="1079" w:type="dxa"/>
            <w:tcBorders>
              <w:tl2br w:val="nil"/>
              <w:tr2bl w:val="nil"/>
            </w:tcBorders>
            <w:shd w:val="clear" w:color="auto" w:fill="auto"/>
            <w:vAlign w:val="center"/>
          </w:tcPr>
          <w:p w14:paraId="6562C1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9FFCD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25.1470 </w:t>
            </w:r>
          </w:p>
        </w:tc>
        <w:tc>
          <w:tcPr>
            <w:tcW w:w="1353" w:type="dxa"/>
            <w:tcBorders>
              <w:tl2br w:val="nil"/>
              <w:tr2bl w:val="nil"/>
            </w:tcBorders>
            <w:shd w:val="clear" w:color="auto" w:fill="auto"/>
            <w:vAlign w:val="center"/>
          </w:tcPr>
          <w:p w14:paraId="739C6F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243.2300 </w:t>
            </w:r>
          </w:p>
        </w:tc>
      </w:tr>
      <w:tr w14:paraId="43AD1F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FEE6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1910 </w:t>
            </w:r>
          </w:p>
        </w:tc>
        <w:tc>
          <w:tcPr>
            <w:tcW w:w="1443" w:type="dxa"/>
            <w:tcBorders>
              <w:tl2br w:val="nil"/>
              <w:tr2bl w:val="nil"/>
            </w:tcBorders>
            <w:shd w:val="clear" w:color="auto" w:fill="auto"/>
            <w:vAlign w:val="center"/>
          </w:tcPr>
          <w:p w14:paraId="16C23F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25.2470 </w:t>
            </w:r>
          </w:p>
        </w:tc>
        <w:tc>
          <w:tcPr>
            <w:tcW w:w="1394" w:type="dxa"/>
            <w:tcBorders>
              <w:tl2br w:val="nil"/>
              <w:tr2bl w:val="nil"/>
            </w:tcBorders>
            <w:shd w:val="clear" w:color="auto" w:fill="auto"/>
            <w:vAlign w:val="center"/>
          </w:tcPr>
          <w:p w14:paraId="63FE78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241.4500 </w:t>
            </w:r>
          </w:p>
        </w:tc>
        <w:tc>
          <w:tcPr>
            <w:tcW w:w="1079" w:type="dxa"/>
            <w:tcBorders>
              <w:tl2br w:val="nil"/>
              <w:tr2bl w:val="nil"/>
            </w:tcBorders>
            <w:shd w:val="clear" w:color="auto" w:fill="auto"/>
            <w:vAlign w:val="center"/>
          </w:tcPr>
          <w:p w14:paraId="740FDB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E823D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25.2470 </w:t>
            </w:r>
          </w:p>
        </w:tc>
        <w:tc>
          <w:tcPr>
            <w:tcW w:w="1353" w:type="dxa"/>
            <w:tcBorders>
              <w:tl2br w:val="nil"/>
              <w:tr2bl w:val="nil"/>
            </w:tcBorders>
            <w:shd w:val="clear" w:color="auto" w:fill="auto"/>
            <w:vAlign w:val="center"/>
          </w:tcPr>
          <w:p w14:paraId="3F44B4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241.4500 </w:t>
            </w:r>
          </w:p>
        </w:tc>
      </w:tr>
      <w:tr w14:paraId="0EF77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E11D1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1920 </w:t>
            </w:r>
          </w:p>
        </w:tc>
        <w:tc>
          <w:tcPr>
            <w:tcW w:w="1443" w:type="dxa"/>
            <w:tcBorders>
              <w:tl2br w:val="nil"/>
              <w:tr2bl w:val="nil"/>
            </w:tcBorders>
            <w:shd w:val="clear" w:color="auto" w:fill="auto"/>
            <w:vAlign w:val="center"/>
          </w:tcPr>
          <w:p w14:paraId="41D072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25.3470 </w:t>
            </w:r>
          </w:p>
        </w:tc>
        <w:tc>
          <w:tcPr>
            <w:tcW w:w="1394" w:type="dxa"/>
            <w:tcBorders>
              <w:tl2br w:val="nil"/>
              <w:tr2bl w:val="nil"/>
            </w:tcBorders>
            <w:shd w:val="clear" w:color="auto" w:fill="auto"/>
            <w:vAlign w:val="center"/>
          </w:tcPr>
          <w:p w14:paraId="5E2F53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239.7000 </w:t>
            </w:r>
          </w:p>
        </w:tc>
        <w:tc>
          <w:tcPr>
            <w:tcW w:w="1079" w:type="dxa"/>
            <w:tcBorders>
              <w:tl2br w:val="nil"/>
              <w:tr2bl w:val="nil"/>
            </w:tcBorders>
            <w:shd w:val="clear" w:color="auto" w:fill="auto"/>
            <w:vAlign w:val="center"/>
          </w:tcPr>
          <w:p w14:paraId="1A77CC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BB8C1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25.3470 </w:t>
            </w:r>
          </w:p>
        </w:tc>
        <w:tc>
          <w:tcPr>
            <w:tcW w:w="1353" w:type="dxa"/>
            <w:tcBorders>
              <w:tl2br w:val="nil"/>
              <w:tr2bl w:val="nil"/>
            </w:tcBorders>
            <w:shd w:val="clear" w:color="auto" w:fill="auto"/>
            <w:vAlign w:val="center"/>
          </w:tcPr>
          <w:p w14:paraId="327173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239.7000 </w:t>
            </w:r>
          </w:p>
        </w:tc>
      </w:tr>
      <w:tr w14:paraId="7B352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A00B6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1930 </w:t>
            </w:r>
          </w:p>
        </w:tc>
        <w:tc>
          <w:tcPr>
            <w:tcW w:w="1443" w:type="dxa"/>
            <w:tcBorders>
              <w:tl2br w:val="nil"/>
              <w:tr2bl w:val="nil"/>
            </w:tcBorders>
            <w:shd w:val="clear" w:color="auto" w:fill="auto"/>
            <w:vAlign w:val="center"/>
          </w:tcPr>
          <w:p w14:paraId="45DAB6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25.4480 </w:t>
            </w:r>
          </w:p>
        </w:tc>
        <w:tc>
          <w:tcPr>
            <w:tcW w:w="1394" w:type="dxa"/>
            <w:tcBorders>
              <w:tl2br w:val="nil"/>
              <w:tr2bl w:val="nil"/>
            </w:tcBorders>
            <w:shd w:val="clear" w:color="auto" w:fill="auto"/>
            <w:vAlign w:val="center"/>
          </w:tcPr>
          <w:p w14:paraId="7BAB22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237.9600 </w:t>
            </w:r>
          </w:p>
        </w:tc>
        <w:tc>
          <w:tcPr>
            <w:tcW w:w="1079" w:type="dxa"/>
            <w:tcBorders>
              <w:tl2br w:val="nil"/>
              <w:tr2bl w:val="nil"/>
            </w:tcBorders>
            <w:shd w:val="clear" w:color="auto" w:fill="auto"/>
            <w:vAlign w:val="center"/>
          </w:tcPr>
          <w:p w14:paraId="5B81A0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2263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25.4480 </w:t>
            </w:r>
          </w:p>
        </w:tc>
        <w:tc>
          <w:tcPr>
            <w:tcW w:w="1353" w:type="dxa"/>
            <w:tcBorders>
              <w:tl2br w:val="nil"/>
              <w:tr2bl w:val="nil"/>
            </w:tcBorders>
            <w:shd w:val="clear" w:color="auto" w:fill="auto"/>
            <w:vAlign w:val="center"/>
          </w:tcPr>
          <w:p w14:paraId="1DFB6F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237.9600 </w:t>
            </w:r>
          </w:p>
        </w:tc>
      </w:tr>
      <w:tr w14:paraId="6ABDCA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1A0E8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1940 </w:t>
            </w:r>
          </w:p>
        </w:tc>
        <w:tc>
          <w:tcPr>
            <w:tcW w:w="1443" w:type="dxa"/>
            <w:tcBorders>
              <w:tl2br w:val="nil"/>
              <w:tr2bl w:val="nil"/>
            </w:tcBorders>
            <w:shd w:val="clear" w:color="auto" w:fill="auto"/>
            <w:vAlign w:val="center"/>
          </w:tcPr>
          <w:p w14:paraId="40695E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25.5480 </w:t>
            </w:r>
          </w:p>
        </w:tc>
        <w:tc>
          <w:tcPr>
            <w:tcW w:w="1394" w:type="dxa"/>
            <w:tcBorders>
              <w:tl2br w:val="nil"/>
              <w:tr2bl w:val="nil"/>
            </w:tcBorders>
            <w:shd w:val="clear" w:color="auto" w:fill="auto"/>
            <w:vAlign w:val="center"/>
          </w:tcPr>
          <w:p w14:paraId="50E5A9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236.2500 </w:t>
            </w:r>
          </w:p>
        </w:tc>
        <w:tc>
          <w:tcPr>
            <w:tcW w:w="1079" w:type="dxa"/>
            <w:tcBorders>
              <w:tl2br w:val="nil"/>
              <w:tr2bl w:val="nil"/>
            </w:tcBorders>
            <w:shd w:val="clear" w:color="auto" w:fill="auto"/>
            <w:vAlign w:val="center"/>
          </w:tcPr>
          <w:p w14:paraId="7F4FB4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2EAF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25.5480 </w:t>
            </w:r>
          </w:p>
        </w:tc>
        <w:tc>
          <w:tcPr>
            <w:tcW w:w="1353" w:type="dxa"/>
            <w:tcBorders>
              <w:tl2br w:val="nil"/>
              <w:tr2bl w:val="nil"/>
            </w:tcBorders>
            <w:shd w:val="clear" w:color="auto" w:fill="auto"/>
            <w:vAlign w:val="center"/>
          </w:tcPr>
          <w:p w14:paraId="60A700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236.2500 </w:t>
            </w:r>
          </w:p>
        </w:tc>
      </w:tr>
      <w:tr w14:paraId="05670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AD5E5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1950 </w:t>
            </w:r>
          </w:p>
        </w:tc>
        <w:tc>
          <w:tcPr>
            <w:tcW w:w="1443" w:type="dxa"/>
            <w:tcBorders>
              <w:tl2br w:val="nil"/>
              <w:tr2bl w:val="nil"/>
            </w:tcBorders>
            <w:shd w:val="clear" w:color="auto" w:fill="auto"/>
            <w:vAlign w:val="center"/>
          </w:tcPr>
          <w:p w14:paraId="00F626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25.6480 </w:t>
            </w:r>
          </w:p>
        </w:tc>
        <w:tc>
          <w:tcPr>
            <w:tcW w:w="1394" w:type="dxa"/>
            <w:tcBorders>
              <w:tl2br w:val="nil"/>
              <w:tr2bl w:val="nil"/>
            </w:tcBorders>
            <w:shd w:val="clear" w:color="auto" w:fill="auto"/>
            <w:vAlign w:val="center"/>
          </w:tcPr>
          <w:p w14:paraId="5E9DE0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234.5500 </w:t>
            </w:r>
          </w:p>
        </w:tc>
        <w:tc>
          <w:tcPr>
            <w:tcW w:w="1079" w:type="dxa"/>
            <w:tcBorders>
              <w:tl2br w:val="nil"/>
              <w:tr2bl w:val="nil"/>
            </w:tcBorders>
            <w:shd w:val="clear" w:color="auto" w:fill="auto"/>
            <w:vAlign w:val="center"/>
          </w:tcPr>
          <w:p w14:paraId="1A1F82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F03A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25.6480 </w:t>
            </w:r>
          </w:p>
        </w:tc>
        <w:tc>
          <w:tcPr>
            <w:tcW w:w="1353" w:type="dxa"/>
            <w:tcBorders>
              <w:tl2br w:val="nil"/>
              <w:tr2bl w:val="nil"/>
            </w:tcBorders>
            <w:shd w:val="clear" w:color="auto" w:fill="auto"/>
            <w:vAlign w:val="center"/>
          </w:tcPr>
          <w:p w14:paraId="0F2AFA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234.5500 </w:t>
            </w:r>
          </w:p>
        </w:tc>
      </w:tr>
      <w:tr w14:paraId="0E41E0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CEFB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1960 </w:t>
            </w:r>
          </w:p>
        </w:tc>
        <w:tc>
          <w:tcPr>
            <w:tcW w:w="1443" w:type="dxa"/>
            <w:tcBorders>
              <w:tl2br w:val="nil"/>
              <w:tr2bl w:val="nil"/>
            </w:tcBorders>
            <w:shd w:val="clear" w:color="auto" w:fill="auto"/>
            <w:vAlign w:val="center"/>
          </w:tcPr>
          <w:p w14:paraId="73316B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25.7480 </w:t>
            </w:r>
          </w:p>
        </w:tc>
        <w:tc>
          <w:tcPr>
            <w:tcW w:w="1394" w:type="dxa"/>
            <w:tcBorders>
              <w:tl2br w:val="nil"/>
              <w:tr2bl w:val="nil"/>
            </w:tcBorders>
            <w:shd w:val="clear" w:color="auto" w:fill="auto"/>
            <w:vAlign w:val="center"/>
          </w:tcPr>
          <w:p w14:paraId="6AAE7B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232.8700 </w:t>
            </w:r>
          </w:p>
        </w:tc>
        <w:tc>
          <w:tcPr>
            <w:tcW w:w="1079" w:type="dxa"/>
            <w:tcBorders>
              <w:tl2br w:val="nil"/>
              <w:tr2bl w:val="nil"/>
            </w:tcBorders>
            <w:shd w:val="clear" w:color="auto" w:fill="auto"/>
            <w:vAlign w:val="center"/>
          </w:tcPr>
          <w:p w14:paraId="72C8ED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BA8A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25.7480 </w:t>
            </w:r>
          </w:p>
        </w:tc>
        <w:tc>
          <w:tcPr>
            <w:tcW w:w="1353" w:type="dxa"/>
            <w:tcBorders>
              <w:tl2br w:val="nil"/>
              <w:tr2bl w:val="nil"/>
            </w:tcBorders>
            <w:shd w:val="clear" w:color="auto" w:fill="auto"/>
            <w:vAlign w:val="center"/>
          </w:tcPr>
          <w:p w14:paraId="716F73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232.8700 </w:t>
            </w:r>
          </w:p>
        </w:tc>
      </w:tr>
      <w:tr w14:paraId="4FDA8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231AA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1970 </w:t>
            </w:r>
          </w:p>
        </w:tc>
        <w:tc>
          <w:tcPr>
            <w:tcW w:w="1443" w:type="dxa"/>
            <w:tcBorders>
              <w:tl2br w:val="nil"/>
              <w:tr2bl w:val="nil"/>
            </w:tcBorders>
            <w:shd w:val="clear" w:color="auto" w:fill="auto"/>
            <w:vAlign w:val="center"/>
          </w:tcPr>
          <w:p w14:paraId="515538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25.8470 </w:t>
            </w:r>
          </w:p>
        </w:tc>
        <w:tc>
          <w:tcPr>
            <w:tcW w:w="1394" w:type="dxa"/>
            <w:tcBorders>
              <w:tl2br w:val="nil"/>
              <w:tr2bl w:val="nil"/>
            </w:tcBorders>
            <w:shd w:val="clear" w:color="auto" w:fill="auto"/>
            <w:vAlign w:val="center"/>
          </w:tcPr>
          <w:p w14:paraId="3168B9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231.2100 </w:t>
            </w:r>
          </w:p>
        </w:tc>
        <w:tc>
          <w:tcPr>
            <w:tcW w:w="1079" w:type="dxa"/>
            <w:tcBorders>
              <w:tl2br w:val="nil"/>
              <w:tr2bl w:val="nil"/>
            </w:tcBorders>
            <w:shd w:val="clear" w:color="auto" w:fill="auto"/>
            <w:vAlign w:val="center"/>
          </w:tcPr>
          <w:p w14:paraId="777209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E1CA5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25.8470 </w:t>
            </w:r>
          </w:p>
        </w:tc>
        <w:tc>
          <w:tcPr>
            <w:tcW w:w="1353" w:type="dxa"/>
            <w:tcBorders>
              <w:tl2br w:val="nil"/>
              <w:tr2bl w:val="nil"/>
            </w:tcBorders>
            <w:shd w:val="clear" w:color="auto" w:fill="auto"/>
            <w:vAlign w:val="center"/>
          </w:tcPr>
          <w:p w14:paraId="4AB944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231.2100 </w:t>
            </w:r>
          </w:p>
        </w:tc>
      </w:tr>
      <w:tr w14:paraId="3B514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3B03A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1980 </w:t>
            </w:r>
          </w:p>
        </w:tc>
        <w:tc>
          <w:tcPr>
            <w:tcW w:w="1443" w:type="dxa"/>
            <w:tcBorders>
              <w:tl2br w:val="nil"/>
              <w:tr2bl w:val="nil"/>
            </w:tcBorders>
            <w:shd w:val="clear" w:color="auto" w:fill="auto"/>
            <w:vAlign w:val="center"/>
          </w:tcPr>
          <w:p w14:paraId="6FD14F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25.9470 </w:t>
            </w:r>
          </w:p>
        </w:tc>
        <w:tc>
          <w:tcPr>
            <w:tcW w:w="1394" w:type="dxa"/>
            <w:tcBorders>
              <w:tl2br w:val="nil"/>
              <w:tr2bl w:val="nil"/>
            </w:tcBorders>
            <w:shd w:val="clear" w:color="auto" w:fill="auto"/>
            <w:vAlign w:val="center"/>
          </w:tcPr>
          <w:p w14:paraId="76D215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229.5700 </w:t>
            </w:r>
          </w:p>
        </w:tc>
        <w:tc>
          <w:tcPr>
            <w:tcW w:w="1079" w:type="dxa"/>
            <w:tcBorders>
              <w:tl2br w:val="nil"/>
              <w:tr2bl w:val="nil"/>
            </w:tcBorders>
            <w:shd w:val="clear" w:color="auto" w:fill="auto"/>
            <w:vAlign w:val="center"/>
          </w:tcPr>
          <w:p w14:paraId="3880C5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17928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25.9470 </w:t>
            </w:r>
          </w:p>
        </w:tc>
        <w:tc>
          <w:tcPr>
            <w:tcW w:w="1353" w:type="dxa"/>
            <w:tcBorders>
              <w:tl2br w:val="nil"/>
              <w:tr2bl w:val="nil"/>
            </w:tcBorders>
            <w:shd w:val="clear" w:color="auto" w:fill="auto"/>
            <w:vAlign w:val="center"/>
          </w:tcPr>
          <w:p w14:paraId="34C05D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229.5700 </w:t>
            </w:r>
          </w:p>
        </w:tc>
      </w:tr>
      <w:tr w14:paraId="670FC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9507F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1990 </w:t>
            </w:r>
          </w:p>
        </w:tc>
        <w:tc>
          <w:tcPr>
            <w:tcW w:w="1443" w:type="dxa"/>
            <w:tcBorders>
              <w:tl2br w:val="nil"/>
              <w:tr2bl w:val="nil"/>
            </w:tcBorders>
            <w:shd w:val="clear" w:color="auto" w:fill="auto"/>
            <w:vAlign w:val="center"/>
          </w:tcPr>
          <w:p w14:paraId="3B920E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26.0470 </w:t>
            </w:r>
          </w:p>
        </w:tc>
        <w:tc>
          <w:tcPr>
            <w:tcW w:w="1394" w:type="dxa"/>
            <w:tcBorders>
              <w:tl2br w:val="nil"/>
              <w:tr2bl w:val="nil"/>
            </w:tcBorders>
            <w:shd w:val="clear" w:color="auto" w:fill="auto"/>
            <w:vAlign w:val="center"/>
          </w:tcPr>
          <w:p w14:paraId="73B627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227.9500 </w:t>
            </w:r>
          </w:p>
        </w:tc>
        <w:tc>
          <w:tcPr>
            <w:tcW w:w="1079" w:type="dxa"/>
            <w:tcBorders>
              <w:tl2br w:val="nil"/>
              <w:tr2bl w:val="nil"/>
            </w:tcBorders>
            <w:shd w:val="clear" w:color="auto" w:fill="auto"/>
            <w:vAlign w:val="center"/>
          </w:tcPr>
          <w:p w14:paraId="033484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6A19E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26.0470 </w:t>
            </w:r>
          </w:p>
        </w:tc>
        <w:tc>
          <w:tcPr>
            <w:tcW w:w="1353" w:type="dxa"/>
            <w:tcBorders>
              <w:tl2br w:val="nil"/>
              <w:tr2bl w:val="nil"/>
            </w:tcBorders>
            <w:shd w:val="clear" w:color="auto" w:fill="auto"/>
            <w:vAlign w:val="center"/>
          </w:tcPr>
          <w:p w14:paraId="004A6C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227.9500 </w:t>
            </w:r>
          </w:p>
        </w:tc>
      </w:tr>
      <w:tr w14:paraId="5350B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E733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2000 </w:t>
            </w:r>
          </w:p>
        </w:tc>
        <w:tc>
          <w:tcPr>
            <w:tcW w:w="1443" w:type="dxa"/>
            <w:tcBorders>
              <w:tl2br w:val="nil"/>
              <w:tr2bl w:val="nil"/>
            </w:tcBorders>
            <w:shd w:val="clear" w:color="auto" w:fill="auto"/>
            <w:vAlign w:val="center"/>
          </w:tcPr>
          <w:p w14:paraId="688A4D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26.1460 </w:t>
            </w:r>
          </w:p>
        </w:tc>
        <w:tc>
          <w:tcPr>
            <w:tcW w:w="1394" w:type="dxa"/>
            <w:tcBorders>
              <w:tl2br w:val="nil"/>
              <w:tr2bl w:val="nil"/>
            </w:tcBorders>
            <w:shd w:val="clear" w:color="auto" w:fill="auto"/>
            <w:vAlign w:val="center"/>
          </w:tcPr>
          <w:p w14:paraId="35EB43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226.3500 </w:t>
            </w:r>
          </w:p>
        </w:tc>
        <w:tc>
          <w:tcPr>
            <w:tcW w:w="1079" w:type="dxa"/>
            <w:tcBorders>
              <w:tl2br w:val="nil"/>
              <w:tr2bl w:val="nil"/>
            </w:tcBorders>
            <w:shd w:val="clear" w:color="auto" w:fill="auto"/>
            <w:vAlign w:val="center"/>
          </w:tcPr>
          <w:p w14:paraId="4F8C23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27190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26.1460 </w:t>
            </w:r>
          </w:p>
        </w:tc>
        <w:tc>
          <w:tcPr>
            <w:tcW w:w="1353" w:type="dxa"/>
            <w:tcBorders>
              <w:tl2br w:val="nil"/>
              <w:tr2bl w:val="nil"/>
            </w:tcBorders>
            <w:shd w:val="clear" w:color="auto" w:fill="auto"/>
            <w:vAlign w:val="center"/>
          </w:tcPr>
          <w:p w14:paraId="6E1F81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226.3500 </w:t>
            </w:r>
          </w:p>
        </w:tc>
      </w:tr>
      <w:tr w14:paraId="087E05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2583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2010 </w:t>
            </w:r>
          </w:p>
        </w:tc>
        <w:tc>
          <w:tcPr>
            <w:tcW w:w="1443" w:type="dxa"/>
            <w:tcBorders>
              <w:tl2br w:val="nil"/>
              <w:tr2bl w:val="nil"/>
            </w:tcBorders>
            <w:shd w:val="clear" w:color="auto" w:fill="auto"/>
            <w:vAlign w:val="center"/>
          </w:tcPr>
          <w:p w14:paraId="612421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26.2450 </w:t>
            </w:r>
          </w:p>
        </w:tc>
        <w:tc>
          <w:tcPr>
            <w:tcW w:w="1394" w:type="dxa"/>
            <w:tcBorders>
              <w:tl2br w:val="nil"/>
              <w:tr2bl w:val="nil"/>
            </w:tcBorders>
            <w:shd w:val="clear" w:color="auto" w:fill="auto"/>
            <w:vAlign w:val="center"/>
          </w:tcPr>
          <w:p w14:paraId="09C6AD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224.7600 </w:t>
            </w:r>
          </w:p>
        </w:tc>
        <w:tc>
          <w:tcPr>
            <w:tcW w:w="1079" w:type="dxa"/>
            <w:tcBorders>
              <w:tl2br w:val="nil"/>
              <w:tr2bl w:val="nil"/>
            </w:tcBorders>
            <w:shd w:val="clear" w:color="auto" w:fill="auto"/>
            <w:vAlign w:val="center"/>
          </w:tcPr>
          <w:p w14:paraId="140726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8570C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26.2450 </w:t>
            </w:r>
          </w:p>
        </w:tc>
        <w:tc>
          <w:tcPr>
            <w:tcW w:w="1353" w:type="dxa"/>
            <w:tcBorders>
              <w:tl2br w:val="nil"/>
              <w:tr2bl w:val="nil"/>
            </w:tcBorders>
            <w:shd w:val="clear" w:color="auto" w:fill="auto"/>
            <w:vAlign w:val="center"/>
          </w:tcPr>
          <w:p w14:paraId="5D0260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224.7600 </w:t>
            </w:r>
          </w:p>
        </w:tc>
      </w:tr>
      <w:tr w14:paraId="24C8A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EC26F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2020 </w:t>
            </w:r>
          </w:p>
        </w:tc>
        <w:tc>
          <w:tcPr>
            <w:tcW w:w="1443" w:type="dxa"/>
            <w:tcBorders>
              <w:tl2br w:val="nil"/>
              <w:tr2bl w:val="nil"/>
            </w:tcBorders>
            <w:shd w:val="clear" w:color="auto" w:fill="auto"/>
            <w:vAlign w:val="center"/>
          </w:tcPr>
          <w:p w14:paraId="642D07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26.3450 </w:t>
            </w:r>
          </w:p>
        </w:tc>
        <w:tc>
          <w:tcPr>
            <w:tcW w:w="1394" w:type="dxa"/>
            <w:tcBorders>
              <w:tl2br w:val="nil"/>
              <w:tr2bl w:val="nil"/>
            </w:tcBorders>
            <w:shd w:val="clear" w:color="auto" w:fill="auto"/>
            <w:vAlign w:val="center"/>
          </w:tcPr>
          <w:p w14:paraId="5B2908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223.1900 </w:t>
            </w:r>
          </w:p>
        </w:tc>
        <w:tc>
          <w:tcPr>
            <w:tcW w:w="1079" w:type="dxa"/>
            <w:tcBorders>
              <w:tl2br w:val="nil"/>
              <w:tr2bl w:val="nil"/>
            </w:tcBorders>
            <w:shd w:val="clear" w:color="auto" w:fill="auto"/>
            <w:vAlign w:val="center"/>
          </w:tcPr>
          <w:p w14:paraId="732E3E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2BEF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26.3450 </w:t>
            </w:r>
          </w:p>
        </w:tc>
        <w:tc>
          <w:tcPr>
            <w:tcW w:w="1353" w:type="dxa"/>
            <w:tcBorders>
              <w:tl2br w:val="nil"/>
              <w:tr2bl w:val="nil"/>
            </w:tcBorders>
            <w:shd w:val="clear" w:color="auto" w:fill="auto"/>
            <w:vAlign w:val="center"/>
          </w:tcPr>
          <w:p w14:paraId="5EE2D0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223.1900 </w:t>
            </w:r>
          </w:p>
        </w:tc>
      </w:tr>
      <w:tr w14:paraId="14385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1447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2030 </w:t>
            </w:r>
          </w:p>
        </w:tc>
        <w:tc>
          <w:tcPr>
            <w:tcW w:w="1443" w:type="dxa"/>
            <w:tcBorders>
              <w:tl2br w:val="nil"/>
              <w:tr2bl w:val="nil"/>
            </w:tcBorders>
            <w:shd w:val="clear" w:color="auto" w:fill="auto"/>
            <w:vAlign w:val="center"/>
          </w:tcPr>
          <w:p w14:paraId="188512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26.4440 </w:t>
            </w:r>
          </w:p>
        </w:tc>
        <w:tc>
          <w:tcPr>
            <w:tcW w:w="1394" w:type="dxa"/>
            <w:tcBorders>
              <w:tl2br w:val="nil"/>
              <w:tr2bl w:val="nil"/>
            </w:tcBorders>
            <w:shd w:val="clear" w:color="auto" w:fill="auto"/>
            <w:vAlign w:val="center"/>
          </w:tcPr>
          <w:p w14:paraId="39B230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221.6400 </w:t>
            </w:r>
          </w:p>
        </w:tc>
        <w:tc>
          <w:tcPr>
            <w:tcW w:w="1079" w:type="dxa"/>
            <w:tcBorders>
              <w:tl2br w:val="nil"/>
              <w:tr2bl w:val="nil"/>
            </w:tcBorders>
            <w:shd w:val="clear" w:color="auto" w:fill="auto"/>
            <w:vAlign w:val="center"/>
          </w:tcPr>
          <w:p w14:paraId="41FED5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6288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26.4440 </w:t>
            </w:r>
          </w:p>
        </w:tc>
        <w:tc>
          <w:tcPr>
            <w:tcW w:w="1353" w:type="dxa"/>
            <w:tcBorders>
              <w:tl2br w:val="nil"/>
              <w:tr2bl w:val="nil"/>
            </w:tcBorders>
            <w:shd w:val="clear" w:color="auto" w:fill="auto"/>
            <w:vAlign w:val="center"/>
          </w:tcPr>
          <w:p w14:paraId="3BF8C4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221.6400 </w:t>
            </w:r>
          </w:p>
        </w:tc>
      </w:tr>
      <w:tr w14:paraId="208790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79C8F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2040 </w:t>
            </w:r>
          </w:p>
        </w:tc>
        <w:tc>
          <w:tcPr>
            <w:tcW w:w="1443" w:type="dxa"/>
            <w:tcBorders>
              <w:tl2br w:val="nil"/>
              <w:tr2bl w:val="nil"/>
            </w:tcBorders>
            <w:shd w:val="clear" w:color="auto" w:fill="auto"/>
            <w:vAlign w:val="center"/>
          </w:tcPr>
          <w:p w14:paraId="228E60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26.5430 </w:t>
            </w:r>
          </w:p>
        </w:tc>
        <w:tc>
          <w:tcPr>
            <w:tcW w:w="1394" w:type="dxa"/>
            <w:tcBorders>
              <w:tl2br w:val="nil"/>
              <w:tr2bl w:val="nil"/>
            </w:tcBorders>
            <w:shd w:val="clear" w:color="auto" w:fill="auto"/>
            <w:vAlign w:val="center"/>
          </w:tcPr>
          <w:p w14:paraId="11748D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220.1100 </w:t>
            </w:r>
          </w:p>
        </w:tc>
        <w:tc>
          <w:tcPr>
            <w:tcW w:w="1079" w:type="dxa"/>
            <w:tcBorders>
              <w:tl2br w:val="nil"/>
              <w:tr2bl w:val="nil"/>
            </w:tcBorders>
            <w:shd w:val="clear" w:color="auto" w:fill="auto"/>
            <w:vAlign w:val="center"/>
          </w:tcPr>
          <w:p w14:paraId="04B421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5407E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26.5430 </w:t>
            </w:r>
          </w:p>
        </w:tc>
        <w:tc>
          <w:tcPr>
            <w:tcW w:w="1353" w:type="dxa"/>
            <w:tcBorders>
              <w:tl2br w:val="nil"/>
              <w:tr2bl w:val="nil"/>
            </w:tcBorders>
            <w:shd w:val="clear" w:color="auto" w:fill="auto"/>
            <w:vAlign w:val="center"/>
          </w:tcPr>
          <w:p w14:paraId="0BF7EA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220.1100 </w:t>
            </w:r>
          </w:p>
        </w:tc>
      </w:tr>
      <w:tr w14:paraId="5F26C7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024CA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2050 </w:t>
            </w:r>
          </w:p>
        </w:tc>
        <w:tc>
          <w:tcPr>
            <w:tcW w:w="1443" w:type="dxa"/>
            <w:tcBorders>
              <w:tl2br w:val="nil"/>
              <w:tr2bl w:val="nil"/>
            </w:tcBorders>
            <w:shd w:val="clear" w:color="auto" w:fill="auto"/>
            <w:vAlign w:val="center"/>
          </w:tcPr>
          <w:p w14:paraId="1A98B9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26.6420 </w:t>
            </w:r>
          </w:p>
        </w:tc>
        <w:tc>
          <w:tcPr>
            <w:tcW w:w="1394" w:type="dxa"/>
            <w:tcBorders>
              <w:tl2br w:val="nil"/>
              <w:tr2bl w:val="nil"/>
            </w:tcBorders>
            <w:shd w:val="clear" w:color="auto" w:fill="auto"/>
            <w:vAlign w:val="center"/>
          </w:tcPr>
          <w:p w14:paraId="7F8207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218.5900 </w:t>
            </w:r>
          </w:p>
        </w:tc>
        <w:tc>
          <w:tcPr>
            <w:tcW w:w="1079" w:type="dxa"/>
            <w:tcBorders>
              <w:tl2br w:val="nil"/>
              <w:tr2bl w:val="nil"/>
            </w:tcBorders>
            <w:shd w:val="clear" w:color="auto" w:fill="auto"/>
            <w:vAlign w:val="center"/>
          </w:tcPr>
          <w:p w14:paraId="18A236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1BFBB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26.6420 </w:t>
            </w:r>
          </w:p>
        </w:tc>
        <w:tc>
          <w:tcPr>
            <w:tcW w:w="1353" w:type="dxa"/>
            <w:tcBorders>
              <w:tl2br w:val="nil"/>
              <w:tr2bl w:val="nil"/>
            </w:tcBorders>
            <w:shd w:val="clear" w:color="auto" w:fill="auto"/>
            <w:vAlign w:val="center"/>
          </w:tcPr>
          <w:p w14:paraId="6CB570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218.5900 </w:t>
            </w:r>
          </w:p>
        </w:tc>
      </w:tr>
      <w:tr w14:paraId="615EF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A7299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2060 </w:t>
            </w:r>
          </w:p>
        </w:tc>
        <w:tc>
          <w:tcPr>
            <w:tcW w:w="1443" w:type="dxa"/>
            <w:tcBorders>
              <w:tl2br w:val="nil"/>
              <w:tr2bl w:val="nil"/>
            </w:tcBorders>
            <w:shd w:val="clear" w:color="auto" w:fill="auto"/>
            <w:vAlign w:val="center"/>
          </w:tcPr>
          <w:p w14:paraId="239DE6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26.7400 </w:t>
            </w:r>
          </w:p>
        </w:tc>
        <w:tc>
          <w:tcPr>
            <w:tcW w:w="1394" w:type="dxa"/>
            <w:tcBorders>
              <w:tl2br w:val="nil"/>
              <w:tr2bl w:val="nil"/>
            </w:tcBorders>
            <w:shd w:val="clear" w:color="auto" w:fill="auto"/>
            <w:vAlign w:val="center"/>
          </w:tcPr>
          <w:p w14:paraId="332E97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217.0900 </w:t>
            </w:r>
          </w:p>
        </w:tc>
        <w:tc>
          <w:tcPr>
            <w:tcW w:w="1079" w:type="dxa"/>
            <w:tcBorders>
              <w:tl2br w:val="nil"/>
              <w:tr2bl w:val="nil"/>
            </w:tcBorders>
            <w:shd w:val="clear" w:color="auto" w:fill="auto"/>
            <w:vAlign w:val="center"/>
          </w:tcPr>
          <w:p w14:paraId="15AEE1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CF4B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26.7400 </w:t>
            </w:r>
          </w:p>
        </w:tc>
        <w:tc>
          <w:tcPr>
            <w:tcW w:w="1353" w:type="dxa"/>
            <w:tcBorders>
              <w:tl2br w:val="nil"/>
              <w:tr2bl w:val="nil"/>
            </w:tcBorders>
            <w:shd w:val="clear" w:color="auto" w:fill="auto"/>
            <w:vAlign w:val="center"/>
          </w:tcPr>
          <w:p w14:paraId="2CC9C5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217.0900 </w:t>
            </w:r>
          </w:p>
        </w:tc>
      </w:tr>
      <w:tr w14:paraId="7E3B03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DF5A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2070 </w:t>
            </w:r>
          </w:p>
        </w:tc>
        <w:tc>
          <w:tcPr>
            <w:tcW w:w="1443" w:type="dxa"/>
            <w:tcBorders>
              <w:tl2br w:val="nil"/>
              <w:tr2bl w:val="nil"/>
            </w:tcBorders>
            <w:shd w:val="clear" w:color="auto" w:fill="auto"/>
            <w:vAlign w:val="center"/>
          </w:tcPr>
          <w:p w14:paraId="3FBA5B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26.8390 </w:t>
            </w:r>
          </w:p>
        </w:tc>
        <w:tc>
          <w:tcPr>
            <w:tcW w:w="1394" w:type="dxa"/>
            <w:tcBorders>
              <w:tl2br w:val="nil"/>
              <w:tr2bl w:val="nil"/>
            </w:tcBorders>
            <w:shd w:val="clear" w:color="auto" w:fill="auto"/>
            <w:vAlign w:val="center"/>
          </w:tcPr>
          <w:p w14:paraId="44F14B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215.6000 </w:t>
            </w:r>
          </w:p>
        </w:tc>
        <w:tc>
          <w:tcPr>
            <w:tcW w:w="1079" w:type="dxa"/>
            <w:tcBorders>
              <w:tl2br w:val="nil"/>
              <w:tr2bl w:val="nil"/>
            </w:tcBorders>
            <w:shd w:val="clear" w:color="auto" w:fill="auto"/>
            <w:vAlign w:val="center"/>
          </w:tcPr>
          <w:p w14:paraId="775C1E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9B7B8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26.8390 </w:t>
            </w:r>
          </w:p>
        </w:tc>
        <w:tc>
          <w:tcPr>
            <w:tcW w:w="1353" w:type="dxa"/>
            <w:tcBorders>
              <w:tl2br w:val="nil"/>
              <w:tr2bl w:val="nil"/>
            </w:tcBorders>
            <w:shd w:val="clear" w:color="auto" w:fill="auto"/>
            <w:vAlign w:val="center"/>
          </w:tcPr>
          <w:p w14:paraId="562BAA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215.6000 </w:t>
            </w:r>
          </w:p>
        </w:tc>
      </w:tr>
      <w:tr w14:paraId="3D2C6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3172A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2080 </w:t>
            </w:r>
          </w:p>
        </w:tc>
        <w:tc>
          <w:tcPr>
            <w:tcW w:w="1443" w:type="dxa"/>
            <w:tcBorders>
              <w:tl2br w:val="nil"/>
              <w:tr2bl w:val="nil"/>
            </w:tcBorders>
            <w:shd w:val="clear" w:color="auto" w:fill="auto"/>
            <w:vAlign w:val="center"/>
          </w:tcPr>
          <w:p w14:paraId="50C619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26.9380 </w:t>
            </w:r>
          </w:p>
        </w:tc>
        <w:tc>
          <w:tcPr>
            <w:tcW w:w="1394" w:type="dxa"/>
            <w:tcBorders>
              <w:tl2br w:val="nil"/>
              <w:tr2bl w:val="nil"/>
            </w:tcBorders>
            <w:shd w:val="clear" w:color="auto" w:fill="auto"/>
            <w:vAlign w:val="center"/>
          </w:tcPr>
          <w:p w14:paraId="0511D4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214.1300 </w:t>
            </w:r>
          </w:p>
        </w:tc>
        <w:tc>
          <w:tcPr>
            <w:tcW w:w="1079" w:type="dxa"/>
            <w:tcBorders>
              <w:tl2br w:val="nil"/>
              <w:tr2bl w:val="nil"/>
            </w:tcBorders>
            <w:shd w:val="clear" w:color="auto" w:fill="auto"/>
            <w:vAlign w:val="center"/>
          </w:tcPr>
          <w:p w14:paraId="1BA890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F25F2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26.9380 </w:t>
            </w:r>
          </w:p>
        </w:tc>
        <w:tc>
          <w:tcPr>
            <w:tcW w:w="1353" w:type="dxa"/>
            <w:tcBorders>
              <w:tl2br w:val="nil"/>
              <w:tr2bl w:val="nil"/>
            </w:tcBorders>
            <w:shd w:val="clear" w:color="auto" w:fill="auto"/>
            <w:vAlign w:val="center"/>
          </w:tcPr>
          <w:p w14:paraId="11298C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214.1300 </w:t>
            </w:r>
          </w:p>
        </w:tc>
      </w:tr>
      <w:tr w14:paraId="3BC9E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F190C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2090 </w:t>
            </w:r>
          </w:p>
        </w:tc>
        <w:tc>
          <w:tcPr>
            <w:tcW w:w="1443" w:type="dxa"/>
            <w:tcBorders>
              <w:tl2br w:val="nil"/>
              <w:tr2bl w:val="nil"/>
            </w:tcBorders>
            <w:shd w:val="clear" w:color="auto" w:fill="auto"/>
            <w:vAlign w:val="center"/>
          </w:tcPr>
          <w:p w14:paraId="0D2419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27.0360 </w:t>
            </w:r>
          </w:p>
        </w:tc>
        <w:tc>
          <w:tcPr>
            <w:tcW w:w="1394" w:type="dxa"/>
            <w:tcBorders>
              <w:tl2br w:val="nil"/>
              <w:tr2bl w:val="nil"/>
            </w:tcBorders>
            <w:shd w:val="clear" w:color="auto" w:fill="auto"/>
            <w:vAlign w:val="center"/>
          </w:tcPr>
          <w:p w14:paraId="3CD1CE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212.6700 </w:t>
            </w:r>
          </w:p>
        </w:tc>
        <w:tc>
          <w:tcPr>
            <w:tcW w:w="1079" w:type="dxa"/>
            <w:tcBorders>
              <w:tl2br w:val="nil"/>
              <w:tr2bl w:val="nil"/>
            </w:tcBorders>
            <w:shd w:val="clear" w:color="auto" w:fill="auto"/>
            <w:vAlign w:val="center"/>
          </w:tcPr>
          <w:p w14:paraId="054511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44264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27.0360 </w:t>
            </w:r>
          </w:p>
        </w:tc>
        <w:tc>
          <w:tcPr>
            <w:tcW w:w="1353" w:type="dxa"/>
            <w:tcBorders>
              <w:tl2br w:val="nil"/>
              <w:tr2bl w:val="nil"/>
            </w:tcBorders>
            <w:shd w:val="clear" w:color="auto" w:fill="auto"/>
            <w:vAlign w:val="center"/>
          </w:tcPr>
          <w:p w14:paraId="3A17F7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212.6700 </w:t>
            </w:r>
          </w:p>
        </w:tc>
      </w:tr>
      <w:tr w14:paraId="2E7AC4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A918A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2100 </w:t>
            </w:r>
          </w:p>
        </w:tc>
        <w:tc>
          <w:tcPr>
            <w:tcW w:w="1443" w:type="dxa"/>
            <w:tcBorders>
              <w:tl2br w:val="nil"/>
              <w:tr2bl w:val="nil"/>
            </w:tcBorders>
            <w:shd w:val="clear" w:color="auto" w:fill="auto"/>
            <w:vAlign w:val="center"/>
          </w:tcPr>
          <w:p w14:paraId="203732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27.1350 </w:t>
            </w:r>
          </w:p>
        </w:tc>
        <w:tc>
          <w:tcPr>
            <w:tcW w:w="1394" w:type="dxa"/>
            <w:tcBorders>
              <w:tl2br w:val="nil"/>
              <w:tr2bl w:val="nil"/>
            </w:tcBorders>
            <w:shd w:val="clear" w:color="auto" w:fill="auto"/>
            <w:vAlign w:val="center"/>
          </w:tcPr>
          <w:p w14:paraId="7E06A1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211.2100 </w:t>
            </w:r>
          </w:p>
        </w:tc>
        <w:tc>
          <w:tcPr>
            <w:tcW w:w="1079" w:type="dxa"/>
            <w:tcBorders>
              <w:tl2br w:val="nil"/>
              <w:tr2bl w:val="nil"/>
            </w:tcBorders>
            <w:shd w:val="clear" w:color="auto" w:fill="auto"/>
            <w:vAlign w:val="center"/>
          </w:tcPr>
          <w:p w14:paraId="3EBB8D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2CAE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27.1350 </w:t>
            </w:r>
          </w:p>
        </w:tc>
        <w:tc>
          <w:tcPr>
            <w:tcW w:w="1353" w:type="dxa"/>
            <w:tcBorders>
              <w:tl2br w:val="nil"/>
              <w:tr2bl w:val="nil"/>
            </w:tcBorders>
            <w:shd w:val="clear" w:color="auto" w:fill="auto"/>
            <w:vAlign w:val="center"/>
          </w:tcPr>
          <w:p w14:paraId="546D1C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211.2100 </w:t>
            </w:r>
          </w:p>
        </w:tc>
      </w:tr>
      <w:tr w14:paraId="4FC94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772C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2110 </w:t>
            </w:r>
          </w:p>
        </w:tc>
        <w:tc>
          <w:tcPr>
            <w:tcW w:w="1443" w:type="dxa"/>
            <w:tcBorders>
              <w:tl2br w:val="nil"/>
              <w:tr2bl w:val="nil"/>
            </w:tcBorders>
            <w:shd w:val="clear" w:color="auto" w:fill="auto"/>
            <w:vAlign w:val="center"/>
          </w:tcPr>
          <w:p w14:paraId="2CE33F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27.2330 </w:t>
            </w:r>
          </w:p>
        </w:tc>
        <w:tc>
          <w:tcPr>
            <w:tcW w:w="1394" w:type="dxa"/>
            <w:tcBorders>
              <w:tl2br w:val="nil"/>
              <w:tr2bl w:val="nil"/>
            </w:tcBorders>
            <w:shd w:val="clear" w:color="auto" w:fill="auto"/>
            <w:vAlign w:val="center"/>
          </w:tcPr>
          <w:p w14:paraId="2D259B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209.7600 </w:t>
            </w:r>
          </w:p>
        </w:tc>
        <w:tc>
          <w:tcPr>
            <w:tcW w:w="1079" w:type="dxa"/>
            <w:tcBorders>
              <w:tl2br w:val="nil"/>
              <w:tr2bl w:val="nil"/>
            </w:tcBorders>
            <w:shd w:val="clear" w:color="auto" w:fill="auto"/>
            <w:vAlign w:val="center"/>
          </w:tcPr>
          <w:p w14:paraId="698D59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84D8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27.2330 </w:t>
            </w:r>
          </w:p>
        </w:tc>
        <w:tc>
          <w:tcPr>
            <w:tcW w:w="1353" w:type="dxa"/>
            <w:tcBorders>
              <w:tl2br w:val="nil"/>
              <w:tr2bl w:val="nil"/>
            </w:tcBorders>
            <w:shd w:val="clear" w:color="auto" w:fill="auto"/>
            <w:vAlign w:val="center"/>
          </w:tcPr>
          <w:p w14:paraId="5DBCAB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209.7600 </w:t>
            </w:r>
          </w:p>
        </w:tc>
      </w:tr>
      <w:tr w14:paraId="212FE2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9D268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2120 </w:t>
            </w:r>
          </w:p>
        </w:tc>
        <w:tc>
          <w:tcPr>
            <w:tcW w:w="1443" w:type="dxa"/>
            <w:tcBorders>
              <w:tl2br w:val="nil"/>
              <w:tr2bl w:val="nil"/>
            </w:tcBorders>
            <w:shd w:val="clear" w:color="auto" w:fill="auto"/>
            <w:vAlign w:val="center"/>
          </w:tcPr>
          <w:p w14:paraId="087810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27.3310 </w:t>
            </w:r>
          </w:p>
        </w:tc>
        <w:tc>
          <w:tcPr>
            <w:tcW w:w="1394" w:type="dxa"/>
            <w:tcBorders>
              <w:tl2br w:val="nil"/>
              <w:tr2bl w:val="nil"/>
            </w:tcBorders>
            <w:shd w:val="clear" w:color="auto" w:fill="auto"/>
            <w:vAlign w:val="center"/>
          </w:tcPr>
          <w:p w14:paraId="45D973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208.3200 </w:t>
            </w:r>
          </w:p>
        </w:tc>
        <w:tc>
          <w:tcPr>
            <w:tcW w:w="1079" w:type="dxa"/>
            <w:tcBorders>
              <w:tl2br w:val="nil"/>
              <w:tr2bl w:val="nil"/>
            </w:tcBorders>
            <w:shd w:val="clear" w:color="auto" w:fill="auto"/>
            <w:vAlign w:val="center"/>
          </w:tcPr>
          <w:p w14:paraId="38F621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55816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27.3310 </w:t>
            </w:r>
          </w:p>
        </w:tc>
        <w:tc>
          <w:tcPr>
            <w:tcW w:w="1353" w:type="dxa"/>
            <w:tcBorders>
              <w:tl2br w:val="nil"/>
              <w:tr2bl w:val="nil"/>
            </w:tcBorders>
            <w:shd w:val="clear" w:color="auto" w:fill="auto"/>
            <w:vAlign w:val="center"/>
          </w:tcPr>
          <w:p w14:paraId="0368B4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208.3200 </w:t>
            </w:r>
          </w:p>
        </w:tc>
      </w:tr>
      <w:tr w14:paraId="44C3B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CAD4F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2130 </w:t>
            </w:r>
          </w:p>
        </w:tc>
        <w:tc>
          <w:tcPr>
            <w:tcW w:w="1443" w:type="dxa"/>
            <w:tcBorders>
              <w:tl2br w:val="nil"/>
              <w:tr2bl w:val="nil"/>
            </w:tcBorders>
            <w:shd w:val="clear" w:color="auto" w:fill="auto"/>
            <w:vAlign w:val="center"/>
          </w:tcPr>
          <w:p w14:paraId="222621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27.4300 </w:t>
            </w:r>
          </w:p>
        </w:tc>
        <w:tc>
          <w:tcPr>
            <w:tcW w:w="1394" w:type="dxa"/>
            <w:tcBorders>
              <w:tl2br w:val="nil"/>
              <w:tr2bl w:val="nil"/>
            </w:tcBorders>
            <w:shd w:val="clear" w:color="auto" w:fill="auto"/>
            <w:vAlign w:val="center"/>
          </w:tcPr>
          <w:p w14:paraId="4F5EEF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206.9000 </w:t>
            </w:r>
          </w:p>
        </w:tc>
        <w:tc>
          <w:tcPr>
            <w:tcW w:w="1079" w:type="dxa"/>
            <w:tcBorders>
              <w:tl2br w:val="nil"/>
              <w:tr2bl w:val="nil"/>
            </w:tcBorders>
            <w:shd w:val="clear" w:color="auto" w:fill="auto"/>
            <w:vAlign w:val="center"/>
          </w:tcPr>
          <w:p w14:paraId="290D53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07557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27.4300 </w:t>
            </w:r>
          </w:p>
        </w:tc>
        <w:tc>
          <w:tcPr>
            <w:tcW w:w="1353" w:type="dxa"/>
            <w:tcBorders>
              <w:tl2br w:val="nil"/>
              <w:tr2bl w:val="nil"/>
            </w:tcBorders>
            <w:shd w:val="clear" w:color="auto" w:fill="auto"/>
            <w:vAlign w:val="center"/>
          </w:tcPr>
          <w:p w14:paraId="0E1B01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206.9000 </w:t>
            </w:r>
          </w:p>
        </w:tc>
      </w:tr>
      <w:tr w14:paraId="71936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05A74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2140 </w:t>
            </w:r>
          </w:p>
        </w:tc>
        <w:tc>
          <w:tcPr>
            <w:tcW w:w="1443" w:type="dxa"/>
            <w:tcBorders>
              <w:tl2br w:val="nil"/>
              <w:tr2bl w:val="nil"/>
            </w:tcBorders>
            <w:shd w:val="clear" w:color="auto" w:fill="auto"/>
            <w:vAlign w:val="center"/>
          </w:tcPr>
          <w:p w14:paraId="763013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27.5280 </w:t>
            </w:r>
          </w:p>
        </w:tc>
        <w:tc>
          <w:tcPr>
            <w:tcW w:w="1394" w:type="dxa"/>
            <w:tcBorders>
              <w:tl2br w:val="nil"/>
              <w:tr2bl w:val="nil"/>
            </w:tcBorders>
            <w:shd w:val="clear" w:color="auto" w:fill="auto"/>
            <w:vAlign w:val="center"/>
          </w:tcPr>
          <w:p w14:paraId="6EC1B9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205.5000 </w:t>
            </w:r>
          </w:p>
        </w:tc>
        <w:tc>
          <w:tcPr>
            <w:tcW w:w="1079" w:type="dxa"/>
            <w:tcBorders>
              <w:tl2br w:val="nil"/>
              <w:tr2bl w:val="nil"/>
            </w:tcBorders>
            <w:shd w:val="clear" w:color="auto" w:fill="auto"/>
            <w:vAlign w:val="center"/>
          </w:tcPr>
          <w:p w14:paraId="4045CA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ABDEB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27.5280 </w:t>
            </w:r>
          </w:p>
        </w:tc>
        <w:tc>
          <w:tcPr>
            <w:tcW w:w="1353" w:type="dxa"/>
            <w:tcBorders>
              <w:tl2br w:val="nil"/>
              <w:tr2bl w:val="nil"/>
            </w:tcBorders>
            <w:shd w:val="clear" w:color="auto" w:fill="auto"/>
            <w:vAlign w:val="center"/>
          </w:tcPr>
          <w:p w14:paraId="7D9C9C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205.5000 </w:t>
            </w:r>
          </w:p>
        </w:tc>
      </w:tr>
      <w:tr w14:paraId="7855DF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42AAB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2150 </w:t>
            </w:r>
          </w:p>
        </w:tc>
        <w:tc>
          <w:tcPr>
            <w:tcW w:w="1443" w:type="dxa"/>
            <w:tcBorders>
              <w:tl2br w:val="nil"/>
              <w:tr2bl w:val="nil"/>
            </w:tcBorders>
            <w:shd w:val="clear" w:color="auto" w:fill="auto"/>
            <w:vAlign w:val="center"/>
          </w:tcPr>
          <w:p w14:paraId="1DE224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27.6260 </w:t>
            </w:r>
          </w:p>
        </w:tc>
        <w:tc>
          <w:tcPr>
            <w:tcW w:w="1394" w:type="dxa"/>
            <w:tcBorders>
              <w:tl2br w:val="nil"/>
              <w:tr2bl w:val="nil"/>
            </w:tcBorders>
            <w:shd w:val="clear" w:color="auto" w:fill="auto"/>
            <w:vAlign w:val="center"/>
          </w:tcPr>
          <w:p w14:paraId="0279B2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204.1000 </w:t>
            </w:r>
          </w:p>
        </w:tc>
        <w:tc>
          <w:tcPr>
            <w:tcW w:w="1079" w:type="dxa"/>
            <w:tcBorders>
              <w:tl2br w:val="nil"/>
              <w:tr2bl w:val="nil"/>
            </w:tcBorders>
            <w:shd w:val="clear" w:color="auto" w:fill="auto"/>
            <w:vAlign w:val="center"/>
          </w:tcPr>
          <w:p w14:paraId="3284EE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EEE87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27.6260 </w:t>
            </w:r>
          </w:p>
        </w:tc>
        <w:tc>
          <w:tcPr>
            <w:tcW w:w="1353" w:type="dxa"/>
            <w:tcBorders>
              <w:tl2br w:val="nil"/>
              <w:tr2bl w:val="nil"/>
            </w:tcBorders>
            <w:shd w:val="clear" w:color="auto" w:fill="auto"/>
            <w:vAlign w:val="center"/>
          </w:tcPr>
          <w:p w14:paraId="327689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204.1000 </w:t>
            </w:r>
          </w:p>
        </w:tc>
      </w:tr>
      <w:tr w14:paraId="3ADF42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DDC9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2160 </w:t>
            </w:r>
          </w:p>
        </w:tc>
        <w:tc>
          <w:tcPr>
            <w:tcW w:w="1443" w:type="dxa"/>
            <w:tcBorders>
              <w:tl2br w:val="nil"/>
              <w:tr2bl w:val="nil"/>
            </w:tcBorders>
            <w:shd w:val="clear" w:color="auto" w:fill="auto"/>
            <w:vAlign w:val="center"/>
          </w:tcPr>
          <w:p w14:paraId="103BCF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27.7240 </w:t>
            </w:r>
          </w:p>
        </w:tc>
        <w:tc>
          <w:tcPr>
            <w:tcW w:w="1394" w:type="dxa"/>
            <w:tcBorders>
              <w:tl2br w:val="nil"/>
              <w:tr2bl w:val="nil"/>
            </w:tcBorders>
            <w:shd w:val="clear" w:color="auto" w:fill="auto"/>
            <w:vAlign w:val="center"/>
          </w:tcPr>
          <w:p w14:paraId="7C2C64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202.7300 </w:t>
            </w:r>
          </w:p>
        </w:tc>
        <w:tc>
          <w:tcPr>
            <w:tcW w:w="1079" w:type="dxa"/>
            <w:tcBorders>
              <w:tl2br w:val="nil"/>
              <w:tr2bl w:val="nil"/>
            </w:tcBorders>
            <w:shd w:val="clear" w:color="auto" w:fill="auto"/>
            <w:vAlign w:val="center"/>
          </w:tcPr>
          <w:p w14:paraId="28296C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7118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27.7240 </w:t>
            </w:r>
          </w:p>
        </w:tc>
        <w:tc>
          <w:tcPr>
            <w:tcW w:w="1353" w:type="dxa"/>
            <w:tcBorders>
              <w:tl2br w:val="nil"/>
              <w:tr2bl w:val="nil"/>
            </w:tcBorders>
            <w:shd w:val="clear" w:color="auto" w:fill="auto"/>
            <w:vAlign w:val="center"/>
          </w:tcPr>
          <w:p w14:paraId="04DCA1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202.7300 </w:t>
            </w:r>
          </w:p>
        </w:tc>
      </w:tr>
      <w:tr w14:paraId="028FC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77A4F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2170 </w:t>
            </w:r>
          </w:p>
        </w:tc>
        <w:tc>
          <w:tcPr>
            <w:tcW w:w="1443" w:type="dxa"/>
            <w:tcBorders>
              <w:tl2br w:val="nil"/>
              <w:tr2bl w:val="nil"/>
            </w:tcBorders>
            <w:shd w:val="clear" w:color="auto" w:fill="auto"/>
            <w:vAlign w:val="center"/>
          </w:tcPr>
          <w:p w14:paraId="761772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27.8220 </w:t>
            </w:r>
          </w:p>
        </w:tc>
        <w:tc>
          <w:tcPr>
            <w:tcW w:w="1394" w:type="dxa"/>
            <w:tcBorders>
              <w:tl2br w:val="nil"/>
              <w:tr2bl w:val="nil"/>
            </w:tcBorders>
            <w:shd w:val="clear" w:color="auto" w:fill="auto"/>
            <w:vAlign w:val="center"/>
          </w:tcPr>
          <w:p w14:paraId="11C125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201.3600 </w:t>
            </w:r>
          </w:p>
        </w:tc>
        <w:tc>
          <w:tcPr>
            <w:tcW w:w="1079" w:type="dxa"/>
            <w:tcBorders>
              <w:tl2br w:val="nil"/>
              <w:tr2bl w:val="nil"/>
            </w:tcBorders>
            <w:shd w:val="clear" w:color="auto" w:fill="auto"/>
            <w:vAlign w:val="center"/>
          </w:tcPr>
          <w:p w14:paraId="04402B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5B972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27.8220 </w:t>
            </w:r>
          </w:p>
        </w:tc>
        <w:tc>
          <w:tcPr>
            <w:tcW w:w="1353" w:type="dxa"/>
            <w:tcBorders>
              <w:tl2br w:val="nil"/>
              <w:tr2bl w:val="nil"/>
            </w:tcBorders>
            <w:shd w:val="clear" w:color="auto" w:fill="auto"/>
            <w:vAlign w:val="center"/>
          </w:tcPr>
          <w:p w14:paraId="078594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201.3600 </w:t>
            </w:r>
          </w:p>
        </w:tc>
      </w:tr>
      <w:tr w14:paraId="2F020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70C6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2180 </w:t>
            </w:r>
          </w:p>
        </w:tc>
        <w:tc>
          <w:tcPr>
            <w:tcW w:w="1443" w:type="dxa"/>
            <w:tcBorders>
              <w:tl2br w:val="nil"/>
              <w:tr2bl w:val="nil"/>
            </w:tcBorders>
            <w:shd w:val="clear" w:color="auto" w:fill="auto"/>
            <w:vAlign w:val="center"/>
          </w:tcPr>
          <w:p w14:paraId="2050B7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27.9190 </w:t>
            </w:r>
          </w:p>
        </w:tc>
        <w:tc>
          <w:tcPr>
            <w:tcW w:w="1394" w:type="dxa"/>
            <w:tcBorders>
              <w:tl2br w:val="nil"/>
              <w:tr2bl w:val="nil"/>
            </w:tcBorders>
            <w:shd w:val="clear" w:color="auto" w:fill="auto"/>
            <w:vAlign w:val="center"/>
          </w:tcPr>
          <w:p w14:paraId="3AC868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200.0100 </w:t>
            </w:r>
          </w:p>
        </w:tc>
        <w:tc>
          <w:tcPr>
            <w:tcW w:w="1079" w:type="dxa"/>
            <w:tcBorders>
              <w:tl2br w:val="nil"/>
              <w:tr2bl w:val="nil"/>
            </w:tcBorders>
            <w:shd w:val="clear" w:color="auto" w:fill="auto"/>
            <w:vAlign w:val="center"/>
          </w:tcPr>
          <w:p w14:paraId="2FC014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9A3F3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27.9190 </w:t>
            </w:r>
          </w:p>
        </w:tc>
        <w:tc>
          <w:tcPr>
            <w:tcW w:w="1353" w:type="dxa"/>
            <w:tcBorders>
              <w:tl2br w:val="nil"/>
              <w:tr2bl w:val="nil"/>
            </w:tcBorders>
            <w:shd w:val="clear" w:color="auto" w:fill="auto"/>
            <w:vAlign w:val="center"/>
          </w:tcPr>
          <w:p w14:paraId="3151EA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200.0100 </w:t>
            </w:r>
          </w:p>
        </w:tc>
      </w:tr>
      <w:tr w14:paraId="26DA18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002EC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2190 </w:t>
            </w:r>
          </w:p>
        </w:tc>
        <w:tc>
          <w:tcPr>
            <w:tcW w:w="1443" w:type="dxa"/>
            <w:tcBorders>
              <w:tl2br w:val="nil"/>
              <w:tr2bl w:val="nil"/>
            </w:tcBorders>
            <w:shd w:val="clear" w:color="auto" w:fill="auto"/>
            <w:vAlign w:val="center"/>
          </w:tcPr>
          <w:p w14:paraId="2A043E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28.0170 </w:t>
            </w:r>
          </w:p>
        </w:tc>
        <w:tc>
          <w:tcPr>
            <w:tcW w:w="1394" w:type="dxa"/>
            <w:tcBorders>
              <w:tl2br w:val="nil"/>
              <w:tr2bl w:val="nil"/>
            </w:tcBorders>
            <w:shd w:val="clear" w:color="auto" w:fill="auto"/>
            <w:vAlign w:val="center"/>
          </w:tcPr>
          <w:p w14:paraId="274A78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198.6700 </w:t>
            </w:r>
          </w:p>
        </w:tc>
        <w:tc>
          <w:tcPr>
            <w:tcW w:w="1079" w:type="dxa"/>
            <w:tcBorders>
              <w:tl2br w:val="nil"/>
              <w:tr2bl w:val="nil"/>
            </w:tcBorders>
            <w:shd w:val="clear" w:color="auto" w:fill="auto"/>
            <w:vAlign w:val="center"/>
          </w:tcPr>
          <w:p w14:paraId="1440B8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B6A22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28.0170 </w:t>
            </w:r>
          </w:p>
        </w:tc>
        <w:tc>
          <w:tcPr>
            <w:tcW w:w="1353" w:type="dxa"/>
            <w:tcBorders>
              <w:tl2br w:val="nil"/>
              <w:tr2bl w:val="nil"/>
            </w:tcBorders>
            <w:shd w:val="clear" w:color="auto" w:fill="auto"/>
            <w:vAlign w:val="center"/>
          </w:tcPr>
          <w:p w14:paraId="5726AB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198.6700 </w:t>
            </w:r>
          </w:p>
        </w:tc>
      </w:tr>
      <w:tr w14:paraId="29BCA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58034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2200 </w:t>
            </w:r>
          </w:p>
        </w:tc>
        <w:tc>
          <w:tcPr>
            <w:tcW w:w="1443" w:type="dxa"/>
            <w:tcBorders>
              <w:tl2br w:val="nil"/>
              <w:tr2bl w:val="nil"/>
            </w:tcBorders>
            <w:shd w:val="clear" w:color="auto" w:fill="auto"/>
            <w:vAlign w:val="center"/>
          </w:tcPr>
          <w:p w14:paraId="783F66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28.1150 </w:t>
            </w:r>
          </w:p>
        </w:tc>
        <w:tc>
          <w:tcPr>
            <w:tcW w:w="1394" w:type="dxa"/>
            <w:tcBorders>
              <w:tl2br w:val="nil"/>
              <w:tr2bl w:val="nil"/>
            </w:tcBorders>
            <w:shd w:val="clear" w:color="auto" w:fill="auto"/>
            <w:vAlign w:val="center"/>
          </w:tcPr>
          <w:p w14:paraId="543D06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197.3500 </w:t>
            </w:r>
          </w:p>
        </w:tc>
        <w:tc>
          <w:tcPr>
            <w:tcW w:w="1079" w:type="dxa"/>
            <w:tcBorders>
              <w:tl2br w:val="nil"/>
              <w:tr2bl w:val="nil"/>
            </w:tcBorders>
            <w:shd w:val="clear" w:color="auto" w:fill="auto"/>
            <w:vAlign w:val="center"/>
          </w:tcPr>
          <w:p w14:paraId="42BD63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13DB1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28.1150 </w:t>
            </w:r>
          </w:p>
        </w:tc>
        <w:tc>
          <w:tcPr>
            <w:tcW w:w="1353" w:type="dxa"/>
            <w:tcBorders>
              <w:tl2br w:val="nil"/>
              <w:tr2bl w:val="nil"/>
            </w:tcBorders>
            <w:shd w:val="clear" w:color="auto" w:fill="auto"/>
            <w:vAlign w:val="center"/>
          </w:tcPr>
          <w:p w14:paraId="430330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197.3500 </w:t>
            </w:r>
          </w:p>
        </w:tc>
      </w:tr>
      <w:tr w14:paraId="1C9041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093B1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2210 </w:t>
            </w:r>
          </w:p>
        </w:tc>
        <w:tc>
          <w:tcPr>
            <w:tcW w:w="1443" w:type="dxa"/>
            <w:tcBorders>
              <w:tl2br w:val="nil"/>
              <w:tr2bl w:val="nil"/>
            </w:tcBorders>
            <w:shd w:val="clear" w:color="auto" w:fill="auto"/>
            <w:vAlign w:val="center"/>
          </w:tcPr>
          <w:p w14:paraId="4646FD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28.2120 </w:t>
            </w:r>
          </w:p>
        </w:tc>
        <w:tc>
          <w:tcPr>
            <w:tcW w:w="1394" w:type="dxa"/>
            <w:tcBorders>
              <w:tl2br w:val="nil"/>
              <w:tr2bl w:val="nil"/>
            </w:tcBorders>
            <w:shd w:val="clear" w:color="auto" w:fill="auto"/>
            <w:vAlign w:val="center"/>
          </w:tcPr>
          <w:p w14:paraId="475940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196.0400 </w:t>
            </w:r>
          </w:p>
        </w:tc>
        <w:tc>
          <w:tcPr>
            <w:tcW w:w="1079" w:type="dxa"/>
            <w:tcBorders>
              <w:tl2br w:val="nil"/>
              <w:tr2bl w:val="nil"/>
            </w:tcBorders>
            <w:shd w:val="clear" w:color="auto" w:fill="auto"/>
            <w:vAlign w:val="center"/>
          </w:tcPr>
          <w:p w14:paraId="53000B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69C8D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28.2120 </w:t>
            </w:r>
          </w:p>
        </w:tc>
        <w:tc>
          <w:tcPr>
            <w:tcW w:w="1353" w:type="dxa"/>
            <w:tcBorders>
              <w:tl2br w:val="nil"/>
              <w:tr2bl w:val="nil"/>
            </w:tcBorders>
            <w:shd w:val="clear" w:color="auto" w:fill="auto"/>
            <w:vAlign w:val="center"/>
          </w:tcPr>
          <w:p w14:paraId="48981A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196.0400 </w:t>
            </w:r>
          </w:p>
        </w:tc>
      </w:tr>
      <w:tr w14:paraId="7C29F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91780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2220 </w:t>
            </w:r>
          </w:p>
        </w:tc>
        <w:tc>
          <w:tcPr>
            <w:tcW w:w="1443" w:type="dxa"/>
            <w:tcBorders>
              <w:tl2br w:val="nil"/>
              <w:tr2bl w:val="nil"/>
            </w:tcBorders>
            <w:shd w:val="clear" w:color="auto" w:fill="auto"/>
            <w:vAlign w:val="center"/>
          </w:tcPr>
          <w:p w14:paraId="6EC8F4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28.3090 </w:t>
            </w:r>
          </w:p>
        </w:tc>
        <w:tc>
          <w:tcPr>
            <w:tcW w:w="1394" w:type="dxa"/>
            <w:tcBorders>
              <w:tl2br w:val="nil"/>
              <w:tr2bl w:val="nil"/>
            </w:tcBorders>
            <w:shd w:val="clear" w:color="auto" w:fill="auto"/>
            <w:vAlign w:val="center"/>
          </w:tcPr>
          <w:p w14:paraId="43DBF8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194.7500 </w:t>
            </w:r>
          </w:p>
        </w:tc>
        <w:tc>
          <w:tcPr>
            <w:tcW w:w="1079" w:type="dxa"/>
            <w:tcBorders>
              <w:tl2br w:val="nil"/>
              <w:tr2bl w:val="nil"/>
            </w:tcBorders>
            <w:shd w:val="clear" w:color="auto" w:fill="auto"/>
            <w:vAlign w:val="center"/>
          </w:tcPr>
          <w:p w14:paraId="0AF8E3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90D40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28.3090 </w:t>
            </w:r>
          </w:p>
        </w:tc>
        <w:tc>
          <w:tcPr>
            <w:tcW w:w="1353" w:type="dxa"/>
            <w:tcBorders>
              <w:tl2br w:val="nil"/>
              <w:tr2bl w:val="nil"/>
            </w:tcBorders>
            <w:shd w:val="clear" w:color="auto" w:fill="auto"/>
            <w:vAlign w:val="center"/>
          </w:tcPr>
          <w:p w14:paraId="027A9C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194.7500 </w:t>
            </w:r>
          </w:p>
        </w:tc>
      </w:tr>
      <w:tr w14:paraId="7CD791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8ED8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2230 </w:t>
            </w:r>
          </w:p>
        </w:tc>
        <w:tc>
          <w:tcPr>
            <w:tcW w:w="1443" w:type="dxa"/>
            <w:tcBorders>
              <w:tl2br w:val="nil"/>
              <w:tr2bl w:val="nil"/>
            </w:tcBorders>
            <w:shd w:val="clear" w:color="auto" w:fill="auto"/>
            <w:vAlign w:val="center"/>
          </w:tcPr>
          <w:p w14:paraId="6811E3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28.4070 </w:t>
            </w:r>
          </w:p>
        </w:tc>
        <w:tc>
          <w:tcPr>
            <w:tcW w:w="1394" w:type="dxa"/>
            <w:tcBorders>
              <w:tl2br w:val="nil"/>
              <w:tr2bl w:val="nil"/>
            </w:tcBorders>
            <w:shd w:val="clear" w:color="auto" w:fill="auto"/>
            <w:vAlign w:val="center"/>
          </w:tcPr>
          <w:p w14:paraId="64366B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193.4600 </w:t>
            </w:r>
          </w:p>
        </w:tc>
        <w:tc>
          <w:tcPr>
            <w:tcW w:w="1079" w:type="dxa"/>
            <w:tcBorders>
              <w:tl2br w:val="nil"/>
              <w:tr2bl w:val="nil"/>
            </w:tcBorders>
            <w:shd w:val="clear" w:color="auto" w:fill="auto"/>
            <w:vAlign w:val="center"/>
          </w:tcPr>
          <w:p w14:paraId="41C095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0A108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28.4070 </w:t>
            </w:r>
          </w:p>
        </w:tc>
        <w:tc>
          <w:tcPr>
            <w:tcW w:w="1353" w:type="dxa"/>
            <w:tcBorders>
              <w:tl2br w:val="nil"/>
              <w:tr2bl w:val="nil"/>
            </w:tcBorders>
            <w:shd w:val="clear" w:color="auto" w:fill="auto"/>
            <w:vAlign w:val="center"/>
          </w:tcPr>
          <w:p w14:paraId="5CBC72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193.4600 </w:t>
            </w:r>
          </w:p>
        </w:tc>
      </w:tr>
      <w:tr w14:paraId="28BDB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8D7DD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2240 </w:t>
            </w:r>
          </w:p>
        </w:tc>
        <w:tc>
          <w:tcPr>
            <w:tcW w:w="1443" w:type="dxa"/>
            <w:tcBorders>
              <w:tl2br w:val="nil"/>
              <w:tr2bl w:val="nil"/>
            </w:tcBorders>
            <w:shd w:val="clear" w:color="auto" w:fill="auto"/>
            <w:vAlign w:val="center"/>
          </w:tcPr>
          <w:p w14:paraId="58E3D1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28.5040 </w:t>
            </w:r>
          </w:p>
        </w:tc>
        <w:tc>
          <w:tcPr>
            <w:tcW w:w="1394" w:type="dxa"/>
            <w:tcBorders>
              <w:tl2br w:val="nil"/>
              <w:tr2bl w:val="nil"/>
            </w:tcBorders>
            <w:shd w:val="clear" w:color="auto" w:fill="auto"/>
            <w:vAlign w:val="center"/>
          </w:tcPr>
          <w:p w14:paraId="7ADCB7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192.1900 </w:t>
            </w:r>
          </w:p>
        </w:tc>
        <w:tc>
          <w:tcPr>
            <w:tcW w:w="1079" w:type="dxa"/>
            <w:tcBorders>
              <w:tl2br w:val="nil"/>
              <w:tr2bl w:val="nil"/>
            </w:tcBorders>
            <w:shd w:val="clear" w:color="auto" w:fill="auto"/>
            <w:vAlign w:val="center"/>
          </w:tcPr>
          <w:p w14:paraId="4548E5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779E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28.5040 </w:t>
            </w:r>
          </w:p>
        </w:tc>
        <w:tc>
          <w:tcPr>
            <w:tcW w:w="1353" w:type="dxa"/>
            <w:tcBorders>
              <w:tl2br w:val="nil"/>
              <w:tr2bl w:val="nil"/>
            </w:tcBorders>
            <w:shd w:val="clear" w:color="auto" w:fill="auto"/>
            <w:vAlign w:val="center"/>
          </w:tcPr>
          <w:p w14:paraId="5125D9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192.1900 </w:t>
            </w:r>
          </w:p>
        </w:tc>
      </w:tr>
      <w:tr w14:paraId="2A93A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4592F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2250 </w:t>
            </w:r>
          </w:p>
        </w:tc>
        <w:tc>
          <w:tcPr>
            <w:tcW w:w="1443" w:type="dxa"/>
            <w:tcBorders>
              <w:tl2br w:val="nil"/>
              <w:tr2bl w:val="nil"/>
            </w:tcBorders>
            <w:shd w:val="clear" w:color="auto" w:fill="auto"/>
            <w:vAlign w:val="center"/>
          </w:tcPr>
          <w:p w14:paraId="55F8A0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28.6010 </w:t>
            </w:r>
          </w:p>
        </w:tc>
        <w:tc>
          <w:tcPr>
            <w:tcW w:w="1394" w:type="dxa"/>
            <w:tcBorders>
              <w:tl2br w:val="nil"/>
              <w:tr2bl w:val="nil"/>
            </w:tcBorders>
            <w:shd w:val="clear" w:color="auto" w:fill="auto"/>
            <w:vAlign w:val="center"/>
          </w:tcPr>
          <w:p w14:paraId="7C9966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190.9400 </w:t>
            </w:r>
          </w:p>
        </w:tc>
        <w:tc>
          <w:tcPr>
            <w:tcW w:w="1079" w:type="dxa"/>
            <w:tcBorders>
              <w:tl2br w:val="nil"/>
              <w:tr2bl w:val="nil"/>
            </w:tcBorders>
            <w:shd w:val="clear" w:color="auto" w:fill="auto"/>
            <w:vAlign w:val="center"/>
          </w:tcPr>
          <w:p w14:paraId="25CDB5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88BFF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28.6010 </w:t>
            </w:r>
          </w:p>
        </w:tc>
        <w:tc>
          <w:tcPr>
            <w:tcW w:w="1353" w:type="dxa"/>
            <w:tcBorders>
              <w:tl2br w:val="nil"/>
              <w:tr2bl w:val="nil"/>
            </w:tcBorders>
            <w:shd w:val="clear" w:color="auto" w:fill="auto"/>
            <w:vAlign w:val="center"/>
          </w:tcPr>
          <w:p w14:paraId="2799F5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190.9400 </w:t>
            </w:r>
          </w:p>
        </w:tc>
      </w:tr>
      <w:tr w14:paraId="585F2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07F9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2260 </w:t>
            </w:r>
          </w:p>
        </w:tc>
        <w:tc>
          <w:tcPr>
            <w:tcW w:w="1443" w:type="dxa"/>
            <w:tcBorders>
              <w:tl2br w:val="nil"/>
              <w:tr2bl w:val="nil"/>
            </w:tcBorders>
            <w:shd w:val="clear" w:color="auto" w:fill="auto"/>
            <w:vAlign w:val="center"/>
          </w:tcPr>
          <w:p w14:paraId="0D8939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28.6980 </w:t>
            </w:r>
          </w:p>
        </w:tc>
        <w:tc>
          <w:tcPr>
            <w:tcW w:w="1394" w:type="dxa"/>
            <w:tcBorders>
              <w:tl2br w:val="nil"/>
              <w:tr2bl w:val="nil"/>
            </w:tcBorders>
            <w:shd w:val="clear" w:color="auto" w:fill="auto"/>
            <w:vAlign w:val="center"/>
          </w:tcPr>
          <w:p w14:paraId="63AE29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189.6900 </w:t>
            </w:r>
          </w:p>
        </w:tc>
        <w:tc>
          <w:tcPr>
            <w:tcW w:w="1079" w:type="dxa"/>
            <w:tcBorders>
              <w:tl2br w:val="nil"/>
              <w:tr2bl w:val="nil"/>
            </w:tcBorders>
            <w:shd w:val="clear" w:color="auto" w:fill="auto"/>
            <w:vAlign w:val="center"/>
          </w:tcPr>
          <w:p w14:paraId="409AEE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FE1D1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28.6980 </w:t>
            </w:r>
          </w:p>
        </w:tc>
        <w:tc>
          <w:tcPr>
            <w:tcW w:w="1353" w:type="dxa"/>
            <w:tcBorders>
              <w:tl2br w:val="nil"/>
              <w:tr2bl w:val="nil"/>
            </w:tcBorders>
            <w:shd w:val="clear" w:color="auto" w:fill="auto"/>
            <w:vAlign w:val="center"/>
          </w:tcPr>
          <w:p w14:paraId="10B24F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189.6900 </w:t>
            </w:r>
          </w:p>
        </w:tc>
      </w:tr>
      <w:tr w14:paraId="6BD8D7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B5D50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2270 </w:t>
            </w:r>
          </w:p>
        </w:tc>
        <w:tc>
          <w:tcPr>
            <w:tcW w:w="1443" w:type="dxa"/>
            <w:tcBorders>
              <w:tl2br w:val="nil"/>
              <w:tr2bl w:val="nil"/>
            </w:tcBorders>
            <w:shd w:val="clear" w:color="auto" w:fill="auto"/>
            <w:vAlign w:val="center"/>
          </w:tcPr>
          <w:p w14:paraId="708DFA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28.7950 </w:t>
            </w:r>
          </w:p>
        </w:tc>
        <w:tc>
          <w:tcPr>
            <w:tcW w:w="1394" w:type="dxa"/>
            <w:tcBorders>
              <w:tl2br w:val="nil"/>
              <w:tr2bl w:val="nil"/>
            </w:tcBorders>
            <w:shd w:val="clear" w:color="auto" w:fill="auto"/>
            <w:vAlign w:val="center"/>
          </w:tcPr>
          <w:p w14:paraId="0EDD1C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188.4600 </w:t>
            </w:r>
          </w:p>
        </w:tc>
        <w:tc>
          <w:tcPr>
            <w:tcW w:w="1079" w:type="dxa"/>
            <w:tcBorders>
              <w:tl2br w:val="nil"/>
              <w:tr2bl w:val="nil"/>
            </w:tcBorders>
            <w:shd w:val="clear" w:color="auto" w:fill="auto"/>
            <w:vAlign w:val="center"/>
          </w:tcPr>
          <w:p w14:paraId="509517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50BF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28.7950 </w:t>
            </w:r>
          </w:p>
        </w:tc>
        <w:tc>
          <w:tcPr>
            <w:tcW w:w="1353" w:type="dxa"/>
            <w:tcBorders>
              <w:tl2br w:val="nil"/>
              <w:tr2bl w:val="nil"/>
            </w:tcBorders>
            <w:shd w:val="clear" w:color="auto" w:fill="auto"/>
            <w:vAlign w:val="center"/>
          </w:tcPr>
          <w:p w14:paraId="72C37D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188.4600 </w:t>
            </w:r>
          </w:p>
        </w:tc>
      </w:tr>
      <w:tr w14:paraId="0FC3B6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5E152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2280 </w:t>
            </w:r>
          </w:p>
        </w:tc>
        <w:tc>
          <w:tcPr>
            <w:tcW w:w="1443" w:type="dxa"/>
            <w:tcBorders>
              <w:tl2br w:val="nil"/>
              <w:tr2bl w:val="nil"/>
            </w:tcBorders>
            <w:shd w:val="clear" w:color="auto" w:fill="auto"/>
            <w:vAlign w:val="center"/>
          </w:tcPr>
          <w:p w14:paraId="399F08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28.8920 </w:t>
            </w:r>
          </w:p>
        </w:tc>
        <w:tc>
          <w:tcPr>
            <w:tcW w:w="1394" w:type="dxa"/>
            <w:tcBorders>
              <w:tl2br w:val="nil"/>
              <w:tr2bl w:val="nil"/>
            </w:tcBorders>
            <w:shd w:val="clear" w:color="auto" w:fill="auto"/>
            <w:vAlign w:val="center"/>
          </w:tcPr>
          <w:p w14:paraId="647A3B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187.2400 </w:t>
            </w:r>
          </w:p>
        </w:tc>
        <w:tc>
          <w:tcPr>
            <w:tcW w:w="1079" w:type="dxa"/>
            <w:tcBorders>
              <w:tl2br w:val="nil"/>
              <w:tr2bl w:val="nil"/>
            </w:tcBorders>
            <w:shd w:val="clear" w:color="auto" w:fill="auto"/>
            <w:vAlign w:val="center"/>
          </w:tcPr>
          <w:p w14:paraId="62547B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D77D6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28.8920 </w:t>
            </w:r>
          </w:p>
        </w:tc>
        <w:tc>
          <w:tcPr>
            <w:tcW w:w="1353" w:type="dxa"/>
            <w:tcBorders>
              <w:tl2br w:val="nil"/>
              <w:tr2bl w:val="nil"/>
            </w:tcBorders>
            <w:shd w:val="clear" w:color="auto" w:fill="auto"/>
            <w:vAlign w:val="center"/>
          </w:tcPr>
          <w:p w14:paraId="476F69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187.2400 </w:t>
            </w:r>
          </w:p>
        </w:tc>
      </w:tr>
      <w:tr w14:paraId="3D8210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6C42A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2290 </w:t>
            </w:r>
          </w:p>
        </w:tc>
        <w:tc>
          <w:tcPr>
            <w:tcW w:w="1443" w:type="dxa"/>
            <w:tcBorders>
              <w:tl2br w:val="nil"/>
              <w:tr2bl w:val="nil"/>
            </w:tcBorders>
            <w:shd w:val="clear" w:color="auto" w:fill="auto"/>
            <w:vAlign w:val="center"/>
          </w:tcPr>
          <w:p w14:paraId="27A50D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28.9880 </w:t>
            </w:r>
          </w:p>
        </w:tc>
        <w:tc>
          <w:tcPr>
            <w:tcW w:w="1394" w:type="dxa"/>
            <w:tcBorders>
              <w:tl2br w:val="nil"/>
              <w:tr2bl w:val="nil"/>
            </w:tcBorders>
            <w:shd w:val="clear" w:color="auto" w:fill="auto"/>
            <w:vAlign w:val="center"/>
          </w:tcPr>
          <w:p w14:paraId="516F67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186.0300 </w:t>
            </w:r>
          </w:p>
        </w:tc>
        <w:tc>
          <w:tcPr>
            <w:tcW w:w="1079" w:type="dxa"/>
            <w:tcBorders>
              <w:tl2br w:val="nil"/>
              <w:tr2bl w:val="nil"/>
            </w:tcBorders>
            <w:shd w:val="clear" w:color="auto" w:fill="auto"/>
            <w:vAlign w:val="center"/>
          </w:tcPr>
          <w:p w14:paraId="4ACADA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EB7E5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28.9880 </w:t>
            </w:r>
          </w:p>
        </w:tc>
        <w:tc>
          <w:tcPr>
            <w:tcW w:w="1353" w:type="dxa"/>
            <w:tcBorders>
              <w:tl2br w:val="nil"/>
              <w:tr2bl w:val="nil"/>
            </w:tcBorders>
            <w:shd w:val="clear" w:color="auto" w:fill="auto"/>
            <w:vAlign w:val="center"/>
          </w:tcPr>
          <w:p w14:paraId="29F57A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186.0300 </w:t>
            </w:r>
          </w:p>
        </w:tc>
      </w:tr>
      <w:tr w14:paraId="7AC8E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C4C76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2300 </w:t>
            </w:r>
          </w:p>
        </w:tc>
        <w:tc>
          <w:tcPr>
            <w:tcW w:w="1443" w:type="dxa"/>
            <w:tcBorders>
              <w:tl2br w:val="nil"/>
              <w:tr2bl w:val="nil"/>
            </w:tcBorders>
            <w:shd w:val="clear" w:color="auto" w:fill="auto"/>
            <w:vAlign w:val="center"/>
          </w:tcPr>
          <w:p w14:paraId="6F6F44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29.0850 </w:t>
            </w:r>
          </w:p>
        </w:tc>
        <w:tc>
          <w:tcPr>
            <w:tcW w:w="1394" w:type="dxa"/>
            <w:tcBorders>
              <w:tl2br w:val="nil"/>
              <w:tr2bl w:val="nil"/>
            </w:tcBorders>
            <w:shd w:val="clear" w:color="auto" w:fill="auto"/>
            <w:vAlign w:val="center"/>
          </w:tcPr>
          <w:p w14:paraId="7A4079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184.8400 </w:t>
            </w:r>
          </w:p>
        </w:tc>
        <w:tc>
          <w:tcPr>
            <w:tcW w:w="1079" w:type="dxa"/>
            <w:tcBorders>
              <w:tl2br w:val="nil"/>
              <w:tr2bl w:val="nil"/>
            </w:tcBorders>
            <w:shd w:val="clear" w:color="auto" w:fill="auto"/>
            <w:vAlign w:val="center"/>
          </w:tcPr>
          <w:p w14:paraId="024209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3B9A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29.0850 </w:t>
            </w:r>
          </w:p>
        </w:tc>
        <w:tc>
          <w:tcPr>
            <w:tcW w:w="1353" w:type="dxa"/>
            <w:tcBorders>
              <w:tl2br w:val="nil"/>
              <w:tr2bl w:val="nil"/>
            </w:tcBorders>
            <w:shd w:val="clear" w:color="auto" w:fill="auto"/>
            <w:vAlign w:val="center"/>
          </w:tcPr>
          <w:p w14:paraId="206CD5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184.8400 </w:t>
            </w:r>
          </w:p>
        </w:tc>
      </w:tr>
      <w:tr w14:paraId="0026B3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9AC5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2310 </w:t>
            </w:r>
          </w:p>
        </w:tc>
        <w:tc>
          <w:tcPr>
            <w:tcW w:w="1443" w:type="dxa"/>
            <w:tcBorders>
              <w:tl2br w:val="nil"/>
              <w:tr2bl w:val="nil"/>
            </w:tcBorders>
            <w:shd w:val="clear" w:color="auto" w:fill="auto"/>
            <w:vAlign w:val="center"/>
          </w:tcPr>
          <w:p w14:paraId="626C80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29.1820 </w:t>
            </w:r>
          </w:p>
        </w:tc>
        <w:tc>
          <w:tcPr>
            <w:tcW w:w="1394" w:type="dxa"/>
            <w:tcBorders>
              <w:tl2br w:val="nil"/>
              <w:tr2bl w:val="nil"/>
            </w:tcBorders>
            <w:shd w:val="clear" w:color="auto" w:fill="auto"/>
            <w:vAlign w:val="center"/>
          </w:tcPr>
          <w:p w14:paraId="2399A4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183.6500 </w:t>
            </w:r>
          </w:p>
        </w:tc>
        <w:tc>
          <w:tcPr>
            <w:tcW w:w="1079" w:type="dxa"/>
            <w:tcBorders>
              <w:tl2br w:val="nil"/>
              <w:tr2bl w:val="nil"/>
            </w:tcBorders>
            <w:shd w:val="clear" w:color="auto" w:fill="auto"/>
            <w:vAlign w:val="center"/>
          </w:tcPr>
          <w:p w14:paraId="3ADF56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BC56C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29.1820 </w:t>
            </w:r>
          </w:p>
        </w:tc>
        <w:tc>
          <w:tcPr>
            <w:tcW w:w="1353" w:type="dxa"/>
            <w:tcBorders>
              <w:tl2br w:val="nil"/>
              <w:tr2bl w:val="nil"/>
            </w:tcBorders>
            <w:shd w:val="clear" w:color="auto" w:fill="auto"/>
            <w:vAlign w:val="center"/>
          </w:tcPr>
          <w:p w14:paraId="74277C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183.6500 </w:t>
            </w:r>
          </w:p>
        </w:tc>
      </w:tr>
      <w:tr w14:paraId="1FB71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030AC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2320 </w:t>
            </w:r>
          </w:p>
        </w:tc>
        <w:tc>
          <w:tcPr>
            <w:tcW w:w="1443" w:type="dxa"/>
            <w:tcBorders>
              <w:tl2br w:val="nil"/>
              <w:tr2bl w:val="nil"/>
            </w:tcBorders>
            <w:shd w:val="clear" w:color="auto" w:fill="auto"/>
            <w:vAlign w:val="center"/>
          </w:tcPr>
          <w:p w14:paraId="0D15AA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29.2780 </w:t>
            </w:r>
          </w:p>
        </w:tc>
        <w:tc>
          <w:tcPr>
            <w:tcW w:w="1394" w:type="dxa"/>
            <w:tcBorders>
              <w:tl2br w:val="nil"/>
              <w:tr2bl w:val="nil"/>
            </w:tcBorders>
            <w:shd w:val="clear" w:color="auto" w:fill="auto"/>
            <w:vAlign w:val="center"/>
          </w:tcPr>
          <w:p w14:paraId="4DC7E5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182.4800 </w:t>
            </w:r>
          </w:p>
        </w:tc>
        <w:tc>
          <w:tcPr>
            <w:tcW w:w="1079" w:type="dxa"/>
            <w:tcBorders>
              <w:tl2br w:val="nil"/>
              <w:tr2bl w:val="nil"/>
            </w:tcBorders>
            <w:shd w:val="clear" w:color="auto" w:fill="auto"/>
            <w:vAlign w:val="center"/>
          </w:tcPr>
          <w:p w14:paraId="0622E0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3C12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29.2780 </w:t>
            </w:r>
          </w:p>
        </w:tc>
        <w:tc>
          <w:tcPr>
            <w:tcW w:w="1353" w:type="dxa"/>
            <w:tcBorders>
              <w:tl2br w:val="nil"/>
              <w:tr2bl w:val="nil"/>
            </w:tcBorders>
            <w:shd w:val="clear" w:color="auto" w:fill="auto"/>
            <w:vAlign w:val="center"/>
          </w:tcPr>
          <w:p w14:paraId="51D089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182.4800 </w:t>
            </w:r>
          </w:p>
        </w:tc>
      </w:tr>
      <w:tr w14:paraId="0E4579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5F990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2330 </w:t>
            </w:r>
          </w:p>
        </w:tc>
        <w:tc>
          <w:tcPr>
            <w:tcW w:w="1443" w:type="dxa"/>
            <w:tcBorders>
              <w:tl2br w:val="nil"/>
              <w:tr2bl w:val="nil"/>
            </w:tcBorders>
            <w:shd w:val="clear" w:color="auto" w:fill="auto"/>
            <w:vAlign w:val="center"/>
          </w:tcPr>
          <w:p w14:paraId="239A9E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29.3740 </w:t>
            </w:r>
          </w:p>
        </w:tc>
        <w:tc>
          <w:tcPr>
            <w:tcW w:w="1394" w:type="dxa"/>
            <w:tcBorders>
              <w:tl2br w:val="nil"/>
              <w:tr2bl w:val="nil"/>
            </w:tcBorders>
            <w:shd w:val="clear" w:color="auto" w:fill="auto"/>
            <w:vAlign w:val="center"/>
          </w:tcPr>
          <w:p w14:paraId="5A973A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181.3200 </w:t>
            </w:r>
          </w:p>
        </w:tc>
        <w:tc>
          <w:tcPr>
            <w:tcW w:w="1079" w:type="dxa"/>
            <w:tcBorders>
              <w:tl2br w:val="nil"/>
              <w:tr2bl w:val="nil"/>
            </w:tcBorders>
            <w:shd w:val="clear" w:color="auto" w:fill="auto"/>
            <w:vAlign w:val="center"/>
          </w:tcPr>
          <w:p w14:paraId="7496AB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26EC5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29.3740 </w:t>
            </w:r>
          </w:p>
        </w:tc>
        <w:tc>
          <w:tcPr>
            <w:tcW w:w="1353" w:type="dxa"/>
            <w:tcBorders>
              <w:tl2br w:val="nil"/>
              <w:tr2bl w:val="nil"/>
            </w:tcBorders>
            <w:shd w:val="clear" w:color="auto" w:fill="auto"/>
            <w:vAlign w:val="center"/>
          </w:tcPr>
          <w:p w14:paraId="37D163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181.3200 </w:t>
            </w:r>
          </w:p>
        </w:tc>
      </w:tr>
      <w:tr w14:paraId="07FE78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7ED5C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2340 </w:t>
            </w:r>
          </w:p>
        </w:tc>
        <w:tc>
          <w:tcPr>
            <w:tcW w:w="1443" w:type="dxa"/>
            <w:tcBorders>
              <w:tl2br w:val="nil"/>
              <w:tr2bl w:val="nil"/>
            </w:tcBorders>
            <w:shd w:val="clear" w:color="auto" w:fill="auto"/>
            <w:vAlign w:val="center"/>
          </w:tcPr>
          <w:p w14:paraId="28A524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29.4710 </w:t>
            </w:r>
          </w:p>
        </w:tc>
        <w:tc>
          <w:tcPr>
            <w:tcW w:w="1394" w:type="dxa"/>
            <w:tcBorders>
              <w:tl2br w:val="nil"/>
              <w:tr2bl w:val="nil"/>
            </w:tcBorders>
            <w:shd w:val="clear" w:color="auto" w:fill="auto"/>
            <w:vAlign w:val="center"/>
          </w:tcPr>
          <w:p w14:paraId="14AB97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180.1700 </w:t>
            </w:r>
          </w:p>
        </w:tc>
        <w:tc>
          <w:tcPr>
            <w:tcW w:w="1079" w:type="dxa"/>
            <w:tcBorders>
              <w:tl2br w:val="nil"/>
              <w:tr2bl w:val="nil"/>
            </w:tcBorders>
            <w:shd w:val="clear" w:color="auto" w:fill="auto"/>
            <w:vAlign w:val="center"/>
          </w:tcPr>
          <w:p w14:paraId="55E517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4FA1F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29.4710 </w:t>
            </w:r>
          </w:p>
        </w:tc>
        <w:tc>
          <w:tcPr>
            <w:tcW w:w="1353" w:type="dxa"/>
            <w:tcBorders>
              <w:tl2br w:val="nil"/>
              <w:tr2bl w:val="nil"/>
            </w:tcBorders>
            <w:shd w:val="clear" w:color="auto" w:fill="auto"/>
            <w:vAlign w:val="center"/>
          </w:tcPr>
          <w:p w14:paraId="306C8E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180.1700 </w:t>
            </w:r>
          </w:p>
        </w:tc>
      </w:tr>
      <w:tr w14:paraId="0DE11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0D759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2350 </w:t>
            </w:r>
          </w:p>
        </w:tc>
        <w:tc>
          <w:tcPr>
            <w:tcW w:w="1443" w:type="dxa"/>
            <w:tcBorders>
              <w:tl2br w:val="nil"/>
              <w:tr2bl w:val="nil"/>
            </w:tcBorders>
            <w:shd w:val="clear" w:color="auto" w:fill="auto"/>
            <w:vAlign w:val="center"/>
          </w:tcPr>
          <w:p w14:paraId="19CA79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29.5670 </w:t>
            </w:r>
          </w:p>
        </w:tc>
        <w:tc>
          <w:tcPr>
            <w:tcW w:w="1394" w:type="dxa"/>
            <w:tcBorders>
              <w:tl2br w:val="nil"/>
              <w:tr2bl w:val="nil"/>
            </w:tcBorders>
            <w:shd w:val="clear" w:color="auto" w:fill="auto"/>
            <w:vAlign w:val="center"/>
          </w:tcPr>
          <w:p w14:paraId="2807B5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179.0300 </w:t>
            </w:r>
          </w:p>
        </w:tc>
        <w:tc>
          <w:tcPr>
            <w:tcW w:w="1079" w:type="dxa"/>
            <w:tcBorders>
              <w:tl2br w:val="nil"/>
              <w:tr2bl w:val="nil"/>
            </w:tcBorders>
            <w:shd w:val="clear" w:color="auto" w:fill="auto"/>
            <w:vAlign w:val="center"/>
          </w:tcPr>
          <w:p w14:paraId="30FFDE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D0D6D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29.5670 </w:t>
            </w:r>
          </w:p>
        </w:tc>
        <w:tc>
          <w:tcPr>
            <w:tcW w:w="1353" w:type="dxa"/>
            <w:tcBorders>
              <w:tl2br w:val="nil"/>
              <w:tr2bl w:val="nil"/>
            </w:tcBorders>
            <w:shd w:val="clear" w:color="auto" w:fill="auto"/>
            <w:vAlign w:val="center"/>
          </w:tcPr>
          <w:p w14:paraId="66873D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179.0300 </w:t>
            </w:r>
          </w:p>
        </w:tc>
      </w:tr>
      <w:tr w14:paraId="598FE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CD52F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2360 </w:t>
            </w:r>
          </w:p>
        </w:tc>
        <w:tc>
          <w:tcPr>
            <w:tcW w:w="1443" w:type="dxa"/>
            <w:tcBorders>
              <w:tl2br w:val="nil"/>
              <w:tr2bl w:val="nil"/>
            </w:tcBorders>
            <w:shd w:val="clear" w:color="auto" w:fill="auto"/>
            <w:vAlign w:val="center"/>
          </w:tcPr>
          <w:p w14:paraId="78CB71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29.6630 </w:t>
            </w:r>
          </w:p>
        </w:tc>
        <w:tc>
          <w:tcPr>
            <w:tcW w:w="1394" w:type="dxa"/>
            <w:tcBorders>
              <w:tl2br w:val="nil"/>
              <w:tr2bl w:val="nil"/>
            </w:tcBorders>
            <w:shd w:val="clear" w:color="auto" w:fill="auto"/>
            <w:vAlign w:val="center"/>
          </w:tcPr>
          <w:p w14:paraId="17D3B1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177.9100 </w:t>
            </w:r>
          </w:p>
        </w:tc>
        <w:tc>
          <w:tcPr>
            <w:tcW w:w="1079" w:type="dxa"/>
            <w:tcBorders>
              <w:tl2br w:val="nil"/>
              <w:tr2bl w:val="nil"/>
            </w:tcBorders>
            <w:shd w:val="clear" w:color="auto" w:fill="auto"/>
            <w:vAlign w:val="center"/>
          </w:tcPr>
          <w:p w14:paraId="65D35B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75F86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29.6630 </w:t>
            </w:r>
          </w:p>
        </w:tc>
        <w:tc>
          <w:tcPr>
            <w:tcW w:w="1353" w:type="dxa"/>
            <w:tcBorders>
              <w:tl2br w:val="nil"/>
              <w:tr2bl w:val="nil"/>
            </w:tcBorders>
            <w:shd w:val="clear" w:color="auto" w:fill="auto"/>
            <w:vAlign w:val="center"/>
          </w:tcPr>
          <w:p w14:paraId="6AC545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177.9100 </w:t>
            </w:r>
          </w:p>
        </w:tc>
      </w:tr>
      <w:tr w14:paraId="2FCE07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1C68E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2370 </w:t>
            </w:r>
          </w:p>
        </w:tc>
        <w:tc>
          <w:tcPr>
            <w:tcW w:w="1443" w:type="dxa"/>
            <w:tcBorders>
              <w:tl2br w:val="nil"/>
              <w:tr2bl w:val="nil"/>
            </w:tcBorders>
            <w:shd w:val="clear" w:color="auto" w:fill="auto"/>
            <w:vAlign w:val="center"/>
          </w:tcPr>
          <w:p w14:paraId="28A120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29.7590 </w:t>
            </w:r>
          </w:p>
        </w:tc>
        <w:tc>
          <w:tcPr>
            <w:tcW w:w="1394" w:type="dxa"/>
            <w:tcBorders>
              <w:tl2br w:val="nil"/>
              <w:tr2bl w:val="nil"/>
            </w:tcBorders>
            <w:shd w:val="clear" w:color="auto" w:fill="auto"/>
            <w:vAlign w:val="center"/>
          </w:tcPr>
          <w:p w14:paraId="1F2B08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176.7900 </w:t>
            </w:r>
          </w:p>
        </w:tc>
        <w:tc>
          <w:tcPr>
            <w:tcW w:w="1079" w:type="dxa"/>
            <w:tcBorders>
              <w:tl2br w:val="nil"/>
              <w:tr2bl w:val="nil"/>
            </w:tcBorders>
            <w:shd w:val="clear" w:color="auto" w:fill="auto"/>
            <w:vAlign w:val="center"/>
          </w:tcPr>
          <w:p w14:paraId="35E9AC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A695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29.7590 </w:t>
            </w:r>
          </w:p>
        </w:tc>
        <w:tc>
          <w:tcPr>
            <w:tcW w:w="1353" w:type="dxa"/>
            <w:tcBorders>
              <w:tl2br w:val="nil"/>
              <w:tr2bl w:val="nil"/>
            </w:tcBorders>
            <w:shd w:val="clear" w:color="auto" w:fill="auto"/>
            <w:vAlign w:val="center"/>
          </w:tcPr>
          <w:p w14:paraId="5C48A1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176.7900 </w:t>
            </w:r>
          </w:p>
        </w:tc>
      </w:tr>
      <w:tr w14:paraId="799F8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4A85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2380 </w:t>
            </w:r>
          </w:p>
        </w:tc>
        <w:tc>
          <w:tcPr>
            <w:tcW w:w="1443" w:type="dxa"/>
            <w:tcBorders>
              <w:tl2br w:val="nil"/>
              <w:tr2bl w:val="nil"/>
            </w:tcBorders>
            <w:shd w:val="clear" w:color="auto" w:fill="auto"/>
            <w:vAlign w:val="center"/>
          </w:tcPr>
          <w:p w14:paraId="49491A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29.8550 </w:t>
            </w:r>
          </w:p>
        </w:tc>
        <w:tc>
          <w:tcPr>
            <w:tcW w:w="1394" w:type="dxa"/>
            <w:tcBorders>
              <w:tl2br w:val="nil"/>
              <w:tr2bl w:val="nil"/>
            </w:tcBorders>
            <w:shd w:val="clear" w:color="auto" w:fill="auto"/>
            <w:vAlign w:val="center"/>
          </w:tcPr>
          <w:p w14:paraId="66820A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175.6900 </w:t>
            </w:r>
          </w:p>
        </w:tc>
        <w:tc>
          <w:tcPr>
            <w:tcW w:w="1079" w:type="dxa"/>
            <w:tcBorders>
              <w:tl2br w:val="nil"/>
              <w:tr2bl w:val="nil"/>
            </w:tcBorders>
            <w:shd w:val="clear" w:color="auto" w:fill="auto"/>
            <w:vAlign w:val="center"/>
          </w:tcPr>
          <w:p w14:paraId="78CC05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51C66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29.8550 </w:t>
            </w:r>
          </w:p>
        </w:tc>
        <w:tc>
          <w:tcPr>
            <w:tcW w:w="1353" w:type="dxa"/>
            <w:tcBorders>
              <w:tl2br w:val="nil"/>
              <w:tr2bl w:val="nil"/>
            </w:tcBorders>
            <w:shd w:val="clear" w:color="auto" w:fill="auto"/>
            <w:vAlign w:val="center"/>
          </w:tcPr>
          <w:p w14:paraId="72C062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175.6900 </w:t>
            </w:r>
          </w:p>
        </w:tc>
      </w:tr>
      <w:tr w14:paraId="24A5B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54EB6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2390 </w:t>
            </w:r>
          </w:p>
        </w:tc>
        <w:tc>
          <w:tcPr>
            <w:tcW w:w="1443" w:type="dxa"/>
            <w:tcBorders>
              <w:tl2br w:val="nil"/>
              <w:tr2bl w:val="nil"/>
            </w:tcBorders>
            <w:shd w:val="clear" w:color="auto" w:fill="auto"/>
            <w:vAlign w:val="center"/>
          </w:tcPr>
          <w:p w14:paraId="22969D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29.9510 </w:t>
            </w:r>
          </w:p>
        </w:tc>
        <w:tc>
          <w:tcPr>
            <w:tcW w:w="1394" w:type="dxa"/>
            <w:tcBorders>
              <w:tl2br w:val="nil"/>
              <w:tr2bl w:val="nil"/>
            </w:tcBorders>
            <w:shd w:val="clear" w:color="auto" w:fill="auto"/>
            <w:vAlign w:val="center"/>
          </w:tcPr>
          <w:p w14:paraId="5C72D2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174.5900 </w:t>
            </w:r>
          </w:p>
        </w:tc>
        <w:tc>
          <w:tcPr>
            <w:tcW w:w="1079" w:type="dxa"/>
            <w:tcBorders>
              <w:tl2br w:val="nil"/>
              <w:tr2bl w:val="nil"/>
            </w:tcBorders>
            <w:shd w:val="clear" w:color="auto" w:fill="auto"/>
            <w:vAlign w:val="center"/>
          </w:tcPr>
          <w:p w14:paraId="687819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397B9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29.9510 </w:t>
            </w:r>
          </w:p>
        </w:tc>
        <w:tc>
          <w:tcPr>
            <w:tcW w:w="1353" w:type="dxa"/>
            <w:tcBorders>
              <w:tl2br w:val="nil"/>
              <w:tr2bl w:val="nil"/>
            </w:tcBorders>
            <w:shd w:val="clear" w:color="auto" w:fill="auto"/>
            <w:vAlign w:val="center"/>
          </w:tcPr>
          <w:p w14:paraId="2DF442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174.5900 </w:t>
            </w:r>
          </w:p>
        </w:tc>
      </w:tr>
      <w:tr w14:paraId="2593B4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26B66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2400 </w:t>
            </w:r>
          </w:p>
        </w:tc>
        <w:tc>
          <w:tcPr>
            <w:tcW w:w="1443" w:type="dxa"/>
            <w:tcBorders>
              <w:tl2br w:val="nil"/>
              <w:tr2bl w:val="nil"/>
            </w:tcBorders>
            <w:shd w:val="clear" w:color="auto" w:fill="auto"/>
            <w:vAlign w:val="center"/>
          </w:tcPr>
          <w:p w14:paraId="315FC4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30.0470 </w:t>
            </w:r>
          </w:p>
        </w:tc>
        <w:tc>
          <w:tcPr>
            <w:tcW w:w="1394" w:type="dxa"/>
            <w:tcBorders>
              <w:tl2br w:val="nil"/>
              <w:tr2bl w:val="nil"/>
            </w:tcBorders>
            <w:shd w:val="clear" w:color="auto" w:fill="auto"/>
            <w:vAlign w:val="center"/>
          </w:tcPr>
          <w:p w14:paraId="1399EB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173.5100 </w:t>
            </w:r>
          </w:p>
        </w:tc>
        <w:tc>
          <w:tcPr>
            <w:tcW w:w="1079" w:type="dxa"/>
            <w:tcBorders>
              <w:tl2br w:val="nil"/>
              <w:tr2bl w:val="nil"/>
            </w:tcBorders>
            <w:shd w:val="clear" w:color="auto" w:fill="auto"/>
            <w:vAlign w:val="center"/>
          </w:tcPr>
          <w:p w14:paraId="1E6047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59F77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30.0470 </w:t>
            </w:r>
          </w:p>
        </w:tc>
        <w:tc>
          <w:tcPr>
            <w:tcW w:w="1353" w:type="dxa"/>
            <w:tcBorders>
              <w:tl2br w:val="nil"/>
              <w:tr2bl w:val="nil"/>
            </w:tcBorders>
            <w:shd w:val="clear" w:color="auto" w:fill="auto"/>
            <w:vAlign w:val="center"/>
          </w:tcPr>
          <w:p w14:paraId="531A0A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173.5100 </w:t>
            </w:r>
          </w:p>
        </w:tc>
      </w:tr>
      <w:tr w14:paraId="0DEA81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B22E8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2410 </w:t>
            </w:r>
          </w:p>
        </w:tc>
        <w:tc>
          <w:tcPr>
            <w:tcW w:w="1443" w:type="dxa"/>
            <w:tcBorders>
              <w:tl2br w:val="nil"/>
              <w:tr2bl w:val="nil"/>
            </w:tcBorders>
            <w:shd w:val="clear" w:color="auto" w:fill="auto"/>
            <w:vAlign w:val="center"/>
          </w:tcPr>
          <w:p w14:paraId="761419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30.1420 </w:t>
            </w:r>
          </w:p>
        </w:tc>
        <w:tc>
          <w:tcPr>
            <w:tcW w:w="1394" w:type="dxa"/>
            <w:tcBorders>
              <w:tl2br w:val="nil"/>
              <w:tr2bl w:val="nil"/>
            </w:tcBorders>
            <w:shd w:val="clear" w:color="auto" w:fill="auto"/>
            <w:vAlign w:val="center"/>
          </w:tcPr>
          <w:p w14:paraId="2855E1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172.4400 </w:t>
            </w:r>
          </w:p>
        </w:tc>
        <w:tc>
          <w:tcPr>
            <w:tcW w:w="1079" w:type="dxa"/>
            <w:tcBorders>
              <w:tl2br w:val="nil"/>
              <w:tr2bl w:val="nil"/>
            </w:tcBorders>
            <w:shd w:val="clear" w:color="auto" w:fill="auto"/>
            <w:vAlign w:val="center"/>
          </w:tcPr>
          <w:p w14:paraId="3C7434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4E7B9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30.1420 </w:t>
            </w:r>
          </w:p>
        </w:tc>
        <w:tc>
          <w:tcPr>
            <w:tcW w:w="1353" w:type="dxa"/>
            <w:tcBorders>
              <w:tl2br w:val="nil"/>
              <w:tr2bl w:val="nil"/>
            </w:tcBorders>
            <w:shd w:val="clear" w:color="auto" w:fill="auto"/>
            <w:vAlign w:val="center"/>
          </w:tcPr>
          <w:p w14:paraId="28E1B5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172.4400 </w:t>
            </w:r>
          </w:p>
        </w:tc>
      </w:tr>
      <w:tr w14:paraId="44CF9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B231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2420 </w:t>
            </w:r>
          </w:p>
        </w:tc>
        <w:tc>
          <w:tcPr>
            <w:tcW w:w="1443" w:type="dxa"/>
            <w:tcBorders>
              <w:tl2br w:val="nil"/>
              <w:tr2bl w:val="nil"/>
            </w:tcBorders>
            <w:shd w:val="clear" w:color="auto" w:fill="auto"/>
            <w:vAlign w:val="center"/>
          </w:tcPr>
          <w:p w14:paraId="160642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30.2380 </w:t>
            </w:r>
          </w:p>
        </w:tc>
        <w:tc>
          <w:tcPr>
            <w:tcW w:w="1394" w:type="dxa"/>
            <w:tcBorders>
              <w:tl2br w:val="nil"/>
              <w:tr2bl w:val="nil"/>
            </w:tcBorders>
            <w:shd w:val="clear" w:color="auto" w:fill="auto"/>
            <w:vAlign w:val="center"/>
          </w:tcPr>
          <w:p w14:paraId="046B20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171.3800 </w:t>
            </w:r>
          </w:p>
        </w:tc>
        <w:tc>
          <w:tcPr>
            <w:tcW w:w="1079" w:type="dxa"/>
            <w:tcBorders>
              <w:tl2br w:val="nil"/>
              <w:tr2bl w:val="nil"/>
            </w:tcBorders>
            <w:shd w:val="clear" w:color="auto" w:fill="auto"/>
            <w:vAlign w:val="center"/>
          </w:tcPr>
          <w:p w14:paraId="4FAB8C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E101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30.2380 </w:t>
            </w:r>
          </w:p>
        </w:tc>
        <w:tc>
          <w:tcPr>
            <w:tcW w:w="1353" w:type="dxa"/>
            <w:tcBorders>
              <w:tl2br w:val="nil"/>
              <w:tr2bl w:val="nil"/>
            </w:tcBorders>
            <w:shd w:val="clear" w:color="auto" w:fill="auto"/>
            <w:vAlign w:val="center"/>
          </w:tcPr>
          <w:p w14:paraId="507A77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171.3800 </w:t>
            </w:r>
          </w:p>
        </w:tc>
      </w:tr>
      <w:tr w14:paraId="19ABB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4D372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2430 </w:t>
            </w:r>
          </w:p>
        </w:tc>
        <w:tc>
          <w:tcPr>
            <w:tcW w:w="1443" w:type="dxa"/>
            <w:tcBorders>
              <w:tl2br w:val="nil"/>
              <w:tr2bl w:val="nil"/>
            </w:tcBorders>
            <w:shd w:val="clear" w:color="auto" w:fill="auto"/>
            <w:vAlign w:val="center"/>
          </w:tcPr>
          <w:p w14:paraId="1B65C6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30.3340 </w:t>
            </w:r>
          </w:p>
        </w:tc>
        <w:tc>
          <w:tcPr>
            <w:tcW w:w="1394" w:type="dxa"/>
            <w:tcBorders>
              <w:tl2br w:val="nil"/>
              <w:tr2bl w:val="nil"/>
            </w:tcBorders>
            <w:shd w:val="clear" w:color="auto" w:fill="auto"/>
            <w:vAlign w:val="center"/>
          </w:tcPr>
          <w:p w14:paraId="6BF445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170.3200 </w:t>
            </w:r>
          </w:p>
        </w:tc>
        <w:tc>
          <w:tcPr>
            <w:tcW w:w="1079" w:type="dxa"/>
            <w:tcBorders>
              <w:tl2br w:val="nil"/>
              <w:tr2bl w:val="nil"/>
            </w:tcBorders>
            <w:shd w:val="clear" w:color="auto" w:fill="auto"/>
            <w:vAlign w:val="center"/>
          </w:tcPr>
          <w:p w14:paraId="26A7FD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828FB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30.3340 </w:t>
            </w:r>
          </w:p>
        </w:tc>
        <w:tc>
          <w:tcPr>
            <w:tcW w:w="1353" w:type="dxa"/>
            <w:tcBorders>
              <w:tl2br w:val="nil"/>
              <w:tr2bl w:val="nil"/>
            </w:tcBorders>
            <w:shd w:val="clear" w:color="auto" w:fill="auto"/>
            <w:vAlign w:val="center"/>
          </w:tcPr>
          <w:p w14:paraId="6CA382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170.3200 </w:t>
            </w:r>
          </w:p>
        </w:tc>
      </w:tr>
      <w:tr w14:paraId="696D2A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AF4EB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2440 </w:t>
            </w:r>
          </w:p>
        </w:tc>
        <w:tc>
          <w:tcPr>
            <w:tcW w:w="1443" w:type="dxa"/>
            <w:tcBorders>
              <w:tl2br w:val="nil"/>
              <w:tr2bl w:val="nil"/>
            </w:tcBorders>
            <w:shd w:val="clear" w:color="auto" w:fill="auto"/>
            <w:vAlign w:val="center"/>
          </w:tcPr>
          <w:p w14:paraId="6A6FF6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30.4290 </w:t>
            </w:r>
          </w:p>
        </w:tc>
        <w:tc>
          <w:tcPr>
            <w:tcW w:w="1394" w:type="dxa"/>
            <w:tcBorders>
              <w:tl2br w:val="nil"/>
              <w:tr2bl w:val="nil"/>
            </w:tcBorders>
            <w:shd w:val="clear" w:color="auto" w:fill="auto"/>
            <w:vAlign w:val="center"/>
          </w:tcPr>
          <w:p w14:paraId="702020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169.2800 </w:t>
            </w:r>
          </w:p>
        </w:tc>
        <w:tc>
          <w:tcPr>
            <w:tcW w:w="1079" w:type="dxa"/>
            <w:tcBorders>
              <w:tl2br w:val="nil"/>
              <w:tr2bl w:val="nil"/>
            </w:tcBorders>
            <w:shd w:val="clear" w:color="auto" w:fill="auto"/>
            <w:vAlign w:val="center"/>
          </w:tcPr>
          <w:p w14:paraId="7DEA88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762D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30.4290 </w:t>
            </w:r>
          </w:p>
        </w:tc>
        <w:tc>
          <w:tcPr>
            <w:tcW w:w="1353" w:type="dxa"/>
            <w:tcBorders>
              <w:tl2br w:val="nil"/>
              <w:tr2bl w:val="nil"/>
            </w:tcBorders>
            <w:shd w:val="clear" w:color="auto" w:fill="auto"/>
            <w:vAlign w:val="center"/>
          </w:tcPr>
          <w:p w14:paraId="0FAACA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169.2800 </w:t>
            </w:r>
          </w:p>
        </w:tc>
      </w:tr>
      <w:tr w14:paraId="0841B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7F529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2450 </w:t>
            </w:r>
          </w:p>
        </w:tc>
        <w:tc>
          <w:tcPr>
            <w:tcW w:w="1443" w:type="dxa"/>
            <w:tcBorders>
              <w:tl2br w:val="nil"/>
              <w:tr2bl w:val="nil"/>
            </w:tcBorders>
            <w:shd w:val="clear" w:color="auto" w:fill="auto"/>
            <w:vAlign w:val="center"/>
          </w:tcPr>
          <w:p w14:paraId="10D16B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30.5240 </w:t>
            </w:r>
          </w:p>
        </w:tc>
        <w:tc>
          <w:tcPr>
            <w:tcW w:w="1394" w:type="dxa"/>
            <w:tcBorders>
              <w:tl2br w:val="nil"/>
              <w:tr2bl w:val="nil"/>
            </w:tcBorders>
            <w:shd w:val="clear" w:color="auto" w:fill="auto"/>
            <w:vAlign w:val="center"/>
          </w:tcPr>
          <w:p w14:paraId="16369F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168.2500 </w:t>
            </w:r>
          </w:p>
        </w:tc>
        <w:tc>
          <w:tcPr>
            <w:tcW w:w="1079" w:type="dxa"/>
            <w:tcBorders>
              <w:tl2br w:val="nil"/>
              <w:tr2bl w:val="nil"/>
            </w:tcBorders>
            <w:shd w:val="clear" w:color="auto" w:fill="auto"/>
            <w:vAlign w:val="center"/>
          </w:tcPr>
          <w:p w14:paraId="5C992B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71495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30.5240 </w:t>
            </w:r>
          </w:p>
        </w:tc>
        <w:tc>
          <w:tcPr>
            <w:tcW w:w="1353" w:type="dxa"/>
            <w:tcBorders>
              <w:tl2br w:val="nil"/>
              <w:tr2bl w:val="nil"/>
            </w:tcBorders>
            <w:shd w:val="clear" w:color="auto" w:fill="auto"/>
            <w:vAlign w:val="center"/>
          </w:tcPr>
          <w:p w14:paraId="7D87E7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168.2500 </w:t>
            </w:r>
          </w:p>
        </w:tc>
      </w:tr>
      <w:tr w14:paraId="34CA9C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1D46D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2460 </w:t>
            </w:r>
          </w:p>
        </w:tc>
        <w:tc>
          <w:tcPr>
            <w:tcW w:w="1443" w:type="dxa"/>
            <w:tcBorders>
              <w:tl2br w:val="nil"/>
              <w:tr2bl w:val="nil"/>
            </w:tcBorders>
            <w:shd w:val="clear" w:color="auto" w:fill="auto"/>
            <w:vAlign w:val="center"/>
          </w:tcPr>
          <w:p w14:paraId="498FB7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30.6200 </w:t>
            </w:r>
          </w:p>
        </w:tc>
        <w:tc>
          <w:tcPr>
            <w:tcW w:w="1394" w:type="dxa"/>
            <w:tcBorders>
              <w:tl2br w:val="nil"/>
              <w:tr2bl w:val="nil"/>
            </w:tcBorders>
            <w:shd w:val="clear" w:color="auto" w:fill="auto"/>
            <w:vAlign w:val="center"/>
          </w:tcPr>
          <w:p w14:paraId="0DBB47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167.2300 </w:t>
            </w:r>
          </w:p>
        </w:tc>
        <w:tc>
          <w:tcPr>
            <w:tcW w:w="1079" w:type="dxa"/>
            <w:tcBorders>
              <w:tl2br w:val="nil"/>
              <w:tr2bl w:val="nil"/>
            </w:tcBorders>
            <w:shd w:val="clear" w:color="auto" w:fill="auto"/>
            <w:vAlign w:val="center"/>
          </w:tcPr>
          <w:p w14:paraId="47CB8E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2962E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30.6200 </w:t>
            </w:r>
          </w:p>
        </w:tc>
        <w:tc>
          <w:tcPr>
            <w:tcW w:w="1353" w:type="dxa"/>
            <w:tcBorders>
              <w:tl2br w:val="nil"/>
              <w:tr2bl w:val="nil"/>
            </w:tcBorders>
            <w:shd w:val="clear" w:color="auto" w:fill="auto"/>
            <w:vAlign w:val="center"/>
          </w:tcPr>
          <w:p w14:paraId="0A3609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167.2300 </w:t>
            </w:r>
          </w:p>
        </w:tc>
      </w:tr>
      <w:tr w14:paraId="78DE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C81E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2470 </w:t>
            </w:r>
          </w:p>
        </w:tc>
        <w:tc>
          <w:tcPr>
            <w:tcW w:w="1443" w:type="dxa"/>
            <w:tcBorders>
              <w:tl2br w:val="nil"/>
              <w:tr2bl w:val="nil"/>
            </w:tcBorders>
            <w:shd w:val="clear" w:color="auto" w:fill="auto"/>
            <w:vAlign w:val="center"/>
          </w:tcPr>
          <w:p w14:paraId="023D34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30.7150 </w:t>
            </w:r>
          </w:p>
        </w:tc>
        <w:tc>
          <w:tcPr>
            <w:tcW w:w="1394" w:type="dxa"/>
            <w:tcBorders>
              <w:tl2br w:val="nil"/>
              <w:tr2bl w:val="nil"/>
            </w:tcBorders>
            <w:shd w:val="clear" w:color="auto" w:fill="auto"/>
            <w:vAlign w:val="center"/>
          </w:tcPr>
          <w:p w14:paraId="4F4E86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166.2000 </w:t>
            </w:r>
          </w:p>
        </w:tc>
        <w:tc>
          <w:tcPr>
            <w:tcW w:w="1079" w:type="dxa"/>
            <w:tcBorders>
              <w:tl2br w:val="nil"/>
              <w:tr2bl w:val="nil"/>
            </w:tcBorders>
            <w:shd w:val="clear" w:color="auto" w:fill="auto"/>
            <w:vAlign w:val="center"/>
          </w:tcPr>
          <w:p w14:paraId="168166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5E2FF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30.7150 </w:t>
            </w:r>
          </w:p>
        </w:tc>
        <w:tc>
          <w:tcPr>
            <w:tcW w:w="1353" w:type="dxa"/>
            <w:tcBorders>
              <w:tl2br w:val="nil"/>
              <w:tr2bl w:val="nil"/>
            </w:tcBorders>
            <w:shd w:val="clear" w:color="auto" w:fill="auto"/>
            <w:vAlign w:val="center"/>
          </w:tcPr>
          <w:p w14:paraId="74596F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166.2000 </w:t>
            </w:r>
          </w:p>
        </w:tc>
      </w:tr>
      <w:tr w14:paraId="11367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B354A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2480 </w:t>
            </w:r>
          </w:p>
        </w:tc>
        <w:tc>
          <w:tcPr>
            <w:tcW w:w="1443" w:type="dxa"/>
            <w:tcBorders>
              <w:tl2br w:val="nil"/>
              <w:tr2bl w:val="nil"/>
            </w:tcBorders>
            <w:shd w:val="clear" w:color="auto" w:fill="auto"/>
            <w:vAlign w:val="center"/>
          </w:tcPr>
          <w:p w14:paraId="434D05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30.8100 </w:t>
            </w:r>
          </w:p>
        </w:tc>
        <w:tc>
          <w:tcPr>
            <w:tcW w:w="1394" w:type="dxa"/>
            <w:tcBorders>
              <w:tl2br w:val="nil"/>
              <w:tr2bl w:val="nil"/>
            </w:tcBorders>
            <w:shd w:val="clear" w:color="auto" w:fill="auto"/>
            <w:vAlign w:val="center"/>
          </w:tcPr>
          <w:p w14:paraId="4E6BA9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165.1800 </w:t>
            </w:r>
          </w:p>
        </w:tc>
        <w:tc>
          <w:tcPr>
            <w:tcW w:w="1079" w:type="dxa"/>
            <w:tcBorders>
              <w:tl2br w:val="nil"/>
              <w:tr2bl w:val="nil"/>
            </w:tcBorders>
            <w:shd w:val="clear" w:color="auto" w:fill="auto"/>
            <w:vAlign w:val="center"/>
          </w:tcPr>
          <w:p w14:paraId="5537FD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3AF5C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30.8100 </w:t>
            </w:r>
          </w:p>
        </w:tc>
        <w:tc>
          <w:tcPr>
            <w:tcW w:w="1353" w:type="dxa"/>
            <w:tcBorders>
              <w:tl2br w:val="nil"/>
              <w:tr2bl w:val="nil"/>
            </w:tcBorders>
            <w:shd w:val="clear" w:color="auto" w:fill="auto"/>
            <w:vAlign w:val="center"/>
          </w:tcPr>
          <w:p w14:paraId="007A0D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165.1800 </w:t>
            </w:r>
          </w:p>
        </w:tc>
      </w:tr>
      <w:tr w14:paraId="6AD797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537C2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2490 </w:t>
            </w:r>
          </w:p>
        </w:tc>
        <w:tc>
          <w:tcPr>
            <w:tcW w:w="1443" w:type="dxa"/>
            <w:tcBorders>
              <w:tl2br w:val="nil"/>
              <w:tr2bl w:val="nil"/>
            </w:tcBorders>
            <w:shd w:val="clear" w:color="auto" w:fill="auto"/>
            <w:vAlign w:val="center"/>
          </w:tcPr>
          <w:p w14:paraId="51A31D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30.9050 </w:t>
            </w:r>
          </w:p>
        </w:tc>
        <w:tc>
          <w:tcPr>
            <w:tcW w:w="1394" w:type="dxa"/>
            <w:tcBorders>
              <w:tl2br w:val="nil"/>
              <w:tr2bl w:val="nil"/>
            </w:tcBorders>
            <w:shd w:val="clear" w:color="auto" w:fill="auto"/>
            <w:vAlign w:val="center"/>
          </w:tcPr>
          <w:p w14:paraId="6FE5E4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164.1600 </w:t>
            </w:r>
          </w:p>
        </w:tc>
        <w:tc>
          <w:tcPr>
            <w:tcW w:w="1079" w:type="dxa"/>
            <w:tcBorders>
              <w:tl2br w:val="nil"/>
              <w:tr2bl w:val="nil"/>
            </w:tcBorders>
            <w:shd w:val="clear" w:color="auto" w:fill="auto"/>
            <w:vAlign w:val="center"/>
          </w:tcPr>
          <w:p w14:paraId="507754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E5A5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30.9050 </w:t>
            </w:r>
          </w:p>
        </w:tc>
        <w:tc>
          <w:tcPr>
            <w:tcW w:w="1353" w:type="dxa"/>
            <w:tcBorders>
              <w:tl2br w:val="nil"/>
              <w:tr2bl w:val="nil"/>
            </w:tcBorders>
            <w:shd w:val="clear" w:color="auto" w:fill="auto"/>
            <w:vAlign w:val="center"/>
          </w:tcPr>
          <w:p w14:paraId="3367F2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164.1600 </w:t>
            </w:r>
          </w:p>
        </w:tc>
      </w:tr>
      <w:tr w14:paraId="0F441A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2C8A7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2500 </w:t>
            </w:r>
          </w:p>
        </w:tc>
        <w:tc>
          <w:tcPr>
            <w:tcW w:w="1443" w:type="dxa"/>
            <w:tcBorders>
              <w:tl2br w:val="nil"/>
              <w:tr2bl w:val="nil"/>
            </w:tcBorders>
            <w:shd w:val="clear" w:color="auto" w:fill="auto"/>
            <w:vAlign w:val="center"/>
          </w:tcPr>
          <w:p w14:paraId="0FAF1E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31.0000 </w:t>
            </w:r>
          </w:p>
        </w:tc>
        <w:tc>
          <w:tcPr>
            <w:tcW w:w="1394" w:type="dxa"/>
            <w:tcBorders>
              <w:tl2br w:val="nil"/>
              <w:tr2bl w:val="nil"/>
            </w:tcBorders>
            <w:shd w:val="clear" w:color="auto" w:fill="auto"/>
            <w:vAlign w:val="center"/>
          </w:tcPr>
          <w:p w14:paraId="6D6D2D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163.1600 </w:t>
            </w:r>
          </w:p>
        </w:tc>
        <w:tc>
          <w:tcPr>
            <w:tcW w:w="1079" w:type="dxa"/>
            <w:tcBorders>
              <w:tl2br w:val="nil"/>
              <w:tr2bl w:val="nil"/>
            </w:tcBorders>
            <w:shd w:val="clear" w:color="auto" w:fill="auto"/>
            <w:vAlign w:val="center"/>
          </w:tcPr>
          <w:p w14:paraId="473D74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44530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31.0000 </w:t>
            </w:r>
          </w:p>
        </w:tc>
        <w:tc>
          <w:tcPr>
            <w:tcW w:w="1353" w:type="dxa"/>
            <w:tcBorders>
              <w:tl2br w:val="nil"/>
              <w:tr2bl w:val="nil"/>
            </w:tcBorders>
            <w:shd w:val="clear" w:color="auto" w:fill="auto"/>
            <w:vAlign w:val="center"/>
          </w:tcPr>
          <w:p w14:paraId="073692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163.1600 </w:t>
            </w:r>
          </w:p>
        </w:tc>
      </w:tr>
      <w:tr w14:paraId="05F47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0F695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2510 </w:t>
            </w:r>
          </w:p>
        </w:tc>
        <w:tc>
          <w:tcPr>
            <w:tcW w:w="1443" w:type="dxa"/>
            <w:tcBorders>
              <w:tl2br w:val="nil"/>
              <w:tr2bl w:val="nil"/>
            </w:tcBorders>
            <w:shd w:val="clear" w:color="auto" w:fill="auto"/>
            <w:vAlign w:val="center"/>
          </w:tcPr>
          <w:p w14:paraId="4BA7B5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31.0950 </w:t>
            </w:r>
          </w:p>
        </w:tc>
        <w:tc>
          <w:tcPr>
            <w:tcW w:w="1394" w:type="dxa"/>
            <w:tcBorders>
              <w:tl2br w:val="nil"/>
              <w:tr2bl w:val="nil"/>
            </w:tcBorders>
            <w:shd w:val="clear" w:color="auto" w:fill="auto"/>
            <w:vAlign w:val="center"/>
          </w:tcPr>
          <w:p w14:paraId="5854DF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162.1600 </w:t>
            </w:r>
          </w:p>
        </w:tc>
        <w:tc>
          <w:tcPr>
            <w:tcW w:w="1079" w:type="dxa"/>
            <w:tcBorders>
              <w:tl2br w:val="nil"/>
              <w:tr2bl w:val="nil"/>
            </w:tcBorders>
            <w:shd w:val="clear" w:color="auto" w:fill="auto"/>
            <w:vAlign w:val="center"/>
          </w:tcPr>
          <w:p w14:paraId="1321DC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63952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31.0950 </w:t>
            </w:r>
          </w:p>
        </w:tc>
        <w:tc>
          <w:tcPr>
            <w:tcW w:w="1353" w:type="dxa"/>
            <w:tcBorders>
              <w:tl2br w:val="nil"/>
              <w:tr2bl w:val="nil"/>
            </w:tcBorders>
            <w:shd w:val="clear" w:color="auto" w:fill="auto"/>
            <w:vAlign w:val="center"/>
          </w:tcPr>
          <w:p w14:paraId="194D70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162.1600 </w:t>
            </w:r>
          </w:p>
        </w:tc>
      </w:tr>
      <w:tr w14:paraId="11889C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27E88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2520 </w:t>
            </w:r>
          </w:p>
        </w:tc>
        <w:tc>
          <w:tcPr>
            <w:tcW w:w="1443" w:type="dxa"/>
            <w:tcBorders>
              <w:tl2br w:val="nil"/>
              <w:tr2bl w:val="nil"/>
            </w:tcBorders>
            <w:shd w:val="clear" w:color="auto" w:fill="auto"/>
            <w:vAlign w:val="center"/>
          </w:tcPr>
          <w:p w14:paraId="31D491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31.1900 </w:t>
            </w:r>
          </w:p>
        </w:tc>
        <w:tc>
          <w:tcPr>
            <w:tcW w:w="1394" w:type="dxa"/>
            <w:tcBorders>
              <w:tl2br w:val="nil"/>
              <w:tr2bl w:val="nil"/>
            </w:tcBorders>
            <w:shd w:val="clear" w:color="auto" w:fill="auto"/>
            <w:vAlign w:val="center"/>
          </w:tcPr>
          <w:p w14:paraId="5DBB4A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161.1800 </w:t>
            </w:r>
          </w:p>
        </w:tc>
        <w:tc>
          <w:tcPr>
            <w:tcW w:w="1079" w:type="dxa"/>
            <w:tcBorders>
              <w:tl2br w:val="nil"/>
              <w:tr2bl w:val="nil"/>
            </w:tcBorders>
            <w:shd w:val="clear" w:color="auto" w:fill="auto"/>
            <w:vAlign w:val="center"/>
          </w:tcPr>
          <w:p w14:paraId="22DAD7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863AD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31.1900 </w:t>
            </w:r>
          </w:p>
        </w:tc>
        <w:tc>
          <w:tcPr>
            <w:tcW w:w="1353" w:type="dxa"/>
            <w:tcBorders>
              <w:tl2br w:val="nil"/>
              <w:tr2bl w:val="nil"/>
            </w:tcBorders>
            <w:shd w:val="clear" w:color="auto" w:fill="auto"/>
            <w:vAlign w:val="center"/>
          </w:tcPr>
          <w:p w14:paraId="0DD74D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161.1800 </w:t>
            </w:r>
          </w:p>
        </w:tc>
      </w:tr>
      <w:tr w14:paraId="182DC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E1897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2530 </w:t>
            </w:r>
          </w:p>
        </w:tc>
        <w:tc>
          <w:tcPr>
            <w:tcW w:w="1443" w:type="dxa"/>
            <w:tcBorders>
              <w:tl2br w:val="nil"/>
              <w:tr2bl w:val="nil"/>
            </w:tcBorders>
            <w:shd w:val="clear" w:color="auto" w:fill="auto"/>
            <w:vAlign w:val="center"/>
          </w:tcPr>
          <w:p w14:paraId="675CBC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31.2850 </w:t>
            </w:r>
          </w:p>
        </w:tc>
        <w:tc>
          <w:tcPr>
            <w:tcW w:w="1394" w:type="dxa"/>
            <w:tcBorders>
              <w:tl2br w:val="nil"/>
              <w:tr2bl w:val="nil"/>
            </w:tcBorders>
            <w:shd w:val="clear" w:color="auto" w:fill="auto"/>
            <w:vAlign w:val="center"/>
          </w:tcPr>
          <w:p w14:paraId="5D1E31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160.2000 </w:t>
            </w:r>
          </w:p>
        </w:tc>
        <w:tc>
          <w:tcPr>
            <w:tcW w:w="1079" w:type="dxa"/>
            <w:tcBorders>
              <w:tl2br w:val="nil"/>
              <w:tr2bl w:val="nil"/>
            </w:tcBorders>
            <w:shd w:val="clear" w:color="auto" w:fill="auto"/>
            <w:vAlign w:val="center"/>
          </w:tcPr>
          <w:p w14:paraId="007F03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1938C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31.2850 </w:t>
            </w:r>
          </w:p>
        </w:tc>
        <w:tc>
          <w:tcPr>
            <w:tcW w:w="1353" w:type="dxa"/>
            <w:tcBorders>
              <w:tl2br w:val="nil"/>
              <w:tr2bl w:val="nil"/>
            </w:tcBorders>
            <w:shd w:val="clear" w:color="auto" w:fill="auto"/>
            <w:vAlign w:val="center"/>
          </w:tcPr>
          <w:p w14:paraId="5F85A2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160.2000 </w:t>
            </w:r>
          </w:p>
        </w:tc>
      </w:tr>
      <w:tr w14:paraId="2FB4C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2EE92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2540 </w:t>
            </w:r>
          </w:p>
        </w:tc>
        <w:tc>
          <w:tcPr>
            <w:tcW w:w="1443" w:type="dxa"/>
            <w:tcBorders>
              <w:tl2br w:val="nil"/>
              <w:tr2bl w:val="nil"/>
            </w:tcBorders>
            <w:shd w:val="clear" w:color="auto" w:fill="auto"/>
            <w:vAlign w:val="center"/>
          </w:tcPr>
          <w:p w14:paraId="1FECB3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31.3790 </w:t>
            </w:r>
          </w:p>
        </w:tc>
        <w:tc>
          <w:tcPr>
            <w:tcW w:w="1394" w:type="dxa"/>
            <w:tcBorders>
              <w:tl2br w:val="nil"/>
              <w:tr2bl w:val="nil"/>
            </w:tcBorders>
            <w:shd w:val="clear" w:color="auto" w:fill="auto"/>
            <w:vAlign w:val="center"/>
          </w:tcPr>
          <w:p w14:paraId="0A0531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159.2300 </w:t>
            </w:r>
          </w:p>
        </w:tc>
        <w:tc>
          <w:tcPr>
            <w:tcW w:w="1079" w:type="dxa"/>
            <w:tcBorders>
              <w:tl2br w:val="nil"/>
              <w:tr2bl w:val="nil"/>
            </w:tcBorders>
            <w:shd w:val="clear" w:color="auto" w:fill="auto"/>
            <w:vAlign w:val="center"/>
          </w:tcPr>
          <w:p w14:paraId="2DBC22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5F031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31.3790 </w:t>
            </w:r>
          </w:p>
        </w:tc>
        <w:tc>
          <w:tcPr>
            <w:tcW w:w="1353" w:type="dxa"/>
            <w:tcBorders>
              <w:tl2br w:val="nil"/>
              <w:tr2bl w:val="nil"/>
            </w:tcBorders>
            <w:shd w:val="clear" w:color="auto" w:fill="auto"/>
            <w:vAlign w:val="center"/>
          </w:tcPr>
          <w:p w14:paraId="7E9E19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159.2300 </w:t>
            </w:r>
          </w:p>
        </w:tc>
      </w:tr>
      <w:tr w14:paraId="752D6B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41670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2550 </w:t>
            </w:r>
          </w:p>
        </w:tc>
        <w:tc>
          <w:tcPr>
            <w:tcW w:w="1443" w:type="dxa"/>
            <w:tcBorders>
              <w:tl2br w:val="nil"/>
              <w:tr2bl w:val="nil"/>
            </w:tcBorders>
            <w:shd w:val="clear" w:color="auto" w:fill="auto"/>
            <w:vAlign w:val="center"/>
          </w:tcPr>
          <w:p w14:paraId="16A2AE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31.4740 </w:t>
            </w:r>
          </w:p>
        </w:tc>
        <w:tc>
          <w:tcPr>
            <w:tcW w:w="1394" w:type="dxa"/>
            <w:tcBorders>
              <w:tl2br w:val="nil"/>
              <w:tr2bl w:val="nil"/>
            </w:tcBorders>
            <w:shd w:val="clear" w:color="auto" w:fill="auto"/>
            <w:vAlign w:val="center"/>
          </w:tcPr>
          <w:p w14:paraId="407D7B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158.2700 </w:t>
            </w:r>
          </w:p>
        </w:tc>
        <w:tc>
          <w:tcPr>
            <w:tcW w:w="1079" w:type="dxa"/>
            <w:tcBorders>
              <w:tl2br w:val="nil"/>
              <w:tr2bl w:val="nil"/>
            </w:tcBorders>
            <w:shd w:val="clear" w:color="auto" w:fill="auto"/>
            <w:vAlign w:val="center"/>
          </w:tcPr>
          <w:p w14:paraId="11171F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513DF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31.4740 </w:t>
            </w:r>
          </w:p>
        </w:tc>
        <w:tc>
          <w:tcPr>
            <w:tcW w:w="1353" w:type="dxa"/>
            <w:tcBorders>
              <w:tl2br w:val="nil"/>
              <w:tr2bl w:val="nil"/>
            </w:tcBorders>
            <w:shd w:val="clear" w:color="auto" w:fill="auto"/>
            <w:vAlign w:val="center"/>
          </w:tcPr>
          <w:p w14:paraId="701596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158.2700 </w:t>
            </w:r>
          </w:p>
        </w:tc>
      </w:tr>
      <w:tr w14:paraId="02A3D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C28AC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2560 </w:t>
            </w:r>
          </w:p>
        </w:tc>
        <w:tc>
          <w:tcPr>
            <w:tcW w:w="1443" w:type="dxa"/>
            <w:tcBorders>
              <w:tl2br w:val="nil"/>
              <w:tr2bl w:val="nil"/>
            </w:tcBorders>
            <w:shd w:val="clear" w:color="auto" w:fill="auto"/>
            <w:vAlign w:val="center"/>
          </w:tcPr>
          <w:p w14:paraId="557268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31.5680 </w:t>
            </w:r>
          </w:p>
        </w:tc>
        <w:tc>
          <w:tcPr>
            <w:tcW w:w="1394" w:type="dxa"/>
            <w:tcBorders>
              <w:tl2br w:val="nil"/>
              <w:tr2bl w:val="nil"/>
            </w:tcBorders>
            <w:shd w:val="clear" w:color="auto" w:fill="auto"/>
            <w:vAlign w:val="center"/>
          </w:tcPr>
          <w:p w14:paraId="57310A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157.3200 </w:t>
            </w:r>
          </w:p>
        </w:tc>
        <w:tc>
          <w:tcPr>
            <w:tcW w:w="1079" w:type="dxa"/>
            <w:tcBorders>
              <w:tl2br w:val="nil"/>
              <w:tr2bl w:val="nil"/>
            </w:tcBorders>
            <w:shd w:val="clear" w:color="auto" w:fill="auto"/>
            <w:vAlign w:val="center"/>
          </w:tcPr>
          <w:p w14:paraId="5972A5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F50B3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31.5680 </w:t>
            </w:r>
          </w:p>
        </w:tc>
        <w:tc>
          <w:tcPr>
            <w:tcW w:w="1353" w:type="dxa"/>
            <w:tcBorders>
              <w:tl2br w:val="nil"/>
              <w:tr2bl w:val="nil"/>
            </w:tcBorders>
            <w:shd w:val="clear" w:color="auto" w:fill="auto"/>
            <w:vAlign w:val="center"/>
          </w:tcPr>
          <w:p w14:paraId="596CF5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157.3200 </w:t>
            </w:r>
          </w:p>
        </w:tc>
      </w:tr>
      <w:tr w14:paraId="462C90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9DCD4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2570 </w:t>
            </w:r>
          </w:p>
        </w:tc>
        <w:tc>
          <w:tcPr>
            <w:tcW w:w="1443" w:type="dxa"/>
            <w:tcBorders>
              <w:tl2br w:val="nil"/>
              <w:tr2bl w:val="nil"/>
            </w:tcBorders>
            <w:shd w:val="clear" w:color="auto" w:fill="auto"/>
            <w:vAlign w:val="center"/>
          </w:tcPr>
          <w:p w14:paraId="1D76FA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31.6630 </w:t>
            </w:r>
          </w:p>
        </w:tc>
        <w:tc>
          <w:tcPr>
            <w:tcW w:w="1394" w:type="dxa"/>
            <w:tcBorders>
              <w:tl2br w:val="nil"/>
              <w:tr2bl w:val="nil"/>
            </w:tcBorders>
            <w:shd w:val="clear" w:color="auto" w:fill="auto"/>
            <w:vAlign w:val="center"/>
          </w:tcPr>
          <w:p w14:paraId="2AC1EE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156.3800 </w:t>
            </w:r>
          </w:p>
        </w:tc>
        <w:tc>
          <w:tcPr>
            <w:tcW w:w="1079" w:type="dxa"/>
            <w:tcBorders>
              <w:tl2br w:val="nil"/>
              <w:tr2bl w:val="nil"/>
            </w:tcBorders>
            <w:shd w:val="clear" w:color="auto" w:fill="auto"/>
            <w:vAlign w:val="center"/>
          </w:tcPr>
          <w:p w14:paraId="6DCEC8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BB2AC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31.6630 </w:t>
            </w:r>
          </w:p>
        </w:tc>
        <w:tc>
          <w:tcPr>
            <w:tcW w:w="1353" w:type="dxa"/>
            <w:tcBorders>
              <w:tl2br w:val="nil"/>
              <w:tr2bl w:val="nil"/>
            </w:tcBorders>
            <w:shd w:val="clear" w:color="auto" w:fill="auto"/>
            <w:vAlign w:val="center"/>
          </w:tcPr>
          <w:p w14:paraId="14BE81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156.3800 </w:t>
            </w:r>
          </w:p>
        </w:tc>
      </w:tr>
      <w:tr w14:paraId="0D6140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FB27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2580 </w:t>
            </w:r>
          </w:p>
        </w:tc>
        <w:tc>
          <w:tcPr>
            <w:tcW w:w="1443" w:type="dxa"/>
            <w:tcBorders>
              <w:tl2br w:val="nil"/>
              <w:tr2bl w:val="nil"/>
            </w:tcBorders>
            <w:shd w:val="clear" w:color="auto" w:fill="auto"/>
            <w:vAlign w:val="center"/>
          </w:tcPr>
          <w:p w14:paraId="110B21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31.7570 </w:t>
            </w:r>
          </w:p>
        </w:tc>
        <w:tc>
          <w:tcPr>
            <w:tcW w:w="1394" w:type="dxa"/>
            <w:tcBorders>
              <w:tl2br w:val="nil"/>
              <w:tr2bl w:val="nil"/>
            </w:tcBorders>
            <w:shd w:val="clear" w:color="auto" w:fill="auto"/>
            <w:vAlign w:val="center"/>
          </w:tcPr>
          <w:p w14:paraId="732118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155.4400 </w:t>
            </w:r>
          </w:p>
        </w:tc>
        <w:tc>
          <w:tcPr>
            <w:tcW w:w="1079" w:type="dxa"/>
            <w:tcBorders>
              <w:tl2br w:val="nil"/>
              <w:tr2bl w:val="nil"/>
            </w:tcBorders>
            <w:shd w:val="clear" w:color="auto" w:fill="auto"/>
            <w:vAlign w:val="center"/>
          </w:tcPr>
          <w:p w14:paraId="64DD74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15FF5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31.7570 </w:t>
            </w:r>
          </w:p>
        </w:tc>
        <w:tc>
          <w:tcPr>
            <w:tcW w:w="1353" w:type="dxa"/>
            <w:tcBorders>
              <w:tl2br w:val="nil"/>
              <w:tr2bl w:val="nil"/>
            </w:tcBorders>
            <w:shd w:val="clear" w:color="auto" w:fill="auto"/>
            <w:vAlign w:val="center"/>
          </w:tcPr>
          <w:p w14:paraId="3417F6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155.4400 </w:t>
            </w:r>
          </w:p>
        </w:tc>
      </w:tr>
      <w:tr w14:paraId="6DC40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0DBD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2590 </w:t>
            </w:r>
          </w:p>
        </w:tc>
        <w:tc>
          <w:tcPr>
            <w:tcW w:w="1443" w:type="dxa"/>
            <w:tcBorders>
              <w:tl2br w:val="nil"/>
              <w:tr2bl w:val="nil"/>
            </w:tcBorders>
            <w:shd w:val="clear" w:color="auto" w:fill="auto"/>
            <w:vAlign w:val="center"/>
          </w:tcPr>
          <w:p w14:paraId="68EACE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31.8510 </w:t>
            </w:r>
          </w:p>
        </w:tc>
        <w:tc>
          <w:tcPr>
            <w:tcW w:w="1394" w:type="dxa"/>
            <w:tcBorders>
              <w:tl2br w:val="nil"/>
              <w:tr2bl w:val="nil"/>
            </w:tcBorders>
            <w:shd w:val="clear" w:color="auto" w:fill="auto"/>
            <w:vAlign w:val="center"/>
          </w:tcPr>
          <w:p w14:paraId="249358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154.5200 </w:t>
            </w:r>
          </w:p>
        </w:tc>
        <w:tc>
          <w:tcPr>
            <w:tcW w:w="1079" w:type="dxa"/>
            <w:tcBorders>
              <w:tl2br w:val="nil"/>
              <w:tr2bl w:val="nil"/>
            </w:tcBorders>
            <w:shd w:val="clear" w:color="auto" w:fill="auto"/>
            <w:vAlign w:val="center"/>
          </w:tcPr>
          <w:p w14:paraId="1624C5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FBA43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31.8510 </w:t>
            </w:r>
          </w:p>
        </w:tc>
        <w:tc>
          <w:tcPr>
            <w:tcW w:w="1353" w:type="dxa"/>
            <w:tcBorders>
              <w:tl2br w:val="nil"/>
              <w:tr2bl w:val="nil"/>
            </w:tcBorders>
            <w:shd w:val="clear" w:color="auto" w:fill="auto"/>
            <w:vAlign w:val="center"/>
          </w:tcPr>
          <w:p w14:paraId="733D82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154.5200 </w:t>
            </w:r>
          </w:p>
        </w:tc>
      </w:tr>
      <w:tr w14:paraId="48A778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ACB1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2600 </w:t>
            </w:r>
          </w:p>
        </w:tc>
        <w:tc>
          <w:tcPr>
            <w:tcW w:w="1443" w:type="dxa"/>
            <w:tcBorders>
              <w:tl2br w:val="nil"/>
              <w:tr2bl w:val="nil"/>
            </w:tcBorders>
            <w:shd w:val="clear" w:color="auto" w:fill="auto"/>
            <w:vAlign w:val="center"/>
          </w:tcPr>
          <w:p w14:paraId="2E0FCF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31.9460 </w:t>
            </w:r>
          </w:p>
        </w:tc>
        <w:tc>
          <w:tcPr>
            <w:tcW w:w="1394" w:type="dxa"/>
            <w:tcBorders>
              <w:tl2br w:val="nil"/>
              <w:tr2bl w:val="nil"/>
            </w:tcBorders>
            <w:shd w:val="clear" w:color="auto" w:fill="auto"/>
            <w:vAlign w:val="center"/>
          </w:tcPr>
          <w:p w14:paraId="2B679C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153.6000 </w:t>
            </w:r>
          </w:p>
        </w:tc>
        <w:tc>
          <w:tcPr>
            <w:tcW w:w="1079" w:type="dxa"/>
            <w:tcBorders>
              <w:tl2br w:val="nil"/>
              <w:tr2bl w:val="nil"/>
            </w:tcBorders>
            <w:shd w:val="clear" w:color="auto" w:fill="auto"/>
            <w:vAlign w:val="center"/>
          </w:tcPr>
          <w:p w14:paraId="37B6B4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CF5AE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31.9460 </w:t>
            </w:r>
          </w:p>
        </w:tc>
        <w:tc>
          <w:tcPr>
            <w:tcW w:w="1353" w:type="dxa"/>
            <w:tcBorders>
              <w:tl2br w:val="nil"/>
              <w:tr2bl w:val="nil"/>
            </w:tcBorders>
            <w:shd w:val="clear" w:color="auto" w:fill="auto"/>
            <w:vAlign w:val="center"/>
          </w:tcPr>
          <w:p w14:paraId="5B08B5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153.6000 </w:t>
            </w:r>
          </w:p>
        </w:tc>
      </w:tr>
      <w:tr w14:paraId="3D680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90C03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2610 </w:t>
            </w:r>
          </w:p>
        </w:tc>
        <w:tc>
          <w:tcPr>
            <w:tcW w:w="1443" w:type="dxa"/>
            <w:tcBorders>
              <w:tl2br w:val="nil"/>
              <w:tr2bl w:val="nil"/>
            </w:tcBorders>
            <w:shd w:val="clear" w:color="auto" w:fill="auto"/>
            <w:vAlign w:val="center"/>
          </w:tcPr>
          <w:p w14:paraId="532F90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32.0400 </w:t>
            </w:r>
          </w:p>
        </w:tc>
        <w:tc>
          <w:tcPr>
            <w:tcW w:w="1394" w:type="dxa"/>
            <w:tcBorders>
              <w:tl2br w:val="nil"/>
              <w:tr2bl w:val="nil"/>
            </w:tcBorders>
            <w:shd w:val="clear" w:color="auto" w:fill="auto"/>
            <w:vAlign w:val="center"/>
          </w:tcPr>
          <w:p w14:paraId="16F605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152.6900 </w:t>
            </w:r>
          </w:p>
        </w:tc>
        <w:tc>
          <w:tcPr>
            <w:tcW w:w="1079" w:type="dxa"/>
            <w:tcBorders>
              <w:tl2br w:val="nil"/>
              <w:tr2bl w:val="nil"/>
            </w:tcBorders>
            <w:shd w:val="clear" w:color="auto" w:fill="auto"/>
            <w:vAlign w:val="center"/>
          </w:tcPr>
          <w:p w14:paraId="010943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EC87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32.0400 </w:t>
            </w:r>
          </w:p>
        </w:tc>
        <w:tc>
          <w:tcPr>
            <w:tcW w:w="1353" w:type="dxa"/>
            <w:tcBorders>
              <w:tl2br w:val="nil"/>
              <w:tr2bl w:val="nil"/>
            </w:tcBorders>
            <w:shd w:val="clear" w:color="auto" w:fill="auto"/>
            <w:vAlign w:val="center"/>
          </w:tcPr>
          <w:p w14:paraId="131771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152.6900 </w:t>
            </w:r>
          </w:p>
        </w:tc>
      </w:tr>
      <w:tr w14:paraId="2BAA86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75B29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2620 </w:t>
            </w:r>
          </w:p>
        </w:tc>
        <w:tc>
          <w:tcPr>
            <w:tcW w:w="1443" w:type="dxa"/>
            <w:tcBorders>
              <w:tl2br w:val="nil"/>
              <w:tr2bl w:val="nil"/>
            </w:tcBorders>
            <w:shd w:val="clear" w:color="auto" w:fill="auto"/>
            <w:vAlign w:val="center"/>
          </w:tcPr>
          <w:p w14:paraId="67E903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32.1340 </w:t>
            </w:r>
          </w:p>
        </w:tc>
        <w:tc>
          <w:tcPr>
            <w:tcW w:w="1394" w:type="dxa"/>
            <w:tcBorders>
              <w:tl2br w:val="nil"/>
              <w:tr2bl w:val="nil"/>
            </w:tcBorders>
            <w:shd w:val="clear" w:color="auto" w:fill="auto"/>
            <w:vAlign w:val="center"/>
          </w:tcPr>
          <w:p w14:paraId="491612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151.7900 </w:t>
            </w:r>
          </w:p>
        </w:tc>
        <w:tc>
          <w:tcPr>
            <w:tcW w:w="1079" w:type="dxa"/>
            <w:tcBorders>
              <w:tl2br w:val="nil"/>
              <w:tr2bl w:val="nil"/>
            </w:tcBorders>
            <w:shd w:val="clear" w:color="auto" w:fill="auto"/>
            <w:vAlign w:val="center"/>
          </w:tcPr>
          <w:p w14:paraId="567F27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205AB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32.1340 </w:t>
            </w:r>
          </w:p>
        </w:tc>
        <w:tc>
          <w:tcPr>
            <w:tcW w:w="1353" w:type="dxa"/>
            <w:tcBorders>
              <w:tl2br w:val="nil"/>
              <w:tr2bl w:val="nil"/>
            </w:tcBorders>
            <w:shd w:val="clear" w:color="auto" w:fill="auto"/>
            <w:vAlign w:val="center"/>
          </w:tcPr>
          <w:p w14:paraId="71C59D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151.7900 </w:t>
            </w:r>
          </w:p>
        </w:tc>
      </w:tr>
      <w:tr w14:paraId="054EA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45C0B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2630 </w:t>
            </w:r>
          </w:p>
        </w:tc>
        <w:tc>
          <w:tcPr>
            <w:tcW w:w="1443" w:type="dxa"/>
            <w:tcBorders>
              <w:tl2br w:val="nil"/>
              <w:tr2bl w:val="nil"/>
            </w:tcBorders>
            <w:shd w:val="clear" w:color="auto" w:fill="auto"/>
            <w:vAlign w:val="center"/>
          </w:tcPr>
          <w:p w14:paraId="77819D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32.2280 </w:t>
            </w:r>
          </w:p>
        </w:tc>
        <w:tc>
          <w:tcPr>
            <w:tcW w:w="1394" w:type="dxa"/>
            <w:tcBorders>
              <w:tl2br w:val="nil"/>
              <w:tr2bl w:val="nil"/>
            </w:tcBorders>
            <w:shd w:val="clear" w:color="auto" w:fill="auto"/>
            <w:vAlign w:val="center"/>
          </w:tcPr>
          <w:p w14:paraId="761B95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150.9000 </w:t>
            </w:r>
          </w:p>
        </w:tc>
        <w:tc>
          <w:tcPr>
            <w:tcW w:w="1079" w:type="dxa"/>
            <w:tcBorders>
              <w:tl2br w:val="nil"/>
              <w:tr2bl w:val="nil"/>
            </w:tcBorders>
            <w:shd w:val="clear" w:color="auto" w:fill="auto"/>
            <w:vAlign w:val="center"/>
          </w:tcPr>
          <w:p w14:paraId="033744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8EEE5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32.2280 </w:t>
            </w:r>
          </w:p>
        </w:tc>
        <w:tc>
          <w:tcPr>
            <w:tcW w:w="1353" w:type="dxa"/>
            <w:tcBorders>
              <w:tl2br w:val="nil"/>
              <w:tr2bl w:val="nil"/>
            </w:tcBorders>
            <w:shd w:val="clear" w:color="auto" w:fill="auto"/>
            <w:vAlign w:val="center"/>
          </w:tcPr>
          <w:p w14:paraId="607F44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150.9000 </w:t>
            </w:r>
          </w:p>
        </w:tc>
      </w:tr>
      <w:tr w14:paraId="3300B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C1F6B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2640 </w:t>
            </w:r>
          </w:p>
        </w:tc>
        <w:tc>
          <w:tcPr>
            <w:tcW w:w="1443" w:type="dxa"/>
            <w:tcBorders>
              <w:tl2br w:val="nil"/>
              <w:tr2bl w:val="nil"/>
            </w:tcBorders>
            <w:shd w:val="clear" w:color="auto" w:fill="auto"/>
            <w:vAlign w:val="center"/>
          </w:tcPr>
          <w:p w14:paraId="4B9403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32.3220 </w:t>
            </w:r>
          </w:p>
        </w:tc>
        <w:tc>
          <w:tcPr>
            <w:tcW w:w="1394" w:type="dxa"/>
            <w:tcBorders>
              <w:tl2br w:val="nil"/>
              <w:tr2bl w:val="nil"/>
            </w:tcBorders>
            <w:shd w:val="clear" w:color="auto" w:fill="auto"/>
            <w:vAlign w:val="center"/>
          </w:tcPr>
          <w:p w14:paraId="07A113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150.0100 </w:t>
            </w:r>
          </w:p>
        </w:tc>
        <w:tc>
          <w:tcPr>
            <w:tcW w:w="1079" w:type="dxa"/>
            <w:tcBorders>
              <w:tl2br w:val="nil"/>
              <w:tr2bl w:val="nil"/>
            </w:tcBorders>
            <w:shd w:val="clear" w:color="auto" w:fill="auto"/>
            <w:vAlign w:val="center"/>
          </w:tcPr>
          <w:p w14:paraId="466248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9941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32.3220 </w:t>
            </w:r>
          </w:p>
        </w:tc>
        <w:tc>
          <w:tcPr>
            <w:tcW w:w="1353" w:type="dxa"/>
            <w:tcBorders>
              <w:tl2br w:val="nil"/>
              <w:tr2bl w:val="nil"/>
            </w:tcBorders>
            <w:shd w:val="clear" w:color="auto" w:fill="auto"/>
            <w:vAlign w:val="center"/>
          </w:tcPr>
          <w:p w14:paraId="274CD6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150.0100 </w:t>
            </w:r>
          </w:p>
        </w:tc>
      </w:tr>
      <w:tr w14:paraId="67FE83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A733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2650 </w:t>
            </w:r>
          </w:p>
        </w:tc>
        <w:tc>
          <w:tcPr>
            <w:tcW w:w="1443" w:type="dxa"/>
            <w:tcBorders>
              <w:tl2br w:val="nil"/>
              <w:tr2bl w:val="nil"/>
            </w:tcBorders>
            <w:shd w:val="clear" w:color="auto" w:fill="auto"/>
            <w:vAlign w:val="center"/>
          </w:tcPr>
          <w:p w14:paraId="4E44D4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32.4160 </w:t>
            </w:r>
          </w:p>
        </w:tc>
        <w:tc>
          <w:tcPr>
            <w:tcW w:w="1394" w:type="dxa"/>
            <w:tcBorders>
              <w:tl2br w:val="nil"/>
              <w:tr2bl w:val="nil"/>
            </w:tcBorders>
            <w:shd w:val="clear" w:color="auto" w:fill="auto"/>
            <w:vAlign w:val="center"/>
          </w:tcPr>
          <w:p w14:paraId="40FB27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149.1300 </w:t>
            </w:r>
          </w:p>
        </w:tc>
        <w:tc>
          <w:tcPr>
            <w:tcW w:w="1079" w:type="dxa"/>
            <w:tcBorders>
              <w:tl2br w:val="nil"/>
              <w:tr2bl w:val="nil"/>
            </w:tcBorders>
            <w:shd w:val="clear" w:color="auto" w:fill="auto"/>
            <w:vAlign w:val="center"/>
          </w:tcPr>
          <w:p w14:paraId="4E6F68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E010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32.4160 </w:t>
            </w:r>
          </w:p>
        </w:tc>
        <w:tc>
          <w:tcPr>
            <w:tcW w:w="1353" w:type="dxa"/>
            <w:tcBorders>
              <w:tl2br w:val="nil"/>
              <w:tr2bl w:val="nil"/>
            </w:tcBorders>
            <w:shd w:val="clear" w:color="auto" w:fill="auto"/>
            <w:vAlign w:val="center"/>
          </w:tcPr>
          <w:p w14:paraId="1A7938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149.1300 </w:t>
            </w:r>
          </w:p>
        </w:tc>
      </w:tr>
      <w:tr w14:paraId="7525F6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2DEB4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2660 </w:t>
            </w:r>
          </w:p>
        </w:tc>
        <w:tc>
          <w:tcPr>
            <w:tcW w:w="1443" w:type="dxa"/>
            <w:tcBorders>
              <w:tl2br w:val="nil"/>
              <w:tr2bl w:val="nil"/>
            </w:tcBorders>
            <w:shd w:val="clear" w:color="auto" w:fill="auto"/>
            <w:vAlign w:val="center"/>
          </w:tcPr>
          <w:p w14:paraId="6D04D1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32.5090 </w:t>
            </w:r>
          </w:p>
        </w:tc>
        <w:tc>
          <w:tcPr>
            <w:tcW w:w="1394" w:type="dxa"/>
            <w:tcBorders>
              <w:tl2br w:val="nil"/>
              <w:tr2bl w:val="nil"/>
            </w:tcBorders>
            <w:shd w:val="clear" w:color="auto" w:fill="auto"/>
            <w:vAlign w:val="center"/>
          </w:tcPr>
          <w:p w14:paraId="44619C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148.2700 </w:t>
            </w:r>
          </w:p>
        </w:tc>
        <w:tc>
          <w:tcPr>
            <w:tcW w:w="1079" w:type="dxa"/>
            <w:tcBorders>
              <w:tl2br w:val="nil"/>
              <w:tr2bl w:val="nil"/>
            </w:tcBorders>
            <w:shd w:val="clear" w:color="auto" w:fill="auto"/>
            <w:vAlign w:val="center"/>
          </w:tcPr>
          <w:p w14:paraId="7DD6A3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325C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32.5090 </w:t>
            </w:r>
          </w:p>
        </w:tc>
        <w:tc>
          <w:tcPr>
            <w:tcW w:w="1353" w:type="dxa"/>
            <w:tcBorders>
              <w:tl2br w:val="nil"/>
              <w:tr2bl w:val="nil"/>
            </w:tcBorders>
            <w:shd w:val="clear" w:color="auto" w:fill="auto"/>
            <w:vAlign w:val="center"/>
          </w:tcPr>
          <w:p w14:paraId="0F3018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148.2700 </w:t>
            </w:r>
          </w:p>
        </w:tc>
      </w:tr>
      <w:tr w14:paraId="688DB1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28000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2670 </w:t>
            </w:r>
          </w:p>
        </w:tc>
        <w:tc>
          <w:tcPr>
            <w:tcW w:w="1443" w:type="dxa"/>
            <w:tcBorders>
              <w:tl2br w:val="nil"/>
              <w:tr2bl w:val="nil"/>
            </w:tcBorders>
            <w:shd w:val="clear" w:color="auto" w:fill="auto"/>
            <w:vAlign w:val="center"/>
          </w:tcPr>
          <w:p w14:paraId="5C1730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32.6030 </w:t>
            </w:r>
          </w:p>
        </w:tc>
        <w:tc>
          <w:tcPr>
            <w:tcW w:w="1394" w:type="dxa"/>
            <w:tcBorders>
              <w:tl2br w:val="nil"/>
              <w:tr2bl w:val="nil"/>
            </w:tcBorders>
            <w:shd w:val="clear" w:color="auto" w:fill="auto"/>
            <w:vAlign w:val="center"/>
          </w:tcPr>
          <w:p w14:paraId="034659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147.4000 </w:t>
            </w:r>
          </w:p>
        </w:tc>
        <w:tc>
          <w:tcPr>
            <w:tcW w:w="1079" w:type="dxa"/>
            <w:tcBorders>
              <w:tl2br w:val="nil"/>
              <w:tr2bl w:val="nil"/>
            </w:tcBorders>
            <w:shd w:val="clear" w:color="auto" w:fill="auto"/>
            <w:vAlign w:val="center"/>
          </w:tcPr>
          <w:p w14:paraId="0DBCE1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B9372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32.6030 </w:t>
            </w:r>
          </w:p>
        </w:tc>
        <w:tc>
          <w:tcPr>
            <w:tcW w:w="1353" w:type="dxa"/>
            <w:tcBorders>
              <w:tl2br w:val="nil"/>
              <w:tr2bl w:val="nil"/>
            </w:tcBorders>
            <w:shd w:val="clear" w:color="auto" w:fill="auto"/>
            <w:vAlign w:val="center"/>
          </w:tcPr>
          <w:p w14:paraId="3C48F7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147.4000 </w:t>
            </w:r>
          </w:p>
        </w:tc>
      </w:tr>
      <w:tr w14:paraId="29E72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5FB06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2680 </w:t>
            </w:r>
          </w:p>
        </w:tc>
        <w:tc>
          <w:tcPr>
            <w:tcW w:w="1443" w:type="dxa"/>
            <w:tcBorders>
              <w:tl2br w:val="nil"/>
              <w:tr2bl w:val="nil"/>
            </w:tcBorders>
            <w:shd w:val="clear" w:color="auto" w:fill="auto"/>
            <w:vAlign w:val="center"/>
          </w:tcPr>
          <w:p w14:paraId="6A630B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32.6970 </w:t>
            </w:r>
          </w:p>
        </w:tc>
        <w:tc>
          <w:tcPr>
            <w:tcW w:w="1394" w:type="dxa"/>
            <w:tcBorders>
              <w:tl2br w:val="nil"/>
              <w:tr2bl w:val="nil"/>
            </w:tcBorders>
            <w:shd w:val="clear" w:color="auto" w:fill="auto"/>
            <w:vAlign w:val="center"/>
          </w:tcPr>
          <w:p w14:paraId="082909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146.5500 </w:t>
            </w:r>
          </w:p>
        </w:tc>
        <w:tc>
          <w:tcPr>
            <w:tcW w:w="1079" w:type="dxa"/>
            <w:tcBorders>
              <w:tl2br w:val="nil"/>
              <w:tr2bl w:val="nil"/>
            </w:tcBorders>
            <w:shd w:val="clear" w:color="auto" w:fill="auto"/>
            <w:vAlign w:val="center"/>
          </w:tcPr>
          <w:p w14:paraId="7F0012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F598F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32.6970 </w:t>
            </w:r>
          </w:p>
        </w:tc>
        <w:tc>
          <w:tcPr>
            <w:tcW w:w="1353" w:type="dxa"/>
            <w:tcBorders>
              <w:tl2br w:val="nil"/>
              <w:tr2bl w:val="nil"/>
            </w:tcBorders>
            <w:shd w:val="clear" w:color="auto" w:fill="auto"/>
            <w:vAlign w:val="center"/>
          </w:tcPr>
          <w:p w14:paraId="2C56DE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146.5500 </w:t>
            </w:r>
          </w:p>
        </w:tc>
      </w:tr>
      <w:tr w14:paraId="28797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A30F5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2690 </w:t>
            </w:r>
          </w:p>
        </w:tc>
        <w:tc>
          <w:tcPr>
            <w:tcW w:w="1443" w:type="dxa"/>
            <w:tcBorders>
              <w:tl2br w:val="nil"/>
              <w:tr2bl w:val="nil"/>
            </w:tcBorders>
            <w:shd w:val="clear" w:color="auto" w:fill="auto"/>
            <w:vAlign w:val="center"/>
          </w:tcPr>
          <w:p w14:paraId="27A77E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32.7900 </w:t>
            </w:r>
          </w:p>
        </w:tc>
        <w:tc>
          <w:tcPr>
            <w:tcW w:w="1394" w:type="dxa"/>
            <w:tcBorders>
              <w:tl2br w:val="nil"/>
              <w:tr2bl w:val="nil"/>
            </w:tcBorders>
            <w:shd w:val="clear" w:color="auto" w:fill="auto"/>
            <w:vAlign w:val="center"/>
          </w:tcPr>
          <w:p w14:paraId="489ECB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145.7000 </w:t>
            </w:r>
          </w:p>
        </w:tc>
        <w:tc>
          <w:tcPr>
            <w:tcW w:w="1079" w:type="dxa"/>
            <w:tcBorders>
              <w:tl2br w:val="nil"/>
              <w:tr2bl w:val="nil"/>
            </w:tcBorders>
            <w:shd w:val="clear" w:color="auto" w:fill="auto"/>
            <w:vAlign w:val="center"/>
          </w:tcPr>
          <w:p w14:paraId="29DB58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B7A6E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32.7900 </w:t>
            </w:r>
          </w:p>
        </w:tc>
        <w:tc>
          <w:tcPr>
            <w:tcW w:w="1353" w:type="dxa"/>
            <w:tcBorders>
              <w:tl2br w:val="nil"/>
              <w:tr2bl w:val="nil"/>
            </w:tcBorders>
            <w:shd w:val="clear" w:color="auto" w:fill="auto"/>
            <w:vAlign w:val="center"/>
          </w:tcPr>
          <w:p w14:paraId="568429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145.7000 </w:t>
            </w:r>
          </w:p>
        </w:tc>
      </w:tr>
      <w:tr w14:paraId="75E41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7C83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2700 </w:t>
            </w:r>
          </w:p>
        </w:tc>
        <w:tc>
          <w:tcPr>
            <w:tcW w:w="1443" w:type="dxa"/>
            <w:tcBorders>
              <w:tl2br w:val="nil"/>
              <w:tr2bl w:val="nil"/>
            </w:tcBorders>
            <w:shd w:val="clear" w:color="auto" w:fill="auto"/>
            <w:vAlign w:val="center"/>
          </w:tcPr>
          <w:p w14:paraId="386F70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32.8840 </w:t>
            </w:r>
          </w:p>
        </w:tc>
        <w:tc>
          <w:tcPr>
            <w:tcW w:w="1394" w:type="dxa"/>
            <w:tcBorders>
              <w:tl2br w:val="nil"/>
              <w:tr2bl w:val="nil"/>
            </w:tcBorders>
            <w:shd w:val="clear" w:color="auto" w:fill="auto"/>
            <w:vAlign w:val="center"/>
          </w:tcPr>
          <w:p w14:paraId="081CB1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144.8700 </w:t>
            </w:r>
          </w:p>
        </w:tc>
        <w:tc>
          <w:tcPr>
            <w:tcW w:w="1079" w:type="dxa"/>
            <w:tcBorders>
              <w:tl2br w:val="nil"/>
              <w:tr2bl w:val="nil"/>
            </w:tcBorders>
            <w:shd w:val="clear" w:color="auto" w:fill="auto"/>
            <w:vAlign w:val="center"/>
          </w:tcPr>
          <w:p w14:paraId="0CCB56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FF24A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32.8840 </w:t>
            </w:r>
          </w:p>
        </w:tc>
        <w:tc>
          <w:tcPr>
            <w:tcW w:w="1353" w:type="dxa"/>
            <w:tcBorders>
              <w:tl2br w:val="nil"/>
              <w:tr2bl w:val="nil"/>
            </w:tcBorders>
            <w:shd w:val="clear" w:color="auto" w:fill="auto"/>
            <w:vAlign w:val="center"/>
          </w:tcPr>
          <w:p w14:paraId="6E312F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144.8700 </w:t>
            </w:r>
          </w:p>
        </w:tc>
      </w:tr>
      <w:tr w14:paraId="0186A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334B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2710 </w:t>
            </w:r>
          </w:p>
        </w:tc>
        <w:tc>
          <w:tcPr>
            <w:tcW w:w="1443" w:type="dxa"/>
            <w:tcBorders>
              <w:tl2br w:val="nil"/>
              <w:tr2bl w:val="nil"/>
            </w:tcBorders>
            <w:shd w:val="clear" w:color="auto" w:fill="auto"/>
            <w:vAlign w:val="center"/>
          </w:tcPr>
          <w:p w14:paraId="6F7DCD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32.9770 </w:t>
            </w:r>
          </w:p>
        </w:tc>
        <w:tc>
          <w:tcPr>
            <w:tcW w:w="1394" w:type="dxa"/>
            <w:tcBorders>
              <w:tl2br w:val="nil"/>
              <w:tr2bl w:val="nil"/>
            </w:tcBorders>
            <w:shd w:val="clear" w:color="auto" w:fill="auto"/>
            <w:vAlign w:val="center"/>
          </w:tcPr>
          <w:p w14:paraId="6225F3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144.0300 </w:t>
            </w:r>
          </w:p>
        </w:tc>
        <w:tc>
          <w:tcPr>
            <w:tcW w:w="1079" w:type="dxa"/>
            <w:tcBorders>
              <w:tl2br w:val="nil"/>
              <w:tr2bl w:val="nil"/>
            </w:tcBorders>
            <w:shd w:val="clear" w:color="auto" w:fill="auto"/>
            <w:vAlign w:val="center"/>
          </w:tcPr>
          <w:p w14:paraId="2EA32A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7C98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32.9770 </w:t>
            </w:r>
          </w:p>
        </w:tc>
        <w:tc>
          <w:tcPr>
            <w:tcW w:w="1353" w:type="dxa"/>
            <w:tcBorders>
              <w:tl2br w:val="nil"/>
              <w:tr2bl w:val="nil"/>
            </w:tcBorders>
            <w:shd w:val="clear" w:color="auto" w:fill="auto"/>
            <w:vAlign w:val="center"/>
          </w:tcPr>
          <w:p w14:paraId="6B2043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144.0300 </w:t>
            </w:r>
          </w:p>
        </w:tc>
      </w:tr>
      <w:tr w14:paraId="1AE58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8F80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2720 </w:t>
            </w:r>
          </w:p>
        </w:tc>
        <w:tc>
          <w:tcPr>
            <w:tcW w:w="1443" w:type="dxa"/>
            <w:tcBorders>
              <w:tl2br w:val="nil"/>
              <w:tr2bl w:val="nil"/>
            </w:tcBorders>
            <w:shd w:val="clear" w:color="auto" w:fill="auto"/>
            <w:vAlign w:val="center"/>
          </w:tcPr>
          <w:p w14:paraId="5C8F98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33.0700 </w:t>
            </w:r>
          </w:p>
        </w:tc>
        <w:tc>
          <w:tcPr>
            <w:tcW w:w="1394" w:type="dxa"/>
            <w:tcBorders>
              <w:tl2br w:val="nil"/>
              <w:tr2bl w:val="nil"/>
            </w:tcBorders>
            <w:shd w:val="clear" w:color="auto" w:fill="auto"/>
            <w:vAlign w:val="center"/>
          </w:tcPr>
          <w:p w14:paraId="20C91E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143.2100 </w:t>
            </w:r>
          </w:p>
        </w:tc>
        <w:tc>
          <w:tcPr>
            <w:tcW w:w="1079" w:type="dxa"/>
            <w:tcBorders>
              <w:tl2br w:val="nil"/>
              <w:tr2bl w:val="nil"/>
            </w:tcBorders>
            <w:shd w:val="clear" w:color="auto" w:fill="auto"/>
            <w:vAlign w:val="center"/>
          </w:tcPr>
          <w:p w14:paraId="4AB566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62AB5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33.0700 </w:t>
            </w:r>
          </w:p>
        </w:tc>
        <w:tc>
          <w:tcPr>
            <w:tcW w:w="1353" w:type="dxa"/>
            <w:tcBorders>
              <w:tl2br w:val="nil"/>
              <w:tr2bl w:val="nil"/>
            </w:tcBorders>
            <w:shd w:val="clear" w:color="auto" w:fill="auto"/>
            <w:vAlign w:val="center"/>
          </w:tcPr>
          <w:p w14:paraId="382C11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143.2100 </w:t>
            </w:r>
          </w:p>
        </w:tc>
      </w:tr>
      <w:tr w14:paraId="038B9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3BE37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2730 </w:t>
            </w:r>
          </w:p>
        </w:tc>
        <w:tc>
          <w:tcPr>
            <w:tcW w:w="1443" w:type="dxa"/>
            <w:tcBorders>
              <w:tl2br w:val="nil"/>
              <w:tr2bl w:val="nil"/>
            </w:tcBorders>
            <w:shd w:val="clear" w:color="auto" w:fill="auto"/>
            <w:vAlign w:val="center"/>
          </w:tcPr>
          <w:p w14:paraId="079B0F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33.1640 </w:t>
            </w:r>
          </w:p>
        </w:tc>
        <w:tc>
          <w:tcPr>
            <w:tcW w:w="1394" w:type="dxa"/>
            <w:tcBorders>
              <w:tl2br w:val="nil"/>
              <w:tr2bl w:val="nil"/>
            </w:tcBorders>
            <w:shd w:val="clear" w:color="auto" w:fill="auto"/>
            <w:vAlign w:val="center"/>
          </w:tcPr>
          <w:p w14:paraId="6BF650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142.3900 </w:t>
            </w:r>
          </w:p>
        </w:tc>
        <w:tc>
          <w:tcPr>
            <w:tcW w:w="1079" w:type="dxa"/>
            <w:tcBorders>
              <w:tl2br w:val="nil"/>
              <w:tr2bl w:val="nil"/>
            </w:tcBorders>
            <w:shd w:val="clear" w:color="auto" w:fill="auto"/>
            <w:vAlign w:val="center"/>
          </w:tcPr>
          <w:p w14:paraId="6083F2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ACA2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33.1640 </w:t>
            </w:r>
          </w:p>
        </w:tc>
        <w:tc>
          <w:tcPr>
            <w:tcW w:w="1353" w:type="dxa"/>
            <w:tcBorders>
              <w:tl2br w:val="nil"/>
              <w:tr2bl w:val="nil"/>
            </w:tcBorders>
            <w:shd w:val="clear" w:color="auto" w:fill="auto"/>
            <w:vAlign w:val="center"/>
          </w:tcPr>
          <w:p w14:paraId="6843F1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142.3900 </w:t>
            </w:r>
          </w:p>
        </w:tc>
      </w:tr>
      <w:tr w14:paraId="65EC8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ABCC9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2740 </w:t>
            </w:r>
          </w:p>
        </w:tc>
        <w:tc>
          <w:tcPr>
            <w:tcW w:w="1443" w:type="dxa"/>
            <w:tcBorders>
              <w:tl2br w:val="nil"/>
              <w:tr2bl w:val="nil"/>
            </w:tcBorders>
            <w:shd w:val="clear" w:color="auto" w:fill="auto"/>
            <w:vAlign w:val="center"/>
          </w:tcPr>
          <w:p w14:paraId="3249A2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33.2570 </w:t>
            </w:r>
          </w:p>
        </w:tc>
        <w:tc>
          <w:tcPr>
            <w:tcW w:w="1394" w:type="dxa"/>
            <w:tcBorders>
              <w:tl2br w:val="nil"/>
              <w:tr2bl w:val="nil"/>
            </w:tcBorders>
            <w:shd w:val="clear" w:color="auto" w:fill="auto"/>
            <w:vAlign w:val="center"/>
          </w:tcPr>
          <w:p w14:paraId="661E64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141.5900 </w:t>
            </w:r>
          </w:p>
        </w:tc>
        <w:tc>
          <w:tcPr>
            <w:tcW w:w="1079" w:type="dxa"/>
            <w:tcBorders>
              <w:tl2br w:val="nil"/>
              <w:tr2bl w:val="nil"/>
            </w:tcBorders>
            <w:shd w:val="clear" w:color="auto" w:fill="auto"/>
            <w:vAlign w:val="center"/>
          </w:tcPr>
          <w:p w14:paraId="663BB0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F563A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33.2570 </w:t>
            </w:r>
          </w:p>
        </w:tc>
        <w:tc>
          <w:tcPr>
            <w:tcW w:w="1353" w:type="dxa"/>
            <w:tcBorders>
              <w:tl2br w:val="nil"/>
              <w:tr2bl w:val="nil"/>
            </w:tcBorders>
            <w:shd w:val="clear" w:color="auto" w:fill="auto"/>
            <w:vAlign w:val="center"/>
          </w:tcPr>
          <w:p w14:paraId="65AAA4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141.5900 </w:t>
            </w:r>
          </w:p>
        </w:tc>
      </w:tr>
      <w:tr w14:paraId="3751B8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4E341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2750 </w:t>
            </w:r>
          </w:p>
        </w:tc>
        <w:tc>
          <w:tcPr>
            <w:tcW w:w="1443" w:type="dxa"/>
            <w:tcBorders>
              <w:tl2br w:val="nil"/>
              <w:tr2bl w:val="nil"/>
            </w:tcBorders>
            <w:shd w:val="clear" w:color="auto" w:fill="auto"/>
            <w:vAlign w:val="center"/>
          </w:tcPr>
          <w:p w14:paraId="46A7B7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33.3500 </w:t>
            </w:r>
          </w:p>
        </w:tc>
        <w:tc>
          <w:tcPr>
            <w:tcW w:w="1394" w:type="dxa"/>
            <w:tcBorders>
              <w:tl2br w:val="nil"/>
              <w:tr2bl w:val="nil"/>
            </w:tcBorders>
            <w:shd w:val="clear" w:color="auto" w:fill="auto"/>
            <w:vAlign w:val="center"/>
          </w:tcPr>
          <w:p w14:paraId="555444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140.7800 </w:t>
            </w:r>
          </w:p>
        </w:tc>
        <w:tc>
          <w:tcPr>
            <w:tcW w:w="1079" w:type="dxa"/>
            <w:tcBorders>
              <w:tl2br w:val="nil"/>
              <w:tr2bl w:val="nil"/>
            </w:tcBorders>
            <w:shd w:val="clear" w:color="auto" w:fill="auto"/>
            <w:vAlign w:val="center"/>
          </w:tcPr>
          <w:p w14:paraId="036B97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704C2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33.3500 </w:t>
            </w:r>
          </w:p>
        </w:tc>
        <w:tc>
          <w:tcPr>
            <w:tcW w:w="1353" w:type="dxa"/>
            <w:tcBorders>
              <w:tl2br w:val="nil"/>
              <w:tr2bl w:val="nil"/>
            </w:tcBorders>
            <w:shd w:val="clear" w:color="auto" w:fill="auto"/>
            <w:vAlign w:val="center"/>
          </w:tcPr>
          <w:p w14:paraId="4BE75D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140.7800 </w:t>
            </w:r>
          </w:p>
        </w:tc>
      </w:tr>
      <w:tr w14:paraId="6D2961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3AB28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2760 </w:t>
            </w:r>
          </w:p>
        </w:tc>
        <w:tc>
          <w:tcPr>
            <w:tcW w:w="1443" w:type="dxa"/>
            <w:tcBorders>
              <w:tl2br w:val="nil"/>
              <w:tr2bl w:val="nil"/>
            </w:tcBorders>
            <w:shd w:val="clear" w:color="auto" w:fill="auto"/>
            <w:vAlign w:val="center"/>
          </w:tcPr>
          <w:p w14:paraId="1F86D4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33.4430 </w:t>
            </w:r>
          </w:p>
        </w:tc>
        <w:tc>
          <w:tcPr>
            <w:tcW w:w="1394" w:type="dxa"/>
            <w:tcBorders>
              <w:tl2br w:val="nil"/>
              <w:tr2bl w:val="nil"/>
            </w:tcBorders>
            <w:shd w:val="clear" w:color="auto" w:fill="auto"/>
            <w:vAlign w:val="center"/>
          </w:tcPr>
          <w:p w14:paraId="130F7F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139.9900 </w:t>
            </w:r>
          </w:p>
        </w:tc>
        <w:tc>
          <w:tcPr>
            <w:tcW w:w="1079" w:type="dxa"/>
            <w:tcBorders>
              <w:tl2br w:val="nil"/>
              <w:tr2bl w:val="nil"/>
            </w:tcBorders>
            <w:shd w:val="clear" w:color="auto" w:fill="auto"/>
            <w:vAlign w:val="center"/>
          </w:tcPr>
          <w:p w14:paraId="6ED797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4A535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33.4430 </w:t>
            </w:r>
          </w:p>
        </w:tc>
        <w:tc>
          <w:tcPr>
            <w:tcW w:w="1353" w:type="dxa"/>
            <w:tcBorders>
              <w:tl2br w:val="nil"/>
              <w:tr2bl w:val="nil"/>
            </w:tcBorders>
            <w:shd w:val="clear" w:color="auto" w:fill="auto"/>
            <w:vAlign w:val="center"/>
          </w:tcPr>
          <w:p w14:paraId="5A5308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139.9900 </w:t>
            </w:r>
          </w:p>
        </w:tc>
      </w:tr>
      <w:tr w14:paraId="15DB4C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F6505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2770 </w:t>
            </w:r>
          </w:p>
        </w:tc>
        <w:tc>
          <w:tcPr>
            <w:tcW w:w="1443" w:type="dxa"/>
            <w:tcBorders>
              <w:tl2br w:val="nil"/>
              <w:tr2bl w:val="nil"/>
            </w:tcBorders>
            <w:shd w:val="clear" w:color="auto" w:fill="auto"/>
            <w:vAlign w:val="center"/>
          </w:tcPr>
          <w:p w14:paraId="02B862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33.5360 </w:t>
            </w:r>
          </w:p>
        </w:tc>
        <w:tc>
          <w:tcPr>
            <w:tcW w:w="1394" w:type="dxa"/>
            <w:tcBorders>
              <w:tl2br w:val="nil"/>
              <w:tr2bl w:val="nil"/>
            </w:tcBorders>
            <w:shd w:val="clear" w:color="auto" w:fill="auto"/>
            <w:vAlign w:val="center"/>
          </w:tcPr>
          <w:p w14:paraId="784117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139.2000 </w:t>
            </w:r>
          </w:p>
        </w:tc>
        <w:tc>
          <w:tcPr>
            <w:tcW w:w="1079" w:type="dxa"/>
            <w:tcBorders>
              <w:tl2br w:val="nil"/>
              <w:tr2bl w:val="nil"/>
            </w:tcBorders>
            <w:shd w:val="clear" w:color="auto" w:fill="auto"/>
            <w:vAlign w:val="center"/>
          </w:tcPr>
          <w:p w14:paraId="2CE2D6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8C11A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33.5360 </w:t>
            </w:r>
          </w:p>
        </w:tc>
        <w:tc>
          <w:tcPr>
            <w:tcW w:w="1353" w:type="dxa"/>
            <w:tcBorders>
              <w:tl2br w:val="nil"/>
              <w:tr2bl w:val="nil"/>
            </w:tcBorders>
            <w:shd w:val="clear" w:color="auto" w:fill="auto"/>
            <w:vAlign w:val="center"/>
          </w:tcPr>
          <w:p w14:paraId="1BA0B7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139.2000 </w:t>
            </w:r>
          </w:p>
        </w:tc>
      </w:tr>
      <w:tr w14:paraId="7DA058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E25DA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2780 </w:t>
            </w:r>
          </w:p>
        </w:tc>
        <w:tc>
          <w:tcPr>
            <w:tcW w:w="1443" w:type="dxa"/>
            <w:tcBorders>
              <w:tl2br w:val="nil"/>
              <w:tr2bl w:val="nil"/>
            </w:tcBorders>
            <w:shd w:val="clear" w:color="auto" w:fill="auto"/>
            <w:vAlign w:val="center"/>
          </w:tcPr>
          <w:p w14:paraId="1145E2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33.6290 </w:t>
            </w:r>
          </w:p>
        </w:tc>
        <w:tc>
          <w:tcPr>
            <w:tcW w:w="1394" w:type="dxa"/>
            <w:tcBorders>
              <w:tl2br w:val="nil"/>
              <w:tr2bl w:val="nil"/>
            </w:tcBorders>
            <w:shd w:val="clear" w:color="auto" w:fill="auto"/>
            <w:vAlign w:val="center"/>
          </w:tcPr>
          <w:p w14:paraId="70C980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138.4200 </w:t>
            </w:r>
          </w:p>
        </w:tc>
        <w:tc>
          <w:tcPr>
            <w:tcW w:w="1079" w:type="dxa"/>
            <w:tcBorders>
              <w:tl2br w:val="nil"/>
              <w:tr2bl w:val="nil"/>
            </w:tcBorders>
            <w:shd w:val="clear" w:color="auto" w:fill="auto"/>
            <w:vAlign w:val="center"/>
          </w:tcPr>
          <w:p w14:paraId="7D8CFC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48CB9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33.6290 </w:t>
            </w:r>
          </w:p>
        </w:tc>
        <w:tc>
          <w:tcPr>
            <w:tcW w:w="1353" w:type="dxa"/>
            <w:tcBorders>
              <w:tl2br w:val="nil"/>
              <w:tr2bl w:val="nil"/>
            </w:tcBorders>
            <w:shd w:val="clear" w:color="auto" w:fill="auto"/>
            <w:vAlign w:val="center"/>
          </w:tcPr>
          <w:p w14:paraId="613396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138.4200 </w:t>
            </w:r>
          </w:p>
        </w:tc>
      </w:tr>
      <w:tr w14:paraId="4760C3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0190E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2790 </w:t>
            </w:r>
          </w:p>
        </w:tc>
        <w:tc>
          <w:tcPr>
            <w:tcW w:w="1443" w:type="dxa"/>
            <w:tcBorders>
              <w:tl2br w:val="nil"/>
              <w:tr2bl w:val="nil"/>
            </w:tcBorders>
            <w:shd w:val="clear" w:color="auto" w:fill="auto"/>
            <w:vAlign w:val="center"/>
          </w:tcPr>
          <w:p w14:paraId="78E65F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33.7220 </w:t>
            </w:r>
          </w:p>
        </w:tc>
        <w:tc>
          <w:tcPr>
            <w:tcW w:w="1394" w:type="dxa"/>
            <w:tcBorders>
              <w:tl2br w:val="nil"/>
              <w:tr2bl w:val="nil"/>
            </w:tcBorders>
            <w:shd w:val="clear" w:color="auto" w:fill="auto"/>
            <w:vAlign w:val="center"/>
          </w:tcPr>
          <w:p w14:paraId="554880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137.6400 </w:t>
            </w:r>
          </w:p>
        </w:tc>
        <w:tc>
          <w:tcPr>
            <w:tcW w:w="1079" w:type="dxa"/>
            <w:tcBorders>
              <w:tl2br w:val="nil"/>
              <w:tr2bl w:val="nil"/>
            </w:tcBorders>
            <w:shd w:val="clear" w:color="auto" w:fill="auto"/>
            <w:vAlign w:val="center"/>
          </w:tcPr>
          <w:p w14:paraId="1A5C72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4BDF8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33.7220 </w:t>
            </w:r>
          </w:p>
        </w:tc>
        <w:tc>
          <w:tcPr>
            <w:tcW w:w="1353" w:type="dxa"/>
            <w:tcBorders>
              <w:tl2br w:val="nil"/>
              <w:tr2bl w:val="nil"/>
            </w:tcBorders>
            <w:shd w:val="clear" w:color="auto" w:fill="auto"/>
            <w:vAlign w:val="center"/>
          </w:tcPr>
          <w:p w14:paraId="58BBBF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137.6400 </w:t>
            </w:r>
          </w:p>
        </w:tc>
      </w:tr>
      <w:tr w14:paraId="66B1C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8155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2800 </w:t>
            </w:r>
          </w:p>
        </w:tc>
        <w:tc>
          <w:tcPr>
            <w:tcW w:w="1443" w:type="dxa"/>
            <w:tcBorders>
              <w:tl2br w:val="nil"/>
              <w:tr2bl w:val="nil"/>
            </w:tcBorders>
            <w:shd w:val="clear" w:color="auto" w:fill="auto"/>
            <w:vAlign w:val="center"/>
          </w:tcPr>
          <w:p w14:paraId="2D6759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33.8140 </w:t>
            </w:r>
          </w:p>
        </w:tc>
        <w:tc>
          <w:tcPr>
            <w:tcW w:w="1394" w:type="dxa"/>
            <w:tcBorders>
              <w:tl2br w:val="nil"/>
              <w:tr2bl w:val="nil"/>
            </w:tcBorders>
            <w:shd w:val="clear" w:color="auto" w:fill="auto"/>
            <w:vAlign w:val="center"/>
          </w:tcPr>
          <w:p w14:paraId="6B65B0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136.8800 </w:t>
            </w:r>
          </w:p>
        </w:tc>
        <w:tc>
          <w:tcPr>
            <w:tcW w:w="1079" w:type="dxa"/>
            <w:tcBorders>
              <w:tl2br w:val="nil"/>
              <w:tr2bl w:val="nil"/>
            </w:tcBorders>
            <w:shd w:val="clear" w:color="auto" w:fill="auto"/>
            <w:vAlign w:val="center"/>
          </w:tcPr>
          <w:p w14:paraId="46CBF2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3E66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33.8140 </w:t>
            </w:r>
          </w:p>
        </w:tc>
        <w:tc>
          <w:tcPr>
            <w:tcW w:w="1353" w:type="dxa"/>
            <w:tcBorders>
              <w:tl2br w:val="nil"/>
              <w:tr2bl w:val="nil"/>
            </w:tcBorders>
            <w:shd w:val="clear" w:color="auto" w:fill="auto"/>
            <w:vAlign w:val="center"/>
          </w:tcPr>
          <w:p w14:paraId="7F969F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136.8800 </w:t>
            </w:r>
          </w:p>
        </w:tc>
      </w:tr>
      <w:tr w14:paraId="33BB2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0CE8C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2810 </w:t>
            </w:r>
          </w:p>
        </w:tc>
        <w:tc>
          <w:tcPr>
            <w:tcW w:w="1443" w:type="dxa"/>
            <w:tcBorders>
              <w:tl2br w:val="nil"/>
              <w:tr2bl w:val="nil"/>
            </w:tcBorders>
            <w:shd w:val="clear" w:color="auto" w:fill="auto"/>
            <w:vAlign w:val="center"/>
          </w:tcPr>
          <w:p w14:paraId="7FB358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33.9070 </w:t>
            </w:r>
          </w:p>
        </w:tc>
        <w:tc>
          <w:tcPr>
            <w:tcW w:w="1394" w:type="dxa"/>
            <w:tcBorders>
              <w:tl2br w:val="nil"/>
              <w:tr2bl w:val="nil"/>
            </w:tcBorders>
            <w:shd w:val="clear" w:color="auto" w:fill="auto"/>
            <w:vAlign w:val="center"/>
          </w:tcPr>
          <w:p w14:paraId="08D638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136.1200 </w:t>
            </w:r>
          </w:p>
        </w:tc>
        <w:tc>
          <w:tcPr>
            <w:tcW w:w="1079" w:type="dxa"/>
            <w:tcBorders>
              <w:tl2br w:val="nil"/>
              <w:tr2bl w:val="nil"/>
            </w:tcBorders>
            <w:shd w:val="clear" w:color="auto" w:fill="auto"/>
            <w:vAlign w:val="center"/>
          </w:tcPr>
          <w:p w14:paraId="5B4DA8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99C94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33.9070 </w:t>
            </w:r>
          </w:p>
        </w:tc>
        <w:tc>
          <w:tcPr>
            <w:tcW w:w="1353" w:type="dxa"/>
            <w:tcBorders>
              <w:tl2br w:val="nil"/>
              <w:tr2bl w:val="nil"/>
            </w:tcBorders>
            <w:shd w:val="clear" w:color="auto" w:fill="auto"/>
            <w:vAlign w:val="center"/>
          </w:tcPr>
          <w:p w14:paraId="5F395D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136.1200 </w:t>
            </w:r>
          </w:p>
        </w:tc>
      </w:tr>
      <w:tr w14:paraId="74D49D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2A8C7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2820 </w:t>
            </w:r>
          </w:p>
        </w:tc>
        <w:tc>
          <w:tcPr>
            <w:tcW w:w="1443" w:type="dxa"/>
            <w:tcBorders>
              <w:tl2br w:val="nil"/>
              <w:tr2bl w:val="nil"/>
            </w:tcBorders>
            <w:shd w:val="clear" w:color="auto" w:fill="auto"/>
            <w:vAlign w:val="center"/>
          </w:tcPr>
          <w:p w14:paraId="033F59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34.0000 </w:t>
            </w:r>
          </w:p>
        </w:tc>
        <w:tc>
          <w:tcPr>
            <w:tcW w:w="1394" w:type="dxa"/>
            <w:tcBorders>
              <w:tl2br w:val="nil"/>
              <w:tr2bl w:val="nil"/>
            </w:tcBorders>
            <w:shd w:val="clear" w:color="auto" w:fill="auto"/>
            <w:vAlign w:val="center"/>
          </w:tcPr>
          <w:p w14:paraId="582FA0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135.3600 </w:t>
            </w:r>
          </w:p>
        </w:tc>
        <w:tc>
          <w:tcPr>
            <w:tcW w:w="1079" w:type="dxa"/>
            <w:tcBorders>
              <w:tl2br w:val="nil"/>
              <w:tr2bl w:val="nil"/>
            </w:tcBorders>
            <w:shd w:val="clear" w:color="auto" w:fill="auto"/>
            <w:vAlign w:val="center"/>
          </w:tcPr>
          <w:p w14:paraId="5C15BB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114D6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34.0000 </w:t>
            </w:r>
          </w:p>
        </w:tc>
        <w:tc>
          <w:tcPr>
            <w:tcW w:w="1353" w:type="dxa"/>
            <w:tcBorders>
              <w:tl2br w:val="nil"/>
              <w:tr2bl w:val="nil"/>
            </w:tcBorders>
            <w:shd w:val="clear" w:color="auto" w:fill="auto"/>
            <w:vAlign w:val="center"/>
          </w:tcPr>
          <w:p w14:paraId="1A359D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135.3600 </w:t>
            </w:r>
          </w:p>
        </w:tc>
      </w:tr>
      <w:tr w14:paraId="0D237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D32F6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2830 </w:t>
            </w:r>
          </w:p>
        </w:tc>
        <w:tc>
          <w:tcPr>
            <w:tcW w:w="1443" w:type="dxa"/>
            <w:tcBorders>
              <w:tl2br w:val="nil"/>
              <w:tr2bl w:val="nil"/>
            </w:tcBorders>
            <w:shd w:val="clear" w:color="auto" w:fill="auto"/>
            <w:vAlign w:val="center"/>
          </w:tcPr>
          <w:p w14:paraId="6B686C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34.0920 </w:t>
            </w:r>
          </w:p>
        </w:tc>
        <w:tc>
          <w:tcPr>
            <w:tcW w:w="1394" w:type="dxa"/>
            <w:tcBorders>
              <w:tl2br w:val="nil"/>
              <w:tr2bl w:val="nil"/>
            </w:tcBorders>
            <w:shd w:val="clear" w:color="auto" w:fill="auto"/>
            <w:vAlign w:val="center"/>
          </w:tcPr>
          <w:p w14:paraId="4931E2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134.6100 </w:t>
            </w:r>
          </w:p>
        </w:tc>
        <w:tc>
          <w:tcPr>
            <w:tcW w:w="1079" w:type="dxa"/>
            <w:tcBorders>
              <w:tl2br w:val="nil"/>
              <w:tr2bl w:val="nil"/>
            </w:tcBorders>
            <w:shd w:val="clear" w:color="auto" w:fill="auto"/>
            <w:vAlign w:val="center"/>
          </w:tcPr>
          <w:p w14:paraId="490146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3ADC4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34.0920 </w:t>
            </w:r>
          </w:p>
        </w:tc>
        <w:tc>
          <w:tcPr>
            <w:tcW w:w="1353" w:type="dxa"/>
            <w:tcBorders>
              <w:tl2br w:val="nil"/>
              <w:tr2bl w:val="nil"/>
            </w:tcBorders>
            <w:shd w:val="clear" w:color="auto" w:fill="auto"/>
            <w:vAlign w:val="center"/>
          </w:tcPr>
          <w:p w14:paraId="53D695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134.6100 </w:t>
            </w:r>
          </w:p>
        </w:tc>
      </w:tr>
      <w:tr w14:paraId="0B958C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F7534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2840 </w:t>
            </w:r>
          </w:p>
        </w:tc>
        <w:tc>
          <w:tcPr>
            <w:tcW w:w="1443" w:type="dxa"/>
            <w:tcBorders>
              <w:tl2br w:val="nil"/>
              <w:tr2bl w:val="nil"/>
            </w:tcBorders>
            <w:shd w:val="clear" w:color="auto" w:fill="auto"/>
            <w:vAlign w:val="center"/>
          </w:tcPr>
          <w:p w14:paraId="1CC087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34.1850 </w:t>
            </w:r>
          </w:p>
        </w:tc>
        <w:tc>
          <w:tcPr>
            <w:tcW w:w="1394" w:type="dxa"/>
            <w:tcBorders>
              <w:tl2br w:val="nil"/>
              <w:tr2bl w:val="nil"/>
            </w:tcBorders>
            <w:shd w:val="clear" w:color="auto" w:fill="auto"/>
            <w:vAlign w:val="center"/>
          </w:tcPr>
          <w:p w14:paraId="79838A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133.8700 </w:t>
            </w:r>
          </w:p>
        </w:tc>
        <w:tc>
          <w:tcPr>
            <w:tcW w:w="1079" w:type="dxa"/>
            <w:tcBorders>
              <w:tl2br w:val="nil"/>
              <w:tr2bl w:val="nil"/>
            </w:tcBorders>
            <w:shd w:val="clear" w:color="auto" w:fill="auto"/>
            <w:vAlign w:val="center"/>
          </w:tcPr>
          <w:p w14:paraId="382E57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0A5C6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34.1850 </w:t>
            </w:r>
          </w:p>
        </w:tc>
        <w:tc>
          <w:tcPr>
            <w:tcW w:w="1353" w:type="dxa"/>
            <w:tcBorders>
              <w:tl2br w:val="nil"/>
              <w:tr2bl w:val="nil"/>
            </w:tcBorders>
            <w:shd w:val="clear" w:color="auto" w:fill="auto"/>
            <w:vAlign w:val="center"/>
          </w:tcPr>
          <w:p w14:paraId="372C72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133.8700 </w:t>
            </w:r>
          </w:p>
        </w:tc>
      </w:tr>
      <w:tr w14:paraId="7F24E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1D85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2850 </w:t>
            </w:r>
          </w:p>
        </w:tc>
        <w:tc>
          <w:tcPr>
            <w:tcW w:w="1443" w:type="dxa"/>
            <w:tcBorders>
              <w:tl2br w:val="nil"/>
              <w:tr2bl w:val="nil"/>
            </w:tcBorders>
            <w:shd w:val="clear" w:color="auto" w:fill="auto"/>
            <w:vAlign w:val="center"/>
          </w:tcPr>
          <w:p w14:paraId="691178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34.2770 </w:t>
            </w:r>
          </w:p>
        </w:tc>
        <w:tc>
          <w:tcPr>
            <w:tcW w:w="1394" w:type="dxa"/>
            <w:tcBorders>
              <w:tl2br w:val="nil"/>
              <w:tr2bl w:val="nil"/>
            </w:tcBorders>
            <w:shd w:val="clear" w:color="auto" w:fill="auto"/>
            <w:vAlign w:val="center"/>
          </w:tcPr>
          <w:p w14:paraId="430E0E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133.1400 </w:t>
            </w:r>
          </w:p>
        </w:tc>
        <w:tc>
          <w:tcPr>
            <w:tcW w:w="1079" w:type="dxa"/>
            <w:tcBorders>
              <w:tl2br w:val="nil"/>
              <w:tr2bl w:val="nil"/>
            </w:tcBorders>
            <w:shd w:val="clear" w:color="auto" w:fill="auto"/>
            <w:vAlign w:val="center"/>
          </w:tcPr>
          <w:p w14:paraId="578F93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905B3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34.2770 </w:t>
            </w:r>
          </w:p>
        </w:tc>
        <w:tc>
          <w:tcPr>
            <w:tcW w:w="1353" w:type="dxa"/>
            <w:tcBorders>
              <w:tl2br w:val="nil"/>
              <w:tr2bl w:val="nil"/>
            </w:tcBorders>
            <w:shd w:val="clear" w:color="auto" w:fill="auto"/>
            <w:vAlign w:val="center"/>
          </w:tcPr>
          <w:p w14:paraId="061318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133.1400 </w:t>
            </w:r>
          </w:p>
        </w:tc>
      </w:tr>
      <w:tr w14:paraId="5A8BC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FC704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2860 </w:t>
            </w:r>
          </w:p>
        </w:tc>
        <w:tc>
          <w:tcPr>
            <w:tcW w:w="1443" w:type="dxa"/>
            <w:tcBorders>
              <w:tl2br w:val="nil"/>
              <w:tr2bl w:val="nil"/>
            </w:tcBorders>
            <w:shd w:val="clear" w:color="auto" w:fill="auto"/>
            <w:vAlign w:val="center"/>
          </w:tcPr>
          <w:p w14:paraId="7E2F1E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34.3690 </w:t>
            </w:r>
          </w:p>
        </w:tc>
        <w:tc>
          <w:tcPr>
            <w:tcW w:w="1394" w:type="dxa"/>
            <w:tcBorders>
              <w:tl2br w:val="nil"/>
              <w:tr2bl w:val="nil"/>
            </w:tcBorders>
            <w:shd w:val="clear" w:color="auto" w:fill="auto"/>
            <w:vAlign w:val="center"/>
          </w:tcPr>
          <w:p w14:paraId="69C856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132.4100 </w:t>
            </w:r>
          </w:p>
        </w:tc>
        <w:tc>
          <w:tcPr>
            <w:tcW w:w="1079" w:type="dxa"/>
            <w:tcBorders>
              <w:tl2br w:val="nil"/>
              <w:tr2bl w:val="nil"/>
            </w:tcBorders>
            <w:shd w:val="clear" w:color="auto" w:fill="auto"/>
            <w:vAlign w:val="center"/>
          </w:tcPr>
          <w:p w14:paraId="1ACF45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ABEBB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34.3690 </w:t>
            </w:r>
          </w:p>
        </w:tc>
        <w:tc>
          <w:tcPr>
            <w:tcW w:w="1353" w:type="dxa"/>
            <w:tcBorders>
              <w:tl2br w:val="nil"/>
              <w:tr2bl w:val="nil"/>
            </w:tcBorders>
            <w:shd w:val="clear" w:color="auto" w:fill="auto"/>
            <w:vAlign w:val="center"/>
          </w:tcPr>
          <w:p w14:paraId="473ED5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132.4100 </w:t>
            </w:r>
          </w:p>
        </w:tc>
      </w:tr>
      <w:tr w14:paraId="75DCCC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EF7C6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2870 </w:t>
            </w:r>
          </w:p>
        </w:tc>
        <w:tc>
          <w:tcPr>
            <w:tcW w:w="1443" w:type="dxa"/>
            <w:tcBorders>
              <w:tl2br w:val="nil"/>
              <w:tr2bl w:val="nil"/>
            </w:tcBorders>
            <w:shd w:val="clear" w:color="auto" w:fill="auto"/>
            <w:vAlign w:val="center"/>
          </w:tcPr>
          <w:p w14:paraId="4B34F3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34.4620 </w:t>
            </w:r>
          </w:p>
        </w:tc>
        <w:tc>
          <w:tcPr>
            <w:tcW w:w="1394" w:type="dxa"/>
            <w:tcBorders>
              <w:tl2br w:val="nil"/>
              <w:tr2bl w:val="nil"/>
            </w:tcBorders>
            <w:shd w:val="clear" w:color="auto" w:fill="auto"/>
            <w:vAlign w:val="center"/>
          </w:tcPr>
          <w:p w14:paraId="32F807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131.6800 </w:t>
            </w:r>
          </w:p>
        </w:tc>
        <w:tc>
          <w:tcPr>
            <w:tcW w:w="1079" w:type="dxa"/>
            <w:tcBorders>
              <w:tl2br w:val="nil"/>
              <w:tr2bl w:val="nil"/>
            </w:tcBorders>
            <w:shd w:val="clear" w:color="auto" w:fill="auto"/>
            <w:vAlign w:val="center"/>
          </w:tcPr>
          <w:p w14:paraId="12AF19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1461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34.4620 </w:t>
            </w:r>
          </w:p>
        </w:tc>
        <w:tc>
          <w:tcPr>
            <w:tcW w:w="1353" w:type="dxa"/>
            <w:tcBorders>
              <w:tl2br w:val="nil"/>
              <w:tr2bl w:val="nil"/>
            </w:tcBorders>
            <w:shd w:val="clear" w:color="auto" w:fill="auto"/>
            <w:vAlign w:val="center"/>
          </w:tcPr>
          <w:p w14:paraId="2B6CDA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131.6800 </w:t>
            </w:r>
          </w:p>
        </w:tc>
      </w:tr>
      <w:tr w14:paraId="7425A4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8061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2880 </w:t>
            </w:r>
          </w:p>
        </w:tc>
        <w:tc>
          <w:tcPr>
            <w:tcW w:w="1443" w:type="dxa"/>
            <w:tcBorders>
              <w:tl2br w:val="nil"/>
              <w:tr2bl w:val="nil"/>
            </w:tcBorders>
            <w:shd w:val="clear" w:color="auto" w:fill="auto"/>
            <w:vAlign w:val="center"/>
          </w:tcPr>
          <w:p w14:paraId="01EC2A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34.5540 </w:t>
            </w:r>
          </w:p>
        </w:tc>
        <w:tc>
          <w:tcPr>
            <w:tcW w:w="1394" w:type="dxa"/>
            <w:tcBorders>
              <w:tl2br w:val="nil"/>
              <w:tr2bl w:val="nil"/>
            </w:tcBorders>
            <w:shd w:val="clear" w:color="auto" w:fill="auto"/>
            <w:vAlign w:val="center"/>
          </w:tcPr>
          <w:p w14:paraId="2ADA7B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130.9700 </w:t>
            </w:r>
          </w:p>
        </w:tc>
        <w:tc>
          <w:tcPr>
            <w:tcW w:w="1079" w:type="dxa"/>
            <w:tcBorders>
              <w:tl2br w:val="nil"/>
              <w:tr2bl w:val="nil"/>
            </w:tcBorders>
            <w:shd w:val="clear" w:color="auto" w:fill="auto"/>
            <w:vAlign w:val="center"/>
          </w:tcPr>
          <w:p w14:paraId="28ACF3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42ED1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34.5540 </w:t>
            </w:r>
          </w:p>
        </w:tc>
        <w:tc>
          <w:tcPr>
            <w:tcW w:w="1353" w:type="dxa"/>
            <w:tcBorders>
              <w:tl2br w:val="nil"/>
              <w:tr2bl w:val="nil"/>
            </w:tcBorders>
            <w:shd w:val="clear" w:color="auto" w:fill="auto"/>
            <w:vAlign w:val="center"/>
          </w:tcPr>
          <w:p w14:paraId="71C65E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130.9700 </w:t>
            </w:r>
          </w:p>
        </w:tc>
      </w:tr>
      <w:tr w14:paraId="32DCDE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6E3A7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2890 </w:t>
            </w:r>
          </w:p>
        </w:tc>
        <w:tc>
          <w:tcPr>
            <w:tcW w:w="1443" w:type="dxa"/>
            <w:tcBorders>
              <w:tl2br w:val="nil"/>
              <w:tr2bl w:val="nil"/>
            </w:tcBorders>
            <w:shd w:val="clear" w:color="auto" w:fill="auto"/>
            <w:vAlign w:val="center"/>
          </w:tcPr>
          <w:p w14:paraId="37301C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34.6460 </w:t>
            </w:r>
          </w:p>
        </w:tc>
        <w:tc>
          <w:tcPr>
            <w:tcW w:w="1394" w:type="dxa"/>
            <w:tcBorders>
              <w:tl2br w:val="nil"/>
              <w:tr2bl w:val="nil"/>
            </w:tcBorders>
            <w:shd w:val="clear" w:color="auto" w:fill="auto"/>
            <w:vAlign w:val="center"/>
          </w:tcPr>
          <w:p w14:paraId="324750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130.2600 </w:t>
            </w:r>
          </w:p>
        </w:tc>
        <w:tc>
          <w:tcPr>
            <w:tcW w:w="1079" w:type="dxa"/>
            <w:tcBorders>
              <w:tl2br w:val="nil"/>
              <w:tr2bl w:val="nil"/>
            </w:tcBorders>
            <w:shd w:val="clear" w:color="auto" w:fill="auto"/>
            <w:vAlign w:val="center"/>
          </w:tcPr>
          <w:p w14:paraId="24EF1C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84CD8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34.6460 </w:t>
            </w:r>
          </w:p>
        </w:tc>
        <w:tc>
          <w:tcPr>
            <w:tcW w:w="1353" w:type="dxa"/>
            <w:tcBorders>
              <w:tl2br w:val="nil"/>
              <w:tr2bl w:val="nil"/>
            </w:tcBorders>
            <w:shd w:val="clear" w:color="auto" w:fill="auto"/>
            <w:vAlign w:val="center"/>
          </w:tcPr>
          <w:p w14:paraId="10FAD3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130.2600 </w:t>
            </w:r>
          </w:p>
        </w:tc>
      </w:tr>
      <w:tr w14:paraId="652CB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8A1F9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2900 </w:t>
            </w:r>
          </w:p>
        </w:tc>
        <w:tc>
          <w:tcPr>
            <w:tcW w:w="1443" w:type="dxa"/>
            <w:tcBorders>
              <w:tl2br w:val="nil"/>
              <w:tr2bl w:val="nil"/>
            </w:tcBorders>
            <w:shd w:val="clear" w:color="auto" w:fill="auto"/>
            <w:vAlign w:val="center"/>
          </w:tcPr>
          <w:p w14:paraId="69C42A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34.7380 </w:t>
            </w:r>
          </w:p>
        </w:tc>
        <w:tc>
          <w:tcPr>
            <w:tcW w:w="1394" w:type="dxa"/>
            <w:tcBorders>
              <w:tl2br w:val="nil"/>
              <w:tr2bl w:val="nil"/>
            </w:tcBorders>
            <w:shd w:val="clear" w:color="auto" w:fill="auto"/>
            <w:vAlign w:val="center"/>
          </w:tcPr>
          <w:p w14:paraId="00B96A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129.5500 </w:t>
            </w:r>
          </w:p>
        </w:tc>
        <w:tc>
          <w:tcPr>
            <w:tcW w:w="1079" w:type="dxa"/>
            <w:tcBorders>
              <w:tl2br w:val="nil"/>
              <w:tr2bl w:val="nil"/>
            </w:tcBorders>
            <w:shd w:val="clear" w:color="auto" w:fill="auto"/>
            <w:vAlign w:val="center"/>
          </w:tcPr>
          <w:p w14:paraId="38FDE2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CD314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34.7380 </w:t>
            </w:r>
          </w:p>
        </w:tc>
        <w:tc>
          <w:tcPr>
            <w:tcW w:w="1353" w:type="dxa"/>
            <w:tcBorders>
              <w:tl2br w:val="nil"/>
              <w:tr2bl w:val="nil"/>
            </w:tcBorders>
            <w:shd w:val="clear" w:color="auto" w:fill="auto"/>
            <w:vAlign w:val="center"/>
          </w:tcPr>
          <w:p w14:paraId="7E6ED9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129.5500 </w:t>
            </w:r>
          </w:p>
        </w:tc>
      </w:tr>
      <w:tr w14:paraId="5ECC0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DEE72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2910 </w:t>
            </w:r>
          </w:p>
        </w:tc>
        <w:tc>
          <w:tcPr>
            <w:tcW w:w="1443" w:type="dxa"/>
            <w:tcBorders>
              <w:tl2br w:val="nil"/>
              <w:tr2bl w:val="nil"/>
            </w:tcBorders>
            <w:shd w:val="clear" w:color="auto" w:fill="auto"/>
            <w:vAlign w:val="center"/>
          </w:tcPr>
          <w:p w14:paraId="4A05DD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34.8300 </w:t>
            </w:r>
          </w:p>
        </w:tc>
        <w:tc>
          <w:tcPr>
            <w:tcW w:w="1394" w:type="dxa"/>
            <w:tcBorders>
              <w:tl2br w:val="nil"/>
              <w:tr2bl w:val="nil"/>
            </w:tcBorders>
            <w:shd w:val="clear" w:color="auto" w:fill="auto"/>
            <w:vAlign w:val="center"/>
          </w:tcPr>
          <w:p w14:paraId="18863E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128.8400 </w:t>
            </w:r>
          </w:p>
        </w:tc>
        <w:tc>
          <w:tcPr>
            <w:tcW w:w="1079" w:type="dxa"/>
            <w:tcBorders>
              <w:tl2br w:val="nil"/>
              <w:tr2bl w:val="nil"/>
            </w:tcBorders>
            <w:shd w:val="clear" w:color="auto" w:fill="auto"/>
            <w:vAlign w:val="center"/>
          </w:tcPr>
          <w:p w14:paraId="1D5CC2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8DBC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34.8300 </w:t>
            </w:r>
          </w:p>
        </w:tc>
        <w:tc>
          <w:tcPr>
            <w:tcW w:w="1353" w:type="dxa"/>
            <w:tcBorders>
              <w:tl2br w:val="nil"/>
              <w:tr2bl w:val="nil"/>
            </w:tcBorders>
            <w:shd w:val="clear" w:color="auto" w:fill="auto"/>
            <w:vAlign w:val="center"/>
          </w:tcPr>
          <w:p w14:paraId="2E41A6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128.8400 </w:t>
            </w:r>
          </w:p>
        </w:tc>
      </w:tr>
      <w:tr w14:paraId="40FA7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0693C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2920 </w:t>
            </w:r>
          </w:p>
        </w:tc>
        <w:tc>
          <w:tcPr>
            <w:tcW w:w="1443" w:type="dxa"/>
            <w:tcBorders>
              <w:tl2br w:val="nil"/>
              <w:tr2bl w:val="nil"/>
            </w:tcBorders>
            <w:shd w:val="clear" w:color="auto" w:fill="auto"/>
            <w:vAlign w:val="center"/>
          </w:tcPr>
          <w:p w14:paraId="6A05C8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34.9220 </w:t>
            </w:r>
          </w:p>
        </w:tc>
        <w:tc>
          <w:tcPr>
            <w:tcW w:w="1394" w:type="dxa"/>
            <w:tcBorders>
              <w:tl2br w:val="nil"/>
              <w:tr2bl w:val="nil"/>
            </w:tcBorders>
            <w:shd w:val="clear" w:color="auto" w:fill="auto"/>
            <w:vAlign w:val="center"/>
          </w:tcPr>
          <w:p w14:paraId="028608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128.1300 </w:t>
            </w:r>
          </w:p>
        </w:tc>
        <w:tc>
          <w:tcPr>
            <w:tcW w:w="1079" w:type="dxa"/>
            <w:tcBorders>
              <w:tl2br w:val="nil"/>
              <w:tr2bl w:val="nil"/>
            </w:tcBorders>
            <w:shd w:val="clear" w:color="auto" w:fill="auto"/>
            <w:vAlign w:val="center"/>
          </w:tcPr>
          <w:p w14:paraId="5F8A92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4FAD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34.9220 </w:t>
            </w:r>
          </w:p>
        </w:tc>
        <w:tc>
          <w:tcPr>
            <w:tcW w:w="1353" w:type="dxa"/>
            <w:tcBorders>
              <w:tl2br w:val="nil"/>
              <w:tr2bl w:val="nil"/>
            </w:tcBorders>
            <w:shd w:val="clear" w:color="auto" w:fill="auto"/>
            <w:vAlign w:val="center"/>
          </w:tcPr>
          <w:p w14:paraId="0E7F6A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128.1300 </w:t>
            </w:r>
          </w:p>
        </w:tc>
      </w:tr>
      <w:tr w14:paraId="73D20D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99F3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2930 </w:t>
            </w:r>
          </w:p>
        </w:tc>
        <w:tc>
          <w:tcPr>
            <w:tcW w:w="1443" w:type="dxa"/>
            <w:tcBorders>
              <w:tl2br w:val="nil"/>
              <w:tr2bl w:val="nil"/>
            </w:tcBorders>
            <w:shd w:val="clear" w:color="auto" w:fill="auto"/>
            <w:vAlign w:val="center"/>
          </w:tcPr>
          <w:p w14:paraId="6C0E2A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35.0140 </w:t>
            </w:r>
          </w:p>
        </w:tc>
        <w:tc>
          <w:tcPr>
            <w:tcW w:w="1394" w:type="dxa"/>
            <w:tcBorders>
              <w:tl2br w:val="nil"/>
              <w:tr2bl w:val="nil"/>
            </w:tcBorders>
            <w:shd w:val="clear" w:color="auto" w:fill="auto"/>
            <w:vAlign w:val="center"/>
          </w:tcPr>
          <w:p w14:paraId="4EA8CE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127.4300 </w:t>
            </w:r>
          </w:p>
        </w:tc>
        <w:tc>
          <w:tcPr>
            <w:tcW w:w="1079" w:type="dxa"/>
            <w:tcBorders>
              <w:tl2br w:val="nil"/>
              <w:tr2bl w:val="nil"/>
            </w:tcBorders>
            <w:shd w:val="clear" w:color="auto" w:fill="auto"/>
            <w:vAlign w:val="center"/>
          </w:tcPr>
          <w:p w14:paraId="3B7DD2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284CF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35.0140 </w:t>
            </w:r>
          </w:p>
        </w:tc>
        <w:tc>
          <w:tcPr>
            <w:tcW w:w="1353" w:type="dxa"/>
            <w:tcBorders>
              <w:tl2br w:val="nil"/>
              <w:tr2bl w:val="nil"/>
            </w:tcBorders>
            <w:shd w:val="clear" w:color="auto" w:fill="auto"/>
            <w:vAlign w:val="center"/>
          </w:tcPr>
          <w:p w14:paraId="105813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127.4300 </w:t>
            </w:r>
          </w:p>
        </w:tc>
      </w:tr>
      <w:tr w14:paraId="1F6DD2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F30B0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2940 </w:t>
            </w:r>
          </w:p>
        </w:tc>
        <w:tc>
          <w:tcPr>
            <w:tcW w:w="1443" w:type="dxa"/>
            <w:tcBorders>
              <w:tl2br w:val="nil"/>
              <w:tr2bl w:val="nil"/>
            </w:tcBorders>
            <w:shd w:val="clear" w:color="auto" w:fill="auto"/>
            <w:vAlign w:val="center"/>
          </w:tcPr>
          <w:p w14:paraId="1D75F4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35.1060 </w:t>
            </w:r>
          </w:p>
        </w:tc>
        <w:tc>
          <w:tcPr>
            <w:tcW w:w="1394" w:type="dxa"/>
            <w:tcBorders>
              <w:tl2br w:val="nil"/>
              <w:tr2bl w:val="nil"/>
            </w:tcBorders>
            <w:shd w:val="clear" w:color="auto" w:fill="auto"/>
            <w:vAlign w:val="center"/>
          </w:tcPr>
          <w:p w14:paraId="7E902B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126.7300 </w:t>
            </w:r>
          </w:p>
        </w:tc>
        <w:tc>
          <w:tcPr>
            <w:tcW w:w="1079" w:type="dxa"/>
            <w:tcBorders>
              <w:tl2br w:val="nil"/>
              <w:tr2bl w:val="nil"/>
            </w:tcBorders>
            <w:shd w:val="clear" w:color="auto" w:fill="auto"/>
            <w:vAlign w:val="center"/>
          </w:tcPr>
          <w:p w14:paraId="1AD6A9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87DC4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35.1060 </w:t>
            </w:r>
          </w:p>
        </w:tc>
        <w:tc>
          <w:tcPr>
            <w:tcW w:w="1353" w:type="dxa"/>
            <w:tcBorders>
              <w:tl2br w:val="nil"/>
              <w:tr2bl w:val="nil"/>
            </w:tcBorders>
            <w:shd w:val="clear" w:color="auto" w:fill="auto"/>
            <w:vAlign w:val="center"/>
          </w:tcPr>
          <w:p w14:paraId="2094A8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126.7300 </w:t>
            </w:r>
          </w:p>
        </w:tc>
      </w:tr>
      <w:tr w14:paraId="042B19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84D4B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2950 </w:t>
            </w:r>
          </w:p>
        </w:tc>
        <w:tc>
          <w:tcPr>
            <w:tcW w:w="1443" w:type="dxa"/>
            <w:tcBorders>
              <w:tl2br w:val="nil"/>
              <w:tr2bl w:val="nil"/>
            </w:tcBorders>
            <w:shd w:val="clear" w:color="auto" w:fill="auto"/>
            <w:vAlign w:val="center"/>
          </w:tcPr>
          <w:p w14:paraId="10476F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35.1980 </w:t>
            </w:r>
          </w:p>
        </w:tc>
        <w:tc>
          <w:tcPr>
            <w:tcW w:w="1394" w:type="dxa"/>
            <w:tcBorders>
              <w:tl2br w:val="nil"/>
              <w:tr2bl w:val="nil"/>
            </w:tcBorders>
            <w:shd w:val="clear" w:color="auto" w:fill="auto"/>
            <w:vAlign w:val="center"/>
          </w:tcPr>
          <w:p w14:paraId="472072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126.0400 </w:t>
            </w:r>
          </w:p>
        </w:tc>
        <w:tc>
          <w:tcPr>
            <w:tcW w:w="1079" w:type="dxa"/>
            <w:tcBorders>
              <w:tl2br w:val="nil"/>
              <w:tr2bl w:val="nil"/>
            </w:tcBorders>
            <w:shd w:val="clear" w:color="auto" w:fill="auto"/>
            <w:vAlign w:val="center"/>
          </w:tcPr>
          <w:p w14:paraId="3B0F7C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41D00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35.1980 </w:t>
            </w:r>
          </w:p>
        </w:tc>
        <w:tc>
          <w:tcPr>
            <w:tcW w:w="1353" w:type="dxa"/>
            <w:tcBorders>
              <w:tl2br w:val="nil"/>
              <w:tr2bl w:val="nil"/>
            </w:tcBorders>
            <w:shd w:val="clear" w:color="auto" w:fill="auto"/>
            <w:vAlign w:val="center"/>
          </w:tcPr>
          <w:p w14:paraId="3340FF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126.0400 </w:t>
            </w:r>
          </w:p>
        </w:tc>
      </w:tr>
      <w:tr w14:paraId="5E0D4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445AA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2960 </w:t>
            </w:r>
          </w:p>
        </w:tc>
        <w:tc>
          <w:tcPr>
            <w:tcW w:w="1443" w:type="dxa"/>
            <w:tcBorders>
              <w:tl2br w:val="nil"/>
              <w:tr2bl w:val="nil"/>
            </w:tcBorders>
            <w:shd w:val="clear" w:color="auto" w:fill="auto"/>
            <w:vAlign w:val="center"/>
          </w:tcPr>
          <w:p w14:paraId="1F03E1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35.2900 </w:t>
            </w:r>
          </w:p>
        </w:tc>
        <w:tc>
          <w:tcPr>
            <w:tcW w:w="1394" w:type="dxa"/>
            <w:tcBorders>
              <w:tl2br w:val="nil"/>
              <w:tr2bl w:val="nil"/>
            </w:tcBorders>
            <w:shd w:val="clear" w:color="auto" w:fill="auto"/>
            <w:vAlign w:val="center"/>
          </w:tcPr>
          <w:p w14:paraId="626196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125.3600 </w:t>
            </w:r>
          </w:p>
        </w:tc>
        <w:tc>
          <w:tcPr>
            <w:tcW w:w="1079" w:type="dxa"/>
            <w:tcBorders>
              <w:tl2br w:val="nil"/>
              <w:tr2bl w:val="nil"/>
            </w:tcBorders>
            <w:shd w:val="clear" w:color="auto" w:fill="auto"/>
            <w:vAlign w:val="center"/>
          </w:tcPr>
          <w:p w14:paraId="208688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68265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35.2900 </w:t>
            </w:r>
          </w:p>
        </w:tc>
        <w:tc>
          <w:tcPr>
            <w:tcW w:w="1353" w:type="dxa"/>
            <w:tcBorders>
              <w:tl2br w:val="nil"/>
              <w:tr2bl w:val="nil"/>
            </w:tcBorders>
            <w:shd w:val="clear" w:color="auto" w:fill="auto"/>
            <w:vAlign w:val="center"/>
          </w:tcPr>
          <w:p w14:paraId="157886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125.3600 </w:t>
            </w:r>
          </w:p>
        </w:tc>
      </w:tr>
      <w:tr w14:paraId="50986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6C9E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2970 </w:t>
            </w:r>
          </w:p>
        </w:tc>
        <w:tc>
          <w:tcPr>
            <w:tcW w:w="1443" w:type="dxa"/>
            <w:tcBorders>
              <w:tl2br w:val="nil"/>
              <w:tr2bl w:val="nil"/>
            </w:tcBorders>
            <w:shd w:val="clear" w:color="auto" w:fill="auto"/>
            <w:vAlign w:val="center"/>
          </w:tcPr>
          <w:p w14:paraId="16FF68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35.3810 </w:t>
            </w:r>
          </w:p>
        </w:tc>
        <w:tc>
          <w:tcPr>
            <w:tcW w:w="1394" w:type="dxa"/>
            <w:tcBorders>
              <w:tl2br w:val="nil"/>
              <w:tr2bl w:val="nil"/>
            </w:tcBorders>
            <w:shd w:val="clear" w:color="auto" w:fill="auto"/>
            <w:vAlign w:val="center"/>
          </w:tcPr>
          <w:p w14:paraId="2564C9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124.6800 </w:t>
            </w:r>
          </w:p>
        </w:tc>
        <w:tc>
          <w:tcPr>
            <w:tcW w:w="1079" w:type="dxa"/>
            <w:tcBorders>
              <w:tl2br w:val="nil"/>
              <w:tr2bl w:val="nil"/>
            </w:tcBorders>
            <w:shd w:val="clear" w:color="auto" w:fill="auto"/>
            <w:vAlign w:val="center"/>
          </w:tcPr>
          <w:p w14:paraId="3793D8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1306D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35.3810 </w:t>
            </w:r>
          </w:p>
        </w:tc>
        <w:tc>
          <w:tcPr>
            <w:tcW w:w="1353" w:type="dxa"/>
            <w:tcBorders>
              <w:tl2br w:val="nil"/>
              <w:tr2bl w:val="nil"/>
            </w:tcBorders>
            <w:shd w:val="clear" w:color="auto" w:fill="auto"/>
            <w:vAlign w:val="center"/>
          </w:tcPr>
          <w:p w14:paraId="6C2187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124.6800 </w:t>
            </w:r>
          </w:p>
        </w:tc>
      </w:tr>
      <w:tr w14:paraId="0B16C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A6EF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2980 </w:t>
            </w:r>
          </w:p>
        </w:tc>
        <w:tc>
          <w:tcPr>
            <w:tcW w:w="1443" w:type="dxa"/>
            <w:tcBorders>
              <w:tl2br w:val="nil"/>
              <w:tr2bl w:val="nil"/>
            </w:tcBorders>
            <w:shd w:val="clear" w:color="auto" w:fill="auto"/>
            <w:vAlign w:val="center"/>
          </w:tcPr>
          <w:p w14:paraId="4692B3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35.4730 </w:t>
            </w:r>
          </w:p>
        </w:tc>
        <w:tc>
          <w:tcPr>
            <w:tcW w:w="1394" w:type="dxa"/>
            <w:tcBorders>
              <w:tl2br w:val="nil"/>
              <w:tr2bl w:val="nil"/>
            </w:tcBorders>
            <w:shd w:val="clear" w:color="auto" w:fill="auto"/>
            <w:vAlign w:val="center"/>
          </w:tcPr>
          <w:p w14:paraId="704703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124.0000 </w:t>
            </w:r>
          </w:p>
        </w:tc>
        <w:tc>
          <w:tcPr>
            <w:tcW w:w="1079" w:type="dxa"/>
            <w:tcBorders>
              <w:tl2br w:val="nil"/>
              <w:tr2bl w:val="nil"/>
            </w:tcBorders>
            <w:shd w:val="clear" w:color="auto" w:fill="auto"/>
            <w:vAlign w:val="center"/>
          </w:tcPr>
          <w:p w14:paraId="071403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49DE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35.4730 </w:t>
            </w:r>
          </w:p>
        </w:tc>
        <w:tc>
          <w:tcPr>
            <w:tcW w:w="1353" w:type="dxa"/>
            <w:tcBorders>
              <w:tl2br w:val="nil"/>
              <w:tr2bl w:val="nil"/>
            </w:tcBorders>
            <w:shd w:val="clear" w:color="auto" w:fill="auto"/>
            <w:vAlign w:val="center"/>
          </w:tcPr>
          <w:p w14:paraId="4AB908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124.0000 </w:t>
            </w:r>
          </w:p>
        </w:tc>
      </w:tr>
      <w:tr w14:paraId="48B83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948F2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2990 </w:t>
            </w:r>
          </w:p>
        </w:tc>
        <w:tc>
          <w:tcPr>
            <w:tcW w:w="1443" w:type="dxa"/>
            <w:tcBorders>
              <w:tl2br w:val="nil"/>
              <w:tr2bl w:val="nil"/>
            </w:tcBorders>
            <w:shd w:val="clear" w:color="auto" w:fill="auto"/>
            <w:vAlign w:val="center"/>
          </w:tcPr>
          <w:p w14:paraId="55D6AB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35.5650 </w:t>
            </w:r>
          </w:p>
        </w:tc>
        <w:tc>
          <w:tcPr>
            <w:tcW w:w="1394" w:type="dxa"/>
            <w:tcBorders>
              <w:tl2br w:val="nil"/>
              <w:tr2bl w:val="nil"/>
            </w:tcBorders>
            <w:shd w:val="clear" w:color="auto" w:fill="auto"/>
            <w:vAlign w:val="center"/>
          </w:tcPr>
          <w:p w14:paraId="25E177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123.3400 </w:t>
            </w:r>
          </w:p>
        </w:tc>
        <w:tc>
          <w:tcPr>
            <w:tcW w:w="1079" w:type="dxa"/>
            <w:tcBorders>
              <w:tl2br w:val="nil"/>
              <w:tr2bl w:val="nil"/>
            </w:tcBorders>
            <w:shd w:val="clear" w:color="auto" w:fill="auto"/>
            <w:vAlign w:val="center"/>
          </w:tcPr>
          <w:p w14:paraId="3608F1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69DAF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35.5650 </w:t>
            </w:r>
          </w:p>
        </w:tc>
        <w:tc>
          <w:tcPr>
            <w:tcW w:w="1353" w:type="dxa"/>
            <w:tcBorders>
              <w:tl2br w:val="nil"/>
              <w:tr2bl w:val="nil"/>
            </w:tcBorders>
            <w:shd w:val="clear" w:color="auto" w:fill="auto"/>
            <w:vAlign w:val="center"/>
          </w:tcPr>
          <w:p w14:paraId="5033B4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123.3400 </w:t>
            </w:r>
          </w:p>
        </w:tc>
      </w:tr>
      <w:tr w14:paraId="0ACAE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738BF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3000 </w:t>
            </w:r>
          </w:p>
        </w:tc>
        <w:tc>
          <w:tcPr>
            <w:tcW w:w="1443" w:type="dxa"/>
            <w:tcBorders>
              <w:tl2br w:val="nil"/>
              <w:tr2bl w:val="nil"/>
            </w:tcBorders>
            <w:shd w:val="clear" w:color="auto" w:fill="auto"/>
            <w:vAlign w:val="center"/>
          </w:tcPr>
          <w:p w14:paraId="708489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35.6560 </w:t>
            </w:r>
          </w:p>
        </w:tc>
        <w:tc>
          <w:tcPr>
            <w:tcW w:w="1394" w:type="dxa"/>
            <w:tcBorders>
              <w:tl2br w:val="nil"/>
              <w:tr2bl w:val="nil"/>
            </w:tcBorders>
            <w:shd w:val="clear" w:color="auto" w:fill="auto"/>
            <w:vAlign w:val="center"/>
          </w:tcPr>
          <w:p w14:paraId="0ED7EA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122.6700 </w:t>
            </w:r>
          </w:p>
        </w:tc>
        <w:tc>
          <w:tcPr>
            <w:tcW w:w="1079" w:type="dxa"/>
            <w:tcBorders>
              <w:tl2br w:val="nil"/>
              <w:tr2bl w:val="nil"/>
            </w:tcBorders>
            <w:shd w:val="clear" w:color="auto" w:fill="auto"/>
            <w:vAlign w:val="center"/>
          </w:tcPr>
          <w:p w14:paraId="76A9AB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D7348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35.6560 </w:t>
            </w:r>
          </w:p>
        </w:tc>
        <w:tc>
          <w:tcPr>
            <w:tcW w:w="1353" w:type="dxa"/>
            <w:tcBorders>
              <w:tl2br w:val="nil"/>
              <w:tr2bl w:val="nil"/>
            </w:tcBorders>
            <w:shd w:val="clear" w:color="auto" w:fill="auto"/>
            <w:vAlign w:val="center"/>
          </w:tcPr>
          <w:p w14:paraId="2A257F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122.6700 </w:t>
            </w:r>
          </w:p>
        </w:tc>
      </w:tr>
      <w:tr w14:paraId="19B14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E3165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3010 </w:t>
            </w:r>
          </w:p>
        </w:tc>
        <w:tc>
          <w:tcPr>
            <w:tcW w:w="1443" w:type="dxa"/>
            <w:tcBorders>
              <w:tl2br w:val="nil"/>
              <w:tr2bl w:val="nil"/>
            </w:tcBorders>
            <w:shd w:val="clear" w:color="auto" w:fill="auto"/>
            <w:vAlign w:val="center"/>
          </w:tcPr>
          <w:p w14:paraId="28A527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35.7480 </w:t>
            </w:r>
          </w:p>
        </w:tc>
        <w:tc>
          <w:tcPr>
            <w:tcW w:w="1394" w:type="dxa"/>
            <w:tcBorders>
              <w:tl2br w:val="nil"/>
              <w:tr2bl w:val="nil"/>
            </w:tcBorders>
            <w:shd w:val="clear" w:color="auto" w:fill="auto"/>
            <w:vAlign w:val="center"/>
          </w:tcPr>
          <w:p w14:paraId="237B4C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122.0100 </w:t>
            </w:r>
          </w:p>
        </w:tc>
        <w:tc>
          <w:tcPr>
            <w:tcW w:w="1079" w:type="dxa"/>
            <w:tcBorders>
              <w:tl2br w:val="nil"/>
              <w:tr2bl w:val="nil"/>
            </w:tcBorders>
            <w:shd w:val="clear" w:color="auto" w:fill="auto"/>
            <w:vAlign w:val="center"/>
          </w:tcPr>
          <w:p w14:paraId="724D27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D2A3F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35.7480 </w:t>
            </w:r>
          </w:p>
        </w:tc>
        <w:tc>
          <w:tcPr>
            <w:tcW w:w="1353" w:type="dxa"/>
            <w:tcBorders>
              <w:tl2br w:val="nil"/>
              <w:tr2bl w:val="nil"/>
            </w:tcBorders>
            <w:shd w:val="clear" w:color="auto" w:fill="auto"/>
            <w:vAlign w:val="center"/>
          </w:tcPr>
          <w:p w14:paraId="1AFCAE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122.0100 </w:t>
            </w:r>
          </w:p>
        </w:tc>
      </w:tr>
      <w:tr w14:paraId="27EE8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5EA62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3020 </w:t>
            </w:r>
          </w:p>
        </w:tc>
        <w:tc>
          <w:tcPr>
            <w:tcW w:w="1443" w:type="dxa"/>
            <w:tcBorders>
              <w:tl2br w:val="nil"/>
              <w:tr2bl w:val="nil"/>
            </w:tcBorders>
            <w:shd w:val="clear" w:color="auto" w:fill="auto"/>
            <w:vAlign w:val="center"/>
          </w:tcPr>
          <w:p w14:paraId="608349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35.8390 </w:t>
            </w:r>
          </w:p>
        </w:tc>
        <w:tc>
          <w:tcPr>
            <w:tcW w:w="1394" w:type="dxa"/>
            <w:tcBorders>
              <w:tl2br w:val="nil"/>
              <w:tr2bl w:val="nil"/>
            </w:tcBorders>
            <w:shd w:val="clear" w:color="auto" w:fill="auto"/>
            <w:vAlign w:val="center"/>
          </w:tcPr>
          <w:p w14:paraId="726804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121.3600 </w:t>
            </w:r>
          </w:p>
        </w:tc>
        <w:tc>
          <w:tcPr>
            <w:tcW w:w="1079" w:type="dxa"/>
            <w:tcBorders>
              <w:tl2br w:val="nil"/>
              <w:tr2bl w:val="nil"/>
            </w:tcBorders>
            <w:shd w:val="clear" w:color="auto" w:fill="auto"/>
            <w:vAlign w:val="center"/>
          </w:tcPr>
          <w:p w14:paraId="5D9CE5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54D38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35.8390 </w:t>
            </w:r>
          </w:p>
        </w:tc>
        <w:tc>
          <w:tcPr>
            <w:tcW w:w="1353" w:type="dxa"/>
            <w:tcBorders>
              <w:tl2br w:val="nil"/>
              <w:tr2bl w:val="nil"/>
            </w:tcBorders>
            <w:shd w:val="clear" w:color="auto" w:fill="auto"/>
            <w:vAlign w:val="center"/>
          </w:tcPr>
          <w:p w14:paraId="023B84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121.3600 </w:t>
            </w:r>
          </w:p>
        </w:tc>
      </w:tr>
      <w:tr w14:paraId="47778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9CED0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3030 </w:t>
            </w:r>
          </w:p>
        </w:tc>
        <w:tc>
          <w:tcPr>
            <w:tcW w:w="1443" w:type="dxa"/>
            <w:tcBorders>
              <w:tl2br w:val="nil"/>
              <w:tr2bl w:val="nil"/>
            </w:tcBorders>
            <w:shd w:val="clear" w:color="auto" w:fill="auto"/>
            <w:vAlign w:val="center"/>
          </w:tcPr>
          <w:p w14:paraId="46C858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35.9300 </w:t>
            </w:r>
          </w:p>
        </w:tc>
        <w:tc>
          <w:tcPr>
            <w:tcW w:w="1394" w:type="dxa"/>
            <w:tcBorders>
              <w:tl2br w:val="nil"/>
              <w:tr2bl w:val="nil"/>
            </w:tcBorders>
            <w:shd w:val="clear" w:color="auto" w:fill="auto"/>
            <w:vAlign w:val="center"/>
          </w:tcPr>
          <w:p w14:paraId="3403CF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120.7100 </w:t>
            </w:r>
          </w:p>
        </w:tc>
        <w:tc>
          <w:tcPr>
            <w:tcW w:w="1079" w:type="dxa"/>
            <w:tcBorders>
              <w:tl2br w:val="nil"/>
              <w:tr2bl w:val="nil"/>
            </w:tcBorders>
            <w:shd w:val="clear" w:color="auto" w:fill="auto"/>
            <w:vAlign w:val="center"/>
          </w:tcPr>
          <w:p w14:paraId="5436CE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2947F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35.9300 </w:t>
            </w:r>
          </w:p>
        </w:tc>
        <w:tc>
          <w:tcPr>
            <w:tcW w:w="1353" w:type="dxa"/>
            <w:tcBorders>
              <w:tl2br w:val="nil"/>
              <w:tr2bl w:val="nil"/>
            </w:tcBorders>
            <w:shd w:val="clear" w:color="auto" w:fill="auto"/>
            <w:vAlign w:val="center"/>
          </w:tcPr>
          <w:p w14:paraId="0464BF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120.7100 </w:t>
            </w:r>
          </w:p>
        </w:tc>
      </w:tr>
      <w:tr w14:paraId="41A11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40AD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3040 </w:t>
            </w:r>
          </w:p>
        </w:tc>
        <w:tc>
          <w:tcPr>
            <w:tcW w:w="1443" w:type="dxa"/>
            <w:tcBorders>
              <w:tl2br w:val="nil"/>
              <w:tr2bl w:val="nil"/>
            </w:tcBorders>
            <w:shd w:val="clear" w:color="auto" w:fill="auto"/>
            <w:vAlign w:val="center"/>
          </w:tcPr>
          <w:p w14:paraId="432DA8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36.0220 </w:t>
            </w:r>
          </w:p>
        </w:tc>
        <w:tc>
          <w:tcPr>
            <w:tcW w:w="1394" w:type="dxa"/>
            <w:tcBorders>
              <w:tl2br w:val="nil"/>
              <w:tr2bl w:val="nil"/>
            </w:tcBorders>
            <w:shd w:val="clear" w:color="auto" w:fill="auto"/>
            <w:vAlign w:val="center"/>
          </w:tcPr>
          <w:p w14:paraId="223493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120.0700 </w:t>
            </w:r>
          </w:p>
        </w:tc>
        <w:tc>
          <w:tcPr>
            <w:tcW w:w="1079" w:type="dxa"/>
            <w:tcBorders>
              <w:tl2br w:val="nil"/>
              <w:tr2bl w:val="nil"/>
            </w:tcBorders>
            <w:shd w:val="clear" w:color="auto" w:fill="auto"/>
            <w:vAlign w:val="center"/>
          </w:tcPr>
          <w:p w14:paraId="5D3BD0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5B6F2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36.0220 </w:t>
            </w:r>
          </w:p>
        </w:tc>
        <w:tc>
          <w:tcPr>
            <w:tcW w:w="1353" w:type="dxa"/>
            <w:tcBorders>
              <w:tl2br w:val="nil"/>
              <w:tr2bl w:val="nil"/>
            </w:tcBorders>
            <w:shd w:val="clear" w:color="auto" w:fill="auto"/>
            <w:vAlign w:val="center"/>
          </w:tcPr>
          <w:p w14:paraId="31C075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120.0700 </w:t>
            </w:r>
          </w:p>
        </w:tc>
      </w:tr>
      <w:tr w14:paraId="0463BD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7DFBF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3050 </w:t>
            </w:r>
          </w:p>
        </w:tc>
        <w:tc>
          <w:tcPr>
            <w:tcW w:w="1443" w:type="dxa"/>
            <w:tcBorders>
              <w:tl2br w:val="nil"/>
              <w:tr2bl w:val="nil"/>
            </w:tcBorders>
            <w:shd w:val="clear" w:color="auto" w:fill="auto"/>
            <w:vAlign w:val="center"/>
          </w:tcPr>
          <w:p w14:paraId="00FEF9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36.1130 </w:t>
            </w:r>
          </w:p>
        </w:tc>
        <w:tc>
          <w:tcPr>
            <w:tcW w:w="1394" w:type="dxa"/>
            <w:tcBorders>
              <w:tl2br w:val="nil"/>
              <w:tr2bl w:val="nil"/>
            </w:tcBorders>
            <w:shd w:val="clear" w:color="auto" w:fill="auto"/>
            <w:vAlign w:val="center"/>
          </w:tcPr>
          <w:p w14:paraId="328443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119.4300 </w:t>
            </w:r>
          </w:p>
        </w:tc>
        <w:tc>
          <w:tcPr>
            <w:tcW w:w="1079" w:type="dxa"/>
            <w:tcBorders>
              <w:tl2br w:val="nil"/>
              <w:tr2bl w:val="nil"/>
            </w:tcBorders>
            <w:shd w:val="clear" w:color="auto" w:fill="auto"/>
            <w:vAlign w:val="center"/>
          </w:tcPr>
          <w:p w14:paraId="3F64E9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E89A2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36.1130 </w:t>
            </w:r>
          </w:p>
        </w:tc>
        <w:tc>
          <w:tcPr>
            <w:tcW w:w="1353" w:type="dxa"/>
            <w:tcBorders>
              <w:tl2br w:val="nil"/>
              <w:tr2bl w:val="nil"/>
            </w:tcBorders>
            <w:shd w:val="clear" w:color="auto" w:fill="auto"/>
            <w:vAlign w:val="center"/>
          </w:tcPr>
          <w:p w14:paraId="46A335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119.4300 </w:t>
            </w:r>
          </w:p>
        </w:tc>
      </w:tr>
      <w:tr w14:paraId="00985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17A60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3060 </w:t>
            </w:r>
          </w:p>
        </w:tc>
        <w:tc>
          <w:tcPr>
            <w:tcW w:w="1443" w:type="dxa"/>
            <w:tcBorders>
              <w:tl2br w:val="nil"/>
              <w:tr2bl w:val="nil"/>
            </w:tcBorders>
            <w:shd w:val="clear" w:color="auto" w:fill="auto"/>
            <w:vAlign w:val="center"/>
          </w:tcPr>
          <w:p w14:paraId="3DF3EC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36.2040 </w:t>
            </w:r>
          </w:p>
        </w:tc>
        <w:tc>
          <w:tcPr>
            <w:tcW w:w="1394" w:type="dxa"/>
            <w:tcBorders>
              <w:tl2br w:val="nil"/>
              <w:tr2bl w:val="nil"/>
            </w:tcBorders>
            <w:shd w:val="clear" w:color="auto" w:fill="auto"/>
            <w:vAlign w:val="center"/>
          </w:tcPr>
          <w:p w14:paraId="23ACD5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118.8000 </w:t>
            </w:r>
          </w:p>
        </w:tc>
        <w:tc>
          <w:tcPr>
            <w:tcW w:w="1079" w:type="dxa"/>
            <w:tcBorders>
              <w:tl2br w:val="nil"/>
              <w:tr2bl w:val="nil"/>
            </w:tcBorders>
            <w:shd w:val="clear" w:color="auto" w:fill="auto"/>
            <w:vAlign w:val="center"/>
          </w:tcPr>
          <w:p w14:paraId="02D182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423F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36.2040 </w:t>
            </w:r>
          </w:p>
        </w:tc>
        <w:tc>
          <w:tcPr>
            <w:tcW w:w="1353" w:type="dxa"/>
            <w:tcBorders>
              <w:tl2br w:val="nil"/>
              <w:tr2bl w:val="nil"/>
            </w:tcBorders>
            <w:shd w:val="clear" w:color="auto" w:fill="auto"/>
            <w:vAlign w:val="center"/>
          </w:tcPr>
          <w:p w14:paraId="2D2305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118.8000 </w:t>
            </w:r>
          </w:p>
        </w:tc>
      </w:tr>
      <w:tr w14:paraId="75174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7C48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3070 </w:t>
            </w:r>
          </w:p>
        </w:tc>
        <w:tc>
          <w:tcPr>
            <w:tcW w:w="1443" w:type="dxa"/>
            <w:tcBorders>
              <w:tl2br w:val="nil"/>
              <w:tr2bl w:val="nil"/>
            </w:tcBorders>
            <w:shd w:val="clear" w:color="auto" w:fill="auto"/>
            <w:vAlign w:val="center"/>
          </w:tcPr>
          <w:p w14:paraId="2C0F11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36.2950 </w:t>
            </w:r>
          </w:p>
        </w:tc>
        <w:tc>
          <w:tcPr>
            <w:tcW w:w="1394" w:type="dxa"/>
            <w:tcBorders>
              <w:tl2br w:val="nil"/>
              <w:tr2bl w:val="nil"/>
            </w:tcBorders>
            <w:shd w:val="clear" w:color="auto" w:fill="auto"/>
            <w:vAlign w:val="center"/>
          </w:tcPr>
          <w:p w14:paraId="0C6F36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118.1700 </w:t>
            </w:r>
          </w:p>
        </w:tc>
        <w:tc>
          <w:tcPr>
            <w:tcW w:w="1079" w:type="dxa"/>
            <w:tcBorders>
              <w:tl2br w:val="nil"/>
              <w:tr2bl w:val="nil"/>
            </w:tcBorders>
            <w:shd w:val="clear" w:color="auto" w:fill="auto"/>
            <w:vAlign w:val="center"/>
          </w:tcPr>
          <w:p w14:paraId="5ACF8F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A2D4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36.2950 </w:t>
            </w:r>
          </w:p>
        </w:tc>
        <w:tc>
          <w:tcPr>
            <w:tcW w:w="1353" w:type="dxa"/>
            <w:tcBorders>
              <w:tl2br w:val="nil"/>
              <w:tr2bl w:val="nil"/>
            </w:tcBorders>
            <w:shd w:val="clear" w:color="auto" w:fill="auto"/>
            <w:vAlign w:val="center"/>
          </w:tcPr>
          <w:p w14:paraId="1D4266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118.1700 </w:t>
            </w:r>
          </w:p>
        </w:tc>
      </w:tr>
      <w:tr w14:paraId="3D644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69424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3080 </w:t>
            </w:r>
          </w:p>
        </w:tc>
        <w:tc>
          <w:tcPr>
            <w:tcW w:w="1443" w:type="dxa"/>
            <w:tcBorders>
              <w:tl2br w:val="nil"/>
              <w:tr2bl w:val="nil"/>
            </w:tcBorders>
            <w:shd w:val="clear" w:color="auto" w:fill="auto"/>
            <w:vAlign w:val="center"/>
          </w:tcPr>
          <w:p w14:paraId="59FB6B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36.3860 </w:t>
            </w:r>
          </w:p>
        </w:tc>
        <w:tc>
          <w:tcPr>
            <w:tcW w:w="1394" w:type="dxa"/>
            <w:tcBorders>
              <w:tl2br w:val="nil"/>
              <w:tr2bl w:val="nil"/>
            </w:tcBorders>
            <w:shd w:val="clear" w:color="auto" w:fill="auto"/>
            <w:vAlign w:val="center"/>
          </w:tcPr>
          <w:p w14:paraId="679A1A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117.5500 </w:t>
            </w:r>
          </w:p>
        </w:tc>
        <w:tc>
          <w:tcPr>
            <w:tcW w:w="1079" w:type="dxa"/>
            <w:tcBorders>
              <w:tl2br w:val="nil"/>
              <w:tr2bl w:val="nil"/>
            </w:tcBorders>
            <w:shd w:val="clear" w:color="auto" w:fill="auto"/>
            <w:vAlign w:val="center"/>
          </w:tcPr>
          <w:p w14:paraId="3F6BEE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E500B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36.3860 </w:t>
            </w:r>
          </w:p>
        </w:tc>
        <w:tc>
          <w:tcPr>
            <w:tcW w:w="1353" w:type="dxa"/>
            <w:tcBorders>
              <w:tl2br w:val="nil"/>
              <w:tr2bl w:val="nil"/>
            </w:tcBorders>
            <w:shd w:val="clear" w:color="auto" w:fill="auto"/>
            <w:vAlign w:val="center"/>
          </w:tcPr>
          <w:p w14:paraId="39ACBF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117.5500 </w:t>
            </w:r>
          </w:p>
        </w:tc>
      </w:tr>
      <w:tr w14:paraId="7C2928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61E6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3090 </w:t>
            </w:r>
          </w:p>
        </w:tc>
        <w:tc>
          <w:tcPr>
            <w:tcW w:w="1443" w:type="dxa"/>
            <w:tcBorders>
              <w:tl2br w:val="nil"/>
              <w:tr2bl w:val="nil"/>
            </w:tcBorders>
            <w:shd w:val="clear" w:color="auto" w:fill="auto"/>
            <w:vAlign w:val="center"/>
          </w:tcPr>
          <w:p w14:paraId="58E007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36.4770 </w:t>
            </w:r>
          </w:p>
        </w:tc>
        <w:tc>
          <w:tcPr>
            <w:tcW w:w="1394" w:type="dxa"/>
            <w:tcBorders>
              <w:tl2br w:val="nil"/>
              <w:tr2bl w:val="nil"/>
            </w:tcBorders>
            <w:shd w:val="clear" w:color="auto" w:fill="auto"/>
            <w:vAlign w:val="center"/>
          </w:tcPr>
          <w:p w14:paraId="7D3397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116.9300 </w:t>
            </w:r>
          </w:p>
        </w:tc>
        <w:tc>
          <w:tcPr>
            <w:tcW w:w="1079" w:type="dxa"/>
            <w:tcBorders>
              <w:tl2br w:val="nil"/>
              <w:tr2bl w:val="nil"/>
            </w:tcBorders>
            <w:shd w:val="clear" w:color="auto" w:fill="auto"/>
            <w:vAlign w:val="center"/>
          </w:tcPr>
          <w:p w14:paraId="59DF11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622BE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36.4770 </w:t>
            </w:r>
          </w:p>
        </w:tc>
        <w:tc>
          <w:tcPr>
            <w:tcW w:w="1353" w:type="dxa"/>
            <w:tcBorders>
              <w:tl2br w:val="nil"/>
              <w:tr2bl w:val="nil"/>
            </w:tcBorders>
            <w:shd w:val="clear" w:color="auto" w:fill="auto"/>
            <w:vAlign w:val="center"/>
          </w:tcPr>
          <w:p w14:paraId="5FC770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116.9300 </w:t>
            </w:r>
          </w:p>
        </w:tc>
      </w:tr>
      <w:tr w14:paraId="4021D9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DB475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3100 </w:t>
            </w:r>
          </w:p>
        </w:tc>
        <w:tc>
          <w:tcPr>
            <w:tcW w:w="1443" w:type="dxa"/>
            <w:tcBorders>
              <w:tl2br w:val="nil"/>
              <w:tr2bl w:val="nil"/>
            </w:tcBorders>
            <w:shd w:val="clear" w:color="auto" w:fill="auto"/>
            <w:vAlign w:val="center"/>
          </w:tcPr>
          <w:p w14:paraId="6AEFD6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36.5680 </w:t>
            </w:r>
          </w:p>
        </w:tc>
        <w:tc>
          <w:tcPr>
            <w:tcW w:w="1394" w:type="dxa"/>
            <w:tcBorders>
              <w:tl2br w:val="nil"/>
              <w:tr2bl w:val="nil"/>
            </w:tcBorders>
            <w:shd w:val="clear" w:color="auto" w:fill="auto"/>
            <w:vAlign w:val="center"/>
          </w:tcPr>
          <w:p w14:paraId="5DDA6C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116.3200 </w:t>
            </w:r>
          </w:p>
        </w:tc>
        <w:tc>
          <w:tcPr>
            <w:tcW w:w="1079" w:type="dxa"/>
            <w:tcBorders>
              <w:tl2br w:val="nil"/>
              <w:tr2bl w:val="nil"/>
            </w:tcBorders>
            <w:shd w:val="clear" w:color="auto" w:fill="auto"/>
            <w:vAlign w:val="center"/>
          </w:tcPr>
          <w:p w14:paraId="3E5FC3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F1EE9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36.5680 </w:t>
            </w:r>
          </w:p>
        </w:tc>
        <w:tc>
          <w:tcPr>
            <w:tcW w:w="1353" w:type="dxa"/>
            <w:tcBorders>
              <w:tl2br w:val="nil"/>
              <w:tr2bl w:val="nil"/>
            </w:tcBorders>
            <w:shd w:val="clear" w:color="auto" w:fill="auto"/>
            <w:vAlign w:val="center"/>
          </w:tcPr>
          <w:p w14:paraId="387C6B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116.3200 </w:t>
            </w:r>
          </w:p>
        </w:tc>
      </w:tr>
      <w:tr w14:paraId="2AF9B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B00BE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3110 </w:t>
            </w:r>
          </w:p>
        </w:tc>
        <w:tc>
          <w:tcPr>
            <w:tcW w:w="1443" w:type="dxa"/>
            <w:tcBorders>
              <w:tl2br w:val="nil"/>
              <w:tr2bl w:val="nil"/>
            </w:tcBorders>
            <w:shd w:val="clear" w:color="auto" w:fill="auto"/>
            <w:vAlign w:val="center"/>
          </w:tcPr>
          <w:p w14:paraId="163344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36.6590 </w:t>
            </w:r>
          </w:p>
        </w:tc>
        <w:tc>
          <w:tcPr>
            <w:tcW w:w="1394" w:type="dxa"/>
            <w:tcBorders>
              <w:tl2br w:val="nil"/>
              <w:tr2bl w:val="nil"/>
            </w:tcBorders>
            <w:shd w:val="clear" w:color="auto" w:fill="auto"/>
            <w:vAlign w:val="center"/>
          </w:tcPr>
          <w:p w14:paraId="44BEDF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115.7100 </w:t>
            </w:r>
          </w:p>
        </w:tc>
        <w:tc>
          <w:tcPr>
            <w:tcW w:w="1079" w:type="dxa"/>
            <w:tcBorders>
              <w:tl2br w:val="nil"/>
              <w:tr2bl w:val="nil"/>
            </w:tcBorders>
            <w:shd w:val="clear" w:color="auto" w:fill="auto"/>
            <w:vAlign w:val="center"/>
          </w:tcPr>
          <w:p w14:paraId="5AF1EB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4A52C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36.6590 </w:t>
            </w:r>
          </w:p>
        </w:tc>
        <w:tc>
          <w:tcPr>
            <w:tcW w:w="1353" w:type="dxa"/>
            <w:tcBorders>
              <w:tl2br w:val="nil"/>
              <w:tr2bl w:val="nil"/>
            </w:tcBorders>
            <w:shd w:val="clear" w:color="auto" w:fill="auto"/>
            <w:vAlign w:val="center"/>
          </w:tcPr>
          <w:p w14:paraId="04F631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115.7100 </w:t>
            </w:r>
          </w:p>
        </w:tc>
      </w:tr>
      <w:tr w14:paraId="27721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A84D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3120 </w:t>
            </w:r>
          </w:p>
        </w:tc>
        <w:tc>
          <w:tcPr>
            <w:tcW w:w="1443" w:type="dxa"/>
            <w:tcBorders>
              <w:tl2br w:val="nil"/>
              <w:tr2bl w:val="nil"/>
            </w:tcBorders>
            <w:shd w:val="clear" w:color="auto" w:fill="auto"/>
            <w:vAlign w:val="center"/>
          </w:tcPr>
          <w:p w14:paraId="27D9A6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36.7500 </w:t>
            </w:r>
          </w:p>
        </w:tc>
        <w:tc>
          <w:tcPr>
            <w:tcW w:w="1394" w:type="dxa"/>
            <w:tcBorders>
              <w:tl2br w:val="nil"/>
              <w:tr2bl w:val="nil"/>
            </w:tcBorders>
            <w:shd w:val="clear" w:color="auto" w:fill="auto"/>
            <w:vAlign w:val="center"/>
          </w:tcPr>
          <w:p w14:paraId="3088A6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115.1100 </w:t>
            </w:r>
          </w:p>
        </w:tc>
        <w:tc>
          <w:tcPr>
            <w:tcW w:w="1079" w:type="dxa"/>
            <w:tcBorders>
              <w:tl2br w:val="nil"/>
              <w:tr2bl w:val="nil"/>
            </w:tcBorders>
            <w:shd w:val="clear" w:color="auto" w:fill="auto"/>
            <w:vAlign w:val="center"/>
          </w:tcPr>
          <w:p w14:paraId="0D5C71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3DEC7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36.7500 </w:t>
            </w:r>
          </w:p>
        </w:tc>
        <w:tc>
          <w:tcPr>
            <w:tcW w:w="1353" w:type="dxa"/>
            <w:tcBorders>
              <w:tl2br w:val="nil"/>
              <w:tr2bl w:val="nil"/>
            </w:tcBorders>
            <w:shd w:val="clear" w:color="auto" w:fill="auto"/>
            <w:vAlign w:val="center"/>
          </w:tcPr>
          <w:p w14:paraId="0B19214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115.1100 </w:t>
            </w:r>
          </w:p>
        </w:tc>
      </w:tr>
      <w:tr w14:paraId="56E0FC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5484A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3130 </w:t>
            </w:r>
          </w:p>
        </w:tc>
        <w:tc>
          <w:tcPr>
            <w:tcW w:w="1443" w:type="dxa"/>
            <w:tcBorders>
              <w:tl2br w:val="nil"/>
              <w:tr2bl w:val="nil"/>
            </w:tcBorders>
            <w:shd w:val="clear" w:color="auto" w:fill="auto"/>
            <w:vAlign w:val="center"/>
          </w:tcPr>
          <w:p w14:paraId="45CE7F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36.8400 </w:t>
            </w:r>
          </w:p>
        </w:tc>
        <w:tc>
          <w:tcPr>
            <w:tcW w:w="1394" w:type="dxa"/>
            <w:tcBorders>
              <w:tl2br w:val="nil"/>
              <w:tr2bl w:val="nil"/>
            </w:tcBorders>
            <w:shd w:val="clear" w:color="auto" w:fill="auto"/>
            <w:vAlign w:val="center"/>
          </w:tcPr>
          <w:p w14:paraId="4742A8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114.5100 </w:t>
            </w:r>
          </w:p>
        </w:tc>
        <w:tc>
          <w:tcPr>
            <w:tcW w:w="1079" w:type="dxa"/>
            <w:tcBorders>
              <w:tl2br w:val="nil"/>
              <w:tr2bl w:val="nil"/>
            </w:tcBorders>
            <w:shd w:val="clear" w:color="auto" w:fill="auto"/>
            <w:vAlign w:val="center"/>
          </w:tcPr>
          <w:p w14:paraId="013563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0FCCC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36.8400 </w:t>
            </w:r>
          </w:p>
        </w:tc>
        <w:tc>
          <w:tcPr>
            <w:tcW w:w="1353" w:type="dxa"/>
            <w:tcBorders>
              <w:tl2br w:val="nil"/>
              <w:tr2bl w:val="nil"/>
            </w:tcBorders>
            <w:shd w:val="clear" w:color="auto" w:fill="auto"/>
            <w:vAlign w:val="center"/>
          </w:tcPr>
          <w:p w14:paraId="0E8986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114.5100 </w:t>
            </w:r>
          </w:p>
        </w:tc>
      </w:tr>
      <w:tr w14:paraId="41CB5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73AE2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3140 </w:t>
            </w:r>
          </w:p>
        </w:tc>
        <w:tc>
          <w:tcPr>
            <w:tcW w:w="1443" w:type="dxa"/>
            <w:tcBorders>
              <w:tl2br w:val="nil"/>
              <w:tr2bl w:val="nil"/>
            </w:tcBorders>
            <w:shd w:val="clear" w:color="auto" w:fill="auto"/>
            <w:vAlign w:val="center"/>
          </w:tcPr>
          <w:p w14:paraId="326C2E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36.9310 </w:t>
            </w:r>
          </w:p>
        </w:tc>
        <w:tc>
          <w:tcPr>
            <w:tcW w:w="1394" w:type="dxa"/>
            <w:tcBorders>
              <w:tl2br w:val="nil"/>
              <w:tr2bl w:val="nil"/>
            </w:tcBorders>
            <w:shd w:val="clear" w:color="auto" w:fill="auto"/>
            <w:vAlign w:val="center"/>
          </w:tcPr>
          <w:p w14:paraId="2456B3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113.9200 </w:t>
            </w:r>
          </w:p>
        </w:tc>
        <w:tc>
          <w:tcPr>
            <w:tcW w:w="1079" w:type="dxa"/>
            <w:tcBorders>
              <w:tl2br w:val="nil"/>
              <w:tr2bl w:val="nil"/>
            </w:tcBorders>
            <w:shd w:val="clear" w:color="auto" w:fill="auto"/>
            <w:vAlign w:val="center"/>
          </w:tcPr>
          <w:p w14:paraId="020C25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CE6D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36.9310 </w:t>
            </w:r>
          </w:p>
        </w:tc>
        <w:tc>
          <w:tcPr>
            <w:tcW w:w="1353" w:type="dxa"/>
            <w:tcBorders>
              <w:tl2br w:val="nil"/>
              <w:tr2bl w:val="nil"/>
            </w:tcBorders>
            <w:shd w:val="clear" w:color="auto" w:fill="auto"/>
            <w:vAlign w:val="center"/>
          </w:tcPr>
          <w:p w14:paraId="243E02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113.9200 </w:t>
            </w:r>
          </w:p>
        </w:tc>
      </w:tr>
      <w:tr w14:paraId="3F3C6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BCBFB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3150 </w:t>
            </w:r>
          </w:p>
        </w:tc>
        <w:tc>
          <w:tcPr>
            <w:tcW w:w="1443" w:type="dxa"/>
            <w:tcBorders>
              <w:tl2br w:val="nil"/>
              <w:tr2bl w:val="nil"/>
            </w:tcBorders>
            <w:shd w:val="clear" w:color="auto" w:fill="auto"/>
            <w:vAlign w:val="center"/>
          </w:tcPr>
          <w:p w14:paraId="1749C9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37.0220 </w:t>
            </w:r>
          </w:p>
        </w:tc>
        <w:tc>
          <w:tcPr>
            <w:tcW w:w="1394" w:type="dxa"/>
            <w:tcBorders>
              <w:tl2br w:val="nil"/>
              <w:tr2bl w:val="nil"/>
            </w:tcBorders>
            <w:shd w:val="clear" w:color="auto" w:fill="auto"/>
            <w:vAlign w:val="center"/>
          </w:tcPr>
          <w:p w14:paraId="0DD6D5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113.3300 </w:t>
            </w:r>
          </w:p>
        </w:tc>
        <w:tc>
          <w:tcPr>
            <w:tcW w:w="1079" w:type="dxa"/>
            <w:tcBorders>
              <w:tl2br w:val="nil"/>
              <w:tr2bl w:val="nil"/>
            </w:tcBorders>
            <w:shd w:val="clear" w:color="auto" w:fill="auto"/>
            <w:vAlign w:val="center"/>
          </w:tcPr>
          <w:p w14:paraId="5170BA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AF0A0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37.0220 </w:t>
            </w:r>
          </w:p>
        </w:tc>
        <w:tc>
          <w:tcPr>
            <w:tcW w:w="1353" w:type="dxa"/>
            <w:tcBorders>
              <w:tl2br w:val="nil"/>
              <w:tr2bl w:val="nil"/>
            </w:tcBorders>
            <w:shd w:val="clear" w:color="auto" w:fill="auto"/>
            <w:vAlign w:val="center"/>
          </w:tcPr>
          <w:p w14:paraId="58533F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113.3300 </w:t>
            </w:r>
          </w:p>
        </w:tc>
      </w:tr>
      <w:tr w14:paraId="5F5F50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44321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3160 </w:t>
            </w:r>
          </w:p>
        </w:tc>
        <w:tc>
          <w:tcPr>
            <w:tcW w:w="1443" w:type="dxa"/>
            <w:tcBorders>
              <w:tl2br w:val="nil"/>
              <w:tr2bl w:val="nil"/>
            </w:tcBorders>
            <w:shd w:val="clear" w:color="auto" w:fill="auto"/>
            <w:vAlign w:val="center"/>
          </w:tcPr>
          <w:p w14:paraId="3858602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37.1120 </w:t>
            </w:r>
          </w:p>
        </w:tc>
        <w:tc>
          <w:tcPr>
            <w:tcW w:w="1394" w:type="dxa"/>
            <w:tcBorders>
              <w:tl2br w:val="nil"/>
              <w:tr2bl w:val="nil"/>
            </w:tcBorders>
            <w:shd w:val="clear" w:color="auto" w:fill="auto"/>
            <w:vAlign w:val="center"/>
          </w:tcPr>
          <w:p w14:paraId="4EB039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112.7500 </w:t>
            </w:r>
          </w:p>
        </w:tc>
        <w:tc>
          <w:tcPr>
            <w:tcW w:w="1079" w:type="dxa"/>
            <w:tcBorders>
              <w:tl2br w:val="nil"/>
              <w:tr2bl w:val="nil"/>
            </w:tcBorders>
            <w:shd w:val="clear" w:color="auto" w:fill="auto"/>
            <w:vAlign w:val="center"/>
          </w:tcPr>
          <w:p w14:paraId="7213B4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E5406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37.1120 </w:t>
            </w:r>
          </w:p>
        </w:tc>
        <w:tc>
          <w:tcPr>
            <w:tcW w:w="1353" w:type="dxa"/>
            <w:tcBorders>
              <w:tl2br w:val="nil"/>
              <w:tr2bl w:val="nil"/>
            </w:tcBorders>
            <w:shd w:val="clear" w:color="auto" w:fill="auto"/>
            <w:vAlign w:val="center"/>
          </w:tcPr>
          <w:p w14:paraId="2DCD3A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112.7500 </w:t>
            </w:r>
          </w:p>
        </w:tc>
      </w:tr>
      <w:tr w14:paraId="17A63F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2D8C0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3170 </w:t>
            </w:r>
          </w:p>
        </w:tc>
        <w:tc>
          <w:tcPr>
            <w:tcW w:w="1443" w:type="dxa"/>
            <w:tcBorders>
              <w:tl2br w:val="nil"/>
              <w:tr2bl w:val="nil"/>
            </w:tcBorders>
            <w:shd w:val="clear" w:color="auto" w:fill="auto"/>
            <w:vAlign w:val="center"/>
          </w:tcPr>
          <w:p w14:paraId="24A62C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37.2030 </w:t>
            </w:r>
          </w:p>
        </w:tc>
        <w:tc>
          <w:tcPr>
            <w:tcW w:w="1394" w:type="dxa"/>
            <w:tcBorders>
              <w:tl2br w:val="nil"/>
              <w:tr2bl w:val="nil"/>
            </w:tcBorders>
            <w:shd w:val="clear" w:color="auto" w:fill="auto"/>
            <w:vAlign w:val="center"/>
          </w:tcPr>
          <w:p w14:paraId="2BE4FA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112.1700 </w:t>
            </w:r>
          </w:p>
        </w:tc>
        <w:tc>
          <w:tcPr>
            <w:tcW w:w="1079" w:type="dxa"/>
            <w:tcBorders>
              <w:tl2br w:val="nil"/>
              <w:tr2bl w:val="nil"/>
            </w:tcBorders>
            <w:shd w:val="clear" w:color="auto" w:fill="auto"/>
            <w:vAlign w:val="center"/>
          </w:tcPr>
          <w:p w14:paraId="737451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F913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37.2030 </w:t>
            </w:r>
          </w:p>
        </w:tc>
        <w:tc>
          <w:tcPr>
            <w:tcW w:w="1353" w:type="dxa"/>
            <w:tcBorders>
              <w:tl2br w:val="nil"/>
              <w:tr2bl w:val="nil"/>
            </w:tcBorders>
            <w:shd w:val="clear" w:color="auto" w:fill="auto"/>
            <w:vAlign w:val="center"/>
          </w:tcPr>
          <w:p w14:paraId="7BC78E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112.1700 </w:t>
            </w:r>
          </w:p>
        </w:tc>
      </w:tr>
      <w:tr w14:paraId="697C90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924E6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3180 </w:t>
            </w:r>
          </w:p>
        </w:tc>
        <w:tc>
          <w:tcPr>
            <w:tcW w:w="1443" w:type="dxa"/>
            <w:tcBorders>
              <w:tl2br w:val="nil"/>
              <w:tr2bl w:val="nil"/>
            </w:tcBorders>
            <w:shd w:val="clear" w:color="auto" w:fill="auto"/>
            <w:vAlign w:val="center"/>
          </w:tcPr>
          <w:p w14:paraId="396C76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37.2930 </w:t>
            </w:r>
          </w:p>
        </w:tc>
        <w:tc>
          <w:tcPr>
            <w:tcW w:w="1394" w:type="dxa"/>
            <w:tcBorders>
              <w:tl2br w:val="nil"/>
              <w:tr2bl w:val="nil"/>
            </w:tcBorders>
            <w:shd w:val="clear" w:color="auto" w:fill="auto"/>
            <w:vAlign w:val="center"/>
          </w:tcPr>
          <w:p w14:paraId="52C0F3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111.5900 </w:t>
            </w:r>
          </w:p>
        </w:tc>
        <w:tc>
          <w:tcPr>
            <w:tcW w:w="1079" w:type="dxa"/>
            <w:tcBorders>
              <w:tl2br w:val="nil"/>
              <w:tr2bl w:val="nil"/>
            </w:tcBorders>
            <w:shd w:val="clear" w:color="auto" w:fill="auto"/>
            <w:vAlign w:val="center"/>
          </w:tcPr>
          <w:p w14:paraId="36A14B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8A03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37.2930 </w:t>
            </w:r>
          </w:p>
        </w:tc>
        <w:tc>
          <w:tcPr>
            <w:tcW w:w="1353" w:type="dxa"/>
            <w:tcBorders>
              <w:tl2br w:val="nil"/>
              <w:tr2bl w:val="nil"/>
            </w:tcBorders>
            <w:shd w:val="clear" w:color="auto" w:fill="auto"/>
            <w:vAlign w:val="center"/>
          </w:tcPr>
          <w:p w14:paraId="235007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111.5900 </w:t>
            </w:r>
          </w:p>
        </w:tc>
      </w:tr>
      <w:tr w14:paraId="6EDA3B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B528C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3190 </w:t>
            </w:r>
          </w:p>
        </w:tc>
        <w:tc>
          <w:tcPr>
            <w:tcW w:w="1443" w:type="dxa"/>
            <w:tcBorders>
              <w:tl2br w:val="nil"/>
              <w:tr2bl w:val="nil"/>
            </w:tcBorders>
            <w:shd w:val="clear" w:color="auto" w:fill="auto"/>
            <w:vAlign w:val="center"/>
          </w:tcPr>
          <w:p w14:paraId="7E0CD6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37.3840 </w:t>
            </w:r>
          </w:p>
        </w:tc>
        <w:tc>
          <w:tcPr>
            <w:tcW w:w="1394" w:type="dxa"/>
            <w:tcBorders>
              <w:tl2br w:val="nil"/>
              <w:tr2bl w:val="nil"/>
            </w:tcBorders>
            <w:shd w:val="clear" w:color="auto" w:fill="auto"/>
            <w:vAlign w:val="center"/>
          </w:tcPr>
          <w:p w14:paraId="29DAA8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111.0200 </w:t>
            </w:r>
          </w:p>
        </w:tc>
        <w:tc>
          <w:tcPr>
            <w:tcW w:w="1079" w:type="dxa"/>
            <w:tcBorders>
              <w:tl2br w:val="nil"/>
              <w:tr2bl w:val="nil"/>
            </w:tcBorders>
            <w:shd w:val="clear" w:color="auto" w:fill="auto"/>
            <w:vAlign w:val="center"/>
          </w:tcPr>
          <w:p w14:paraId="554D68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D059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37.3840 </w:t>
            </w:r>
          </w:p>
        </w:tc>
        <w:tc>
          <w:tcPr>
            <w:tcW w:w="1353" w:type="dxa"/>
            <w:tcBorders>
              <w:tl2br w:val="nil"/>
              <w:tr2bl w:val="nil"/>
            </w:tcBorders>
            <w:shd w:val="clear" w:color="auto" w:fill="auto"/>
            <w:vAlign w:val="center"/>
          </w:tcPr>
          <w:p w14:paraId="73F3F0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111.0200 </w:t>
            </w:r>
          </w:p>
        </w:tc>
      </w:tr>
      <w:tr w14:paraId="6D0E2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B24D8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3200 </w:t>
            </w:r>
          </w:p>
        </w:tc>
        <w:tc>
          <w:tcPr>
            <w:tcW w:w="1443" w:type="dxa"/>
            <w:tcBorders>
              <w:tl2br w:val="nil"/>
              <w:tr2bl w:val="nil"/>
            </w:tcBorders>
            <w:shd w:val="clear" w:color="auto" w:fill="auto"/>
            <w:vAlign w:val="center"/>
          </w:tcPr>
          <w:p w14:paraId="333C8D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37.4740 </w:t>
            </w:r>
          </w:p>
        </w:tc>
        <w:tc>
          <w:tcPr>
            <w:tcW w:w="1394" w:type="dxa"/>
            <w:tcBorders>
              <w:tl2br w:val="nil"/>
              <w:tr2bl w:val="nil"/>
            </w:tcBorders>
            <w:shd w:val="clear" w:color="auto" w:fill="auto"/>
            <w:vAlign w:val="center"/>
          </w:tcPr>
          <w:p w14:paraId="3320AD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110.4600 </w:t>
            </w:r>
          </w:p>
        </w:tc>
        <w:tc>
          <w:tcPr>
            <w:tcW w:w="1079" w:type="dxa"/>
            <w:tcBorders>
              <w:tl2br w:val="nil"/>
              <w:tr2bl w:val="nil"/>
            </w:tcBorders>
            <w:shd w:val="clear" w:color="auto" w:fill="auto"/>
            <w:vAlign w:val="center"/>
          </w:tcPr>
          <w:p w14:paraId="40C310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8A02A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37.4740 </w:t>
            </w:r>
          </w:p>
        </w:tc>
        <w:tc>
          <w:tcPr>
            <w:tcW w:w="1353" w:type="dxa"/>
            <w:tcBorders>
              <w:tl2br w:val="nil"/>
              <w:tr2bl w:val="nil"/>
            </w:tcBorders>
            <w:shd w:val="clear" w:color="auto" w:fill="auto"/>
            <w:vAlign w:val="center"/>
          </w:tcPr>
          <w:p w14:paraId="14D744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110.4600 </w:t>
            </w:r>
          </w:p>
        </w:tc>
      </w:tr>
      <w:tr w14:paraId="2CDC4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DC4BA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3210 </w:t>
            </w:r>
          </w:p>
        </w:tc>
        <w:tc>
          <w:tcPr>
            <w:tcW w:w="1443" w:type="dxa"/>
            <w:tcBorders>
              <w:tl2br w:val="nil"/>
              <w:tr2bl w:val="nil"/>
            </w:tcBorders>
            <w:shd w:val="clear" w:color="auto" w:fill="auto"/>
            <w:vAlign w:val="center"/>
          </w:tcPr>
          <w:p w14:paraId="6EA942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37.5640 </w:t>
            </w:r>
          </w:p>
        </w:tc>
        <w:tc>
          <w:tcPr>
            <w:tcW w:w="1394" w:type="dxa"/>
            <w:tcBorders>
              <w:tl2br w:val="nil"/>
              <w:tr2bl w:val="nil"/>
            </w:tcBorders>
            <w:shd w:val="clear" w:color="auto" w:fill="auto"/>
            <w:vAlign w:val="center"/>
          </w:tcPr>
          <w:p w14:paraId="2B4B22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109.9000 </w:t>
            </w:r>
          </w:p>
        </w:tc>
        <w:tc>
          <w:tcPr>
            <w:tcW w:w="1079" w:type="dxa"/>
            <w:tcBorders>
              <w:tl2br w:val="nil"/>
              <w:tr2bl w:val="nil"/>
            </w:tcBorders>
            <w:shd w:val="clear" w:color="auto" w:fill="auto"/>
            <w:vAlign w:val="center"/>
          </w:tcPr>
          <w:p w14:paraId="5BAF96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A392C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37.5640 </w:t>
            </w:r>
          </w:p>
        </w:tc>
        <w:tc>
          <w:tcPr>
            <w:tcW w:w="1353" w:type="dxa"/>
            <w:tcBorders>
              <w:tl2br w:val="nil"/>
              <w:tr2bl w:val="nil"/>
            </w:tcBorders>
            <w:shd w:val="clear" w:color="auto" w:fill="auto"/>
            <w:vAlign w:val="center"/>
          </w:tcPr>
          <w:p w14:paraId="689E22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109.9000 </w:t>
            </w:r>
          </w:p>
        </w:tc>
      </w:tr>
      <w:tr w14:paraId="78E3D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F8EC9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3220 </w:t>
            </w:r>
          </w:p>
        </w:tc>
        <w:tc>
          <w:tcPr>
            <w:tcW w:w="1443" w:type="dxa"/>
            <w:tcBorders>
              <w:tl2br w:val="nil"/>
              <w:tr2bl w:val="nil"/>
            </w:tcBorders>
            <w:shd w:val="clear" w:color="auto" w:fill="auto"/>
            <w:vAlign w:val="center"/>
          </w:tcPr>
          <w:p w14:paraId="55A4AA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37.6540 </w:t>
            </w:r>
          </w:p>
        </w:tc>
        <w:tc>
          <w:tcPr>
            <w:tcW w:w="1394" w:type="dxa"/>
            <w:tcBorders>
              <w:tl2br w:val="nil"/>
              <w:tr2bl w:val="nil"/>
            </w:tcBorders>
            <w:shd w:val="clear" w:color="auto" w:fill="auto"/>
            <w:vAlign w:val="center"/>
          </w:tcPr>
          <w:p w14:paraId="25A59E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109.3400 </w:t>
            </w:r>
          </w:p>
        </w:tc>
        <w:tc>
          <w:tcPr>
            <w:tcW w:w="1079" w:type="dxa"/>
            <w:tcBorders>
              <w:tl2br w:val="nil"/>
              <w:tr2bl w:val="nil"/>
            </w:tcBorders>
            <w:shd w:val="clear" w:color="auto" w:fill="auto"/>
            <w:vAlign w:val="center"/>
          </w:tcPr>
          <w:p w14:paraId="234DA0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7DB6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37.6540 </w:t>
            </w:r>
          </w:p>
        </w:tc>
        <w:tc>
          <w:tcPr>
            <w:tcW w:w="1353" w:type="dxa"/>
            <w:tcBorders>
              <w:tl2br w:val="nil"/>
              <w:tr2bl w:val="nil"/>
            </w:tcBorders>
            <w:shd w:val="clear" w:color="auto" w:fill="auto"/>
            <w:vAlign w:val="center"/>
          </w:tcPr>
          <w:p w14:paraId="6ABDE1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109.3400 </w:t>
            </w:r>
          </w:p>
        </w:tc>
      </w:tr>
      <w:tr w14:paraId="3C5A03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CBFFE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3230 </w:t>
            </w:r>
          </w:p>
        </w:tc>
        <w:tc>
          <w:tcPr>
            <w:tcW w:w="1443" w:type="dxa"/>
            <w:tcBorders>
              <w:tl2br w:val="nil"/>
              <w:tr2bl w:val="nil"/>
            </w:tcBorders>
            <w:shd w:val="clear" w:color="auto" w:fill="auto"/>
            <w:vAlign w:val="center"/>
          </w:tcPr>
          <w:p w14:paraId="2B9733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37.7450 </w:t>
            </w:r>
          </w:p>
        </w:tc>
        <w:tc>
          <w:tcPr>
            <w:tcW w:w="1394" w:type="dxa"/>
            <w:tcBorders>
              <w:tl2br w:val="nil"/>
              <w:tr2bl w:val="nil"/>
            </w:tcBorders>
            <w:shd w:val="clear" w:color="auto" w:fill="auto"/>
            <w:vAlign w:val="center"/>
          </w:tcPr>
          <w:p w14:paraId="16557D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108.7900 </w:t>
            </w:r>
          </w:p>
        </w:tc>
        <w:tc>
          <w:tcPr>
            <w:tcW w:w="1079" w:type="dxa"/>
            <w:tcBorders>
              <w:tl2br w:val="nil"/>
              <w:tr2bl w:val="nil"/>
            </w:tcBorders>
            <w:shd w:val="clear" w:color="auto" w:fill="auto"/>
            <w:vAlign w:val="center"/>
          </w:tcPr>
          <w:p w14:paraId="266ADA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4E447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37.7450 </w:t>
            </w:r>
          </w:p>
        </w:tc>
        <w:tc>
          <w:tcPr>
            <w:tcW w:w="1353" w:type="dxa"/>
            <w:tcBorders>
              <w:tl2br w:val="nil"/>
              <w:tr2bl w:val="nil"/>
            </w:tcBorders>
            <w:shd w:val="clear" w:color="auto" w:fill="auto"/>
            <w:vAlign w:val="center"/>
          </w:tcPr>
          <w:p w14:paraId="49C5E0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108.7900 </w:t>
            </w:r>
          </w:p>
        </w:tc>
      </w:tr>
      <w:tr w14:paraId="510D2C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5F233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3240 </w:t>
            </w:r>
          </w:p>
        </w:tc>
        <w:tc>
          <w:tcPr>
            <w:tcW w:w="1443" w:type="dxa"/>
            <w:tcBorders>
              <w:tl2br w:val="nil"/>
              <w:tr2bl w:val="nil"/>
            </w:tcBorders>
            <w:shd w:val="clear" w:color="auto" w:fill="auto"/>
            <w:vAlign w:val="center"/>
          </w:tcPr>
          <w:p w14:paraId="36BDBD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37.8350 </w:t>
            </w:r>
          </w:p>
        </w:tc>
        <w:tc>
          <w:tcPr>
            <w:tcW w:w="1394" w:type="dxa"/>
            <w:tcBorders>
              <w:tl2br w:val="nil"/>
              <w:tr2bl w:val="nil"/>
            </w:tcBorders>
            <w:shd w:val="clear" w:color="auto" w:fill="auto"/>
            <w:vAlign w:val="center"/>
          </w:tcPr>
          <w:p w14:paraId="166D77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108.2400 </w:t>
            </w:r>
          </w:p>
        </w:tc>
        <w:tc>
          <w:tcPr>
            <w:tcW w:w="1079" w:type="dxa"/>
            <w:tcBorders>
              <w:tl2br w:val="nil"/>
              <w:tr2bl w:val="nil"/>
            </w:tcBorders>
            <w:shd w:val="clear" w:color="auto" w:fill="auto"/>
            <w:vAlign w:val="center"/>
          </w:tcPr>
          <w:p w14:paraId="75FDAF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575D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37.8350 </w:t>
            </w:r>
          </w:p>
        </w:tc>
        <w:tc>
          <w:tcPr>
            <w:tcW w:w="1353" w:type="dxa"/>
            <w:tcBorders>
              <w:tl2br w:val="nil"/>
              <w:tr2bl w:val="nil"/>
            </w:tcBorders>
            <w:shd w:val="clear" w:color="auto" w:fill="auto"/>
            <w:vAlign w:val="center"/>
          </w:tcPr>
          <w:p w14:paraId="54684B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108.2400 </w:t>
            </w:r>
          </w:p>
        </w:tc>
      </w:tr>
      <w:tr w14:paraId="7F5C8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91440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3250 </w:t>
            </w:r>
          </w:p>
        </w:tc>
        <w:tc>
          <w:tcPr>
            <w:tcW w:w="1443" w:type="dxa"/>
            <w:tcBorders>
              <w:tl2br w:val="nil"/>
              <w:tr2bl w:val="nil"/>
            </w:tcBorders>
            <w:shd w:val="clear" w:color="auto" w:fill="auto"/>
            <w:vAlign w:val="center"/>
          </w:tcPr>
          <w:p w14:paraId="642129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37.9250 </w:t>
            </w:r>
          </w:p>
        </w:tc>
        <w:tc>
          <w:tcPr>
            <w:tcW w:w="1394" w:type="dxa"/>
            <w:tcBorders>
              <w:tl2br w:val="nil"/>
              <w:tr2bl w:val="nil"/>
            </w:tcBorders>
            <w:shd w:val="clear" w:color="auto" w:fill="auto"/>
            <w:vAlign w:val="center"/>
          </w:tcPr>
          <w:p w14:paraId="165D28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107.6900 </w:t>
            </w:r>
          </w:p>
        </w:tc>
        <w:tc>
          <w:tcPr>
            <w:tcW w:w="1079" w:type="dxa"/>
            <w:tcBorders>
              <w:tl2br w:val="nil"/>
              <w:tr2bl w:val="nil"/>
            </w:tcBorders>
            <w:shd w:val="clear" w:color="auto" w:fill="auto"/>
            <w:vAlign w:val="center"/>
          </w:tcPr>
          <w:p w14:paraId="6BCAA5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18305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37.9250 </w:t>
            </w:r>
          </w:p>
        </w:tc>
        <w:tc>
          <w:tcPr>
            <w:tcW w:w="1353" w:type="dxa"/>
            <w:tcBorders>
              <w:tl2br w:val="nil"/>
              <w:tr2bl w:val="nil"/>
            </w:tcBorders>
            <w:shd w:val="clear" w:color="auto" w:fill="auto"/>
            <w:vAlign w:val="center"/>
          </w:tcPr>
          <w:p w14:paraId="1D007E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107.6900 </w:t>
            </w:r>
          </w:p>
        </w:tc>
      </w:tr>
      <w:tr w14:paraId="724CC0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2A665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3260 </w:t>
            </w:r>
          </w:p>
        </w:tc>
        <w:tc>
          <w:tcPr>
            <w:tcW w:w="1443" w:type="dxa"/>
            <w:tcBorders>
              <w:tl2br w:val="nil"/>
              <w:tr2bl w:val="nil"/>
            </w:tcBorders>
            <w:shd w:val="clear" w:color="auto" w:fill="auto"/>
            <w:vAlign w:val="center"/>
          </w:tcPr>
          <w:p w14:paraId="3B3A68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38.0150 </w:t>
            </w:r>
          </w:p>
        </w:tc>
        <w:tc>
          <w:tcPr>
            <w:tcW w:w="1394" w:type="dxa"/>
            <w:tcBorders>
              <w:tl2br w:val="nil"/>
              <w:tr2bl w:val="nil"/>
            </w:tcBorders>
            <w:shd w:val="clear" w:color="auto" w:fill="auto"/>
            <w:vAlign w:val="center"/>
          </w:tcPr>
          <w:p w14:paraId="1EE5C6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107.1600 </w:t>
            </w:r>
          </w:p>
        </w:tc>
        <w:tc>
          <w:tcPr>
            <w:tcW w:w="1079" w:type="dxa"/>
            <w:tcBorders>
              <w:tl2br w:val="nil"/>
              <w:tr2bl w:val="nil"/>
            </w:tcBorders>
            <w:shd w:val="clear" w:color="auto" w:fill="auto"/>
            <w:vAlign w:val="center"/>
          </w:tcPr>
          <w:p w14:paraId="54737F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7BACB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38.0150 </w:t>
            </w:r>
          </w:p>
        </w:tc>
        <w:tc>
          <w:tcPr>
            <w:tcW w:w="1353" w:type="dxa"/>
            <w:tcBorders>
              <w:tl2br w:val="nil"/>
              <w:tr2bl w:val="nil"/>
            </w:tcBorders>
            <w:shd w:val="clear" w:color="auto" w:fill="auto"/>
            <w:vAlign w:val="center"/>
          </w:tcPr>
          <w:p w14:paraId="152831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107.1600 </w:t>
            </w:r>
          </w:p>
        </w:tc>
      </w:tr>
      <w:tr w14:paraId="320306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C3A3A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3270 </w:t>
            </w:r>
          </w:p>
        </w:tc>
        <w:tc>
          <w:tcPr>
            <w:tcW w:w="1443" w:type="dxa"/>
            <w:tcBorders>
              <w:tl2br w:val="nil"/>
              <w:tr2bl w:val="nil"/>
            </w:tcBorders>
            <w:shd w:val="clear" w:color="auto" w:fill="auto"/>
            <w:vAlign w:val="center"/>
          </w:tcPr>
          <w:p w14:paraId="5D0740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38.1050 </w:t>
            </w:r>
          </w:p>
        </w:tc>
        <w:tc>
          <w:tcPr>
            <w:tcW w:w="1394" w:type="dxa"/>
            <w:tcBorders>
              <w:tl2br w:val="nil"/>
              <w:tr2bl w:val="nil"/>
            </w:tcBorders>
            <w:shd w:val="clear" w:color="auto" w:fill="auto"/>
            <w:vAlign w:val="center"/>
          </w:tcPr>
          <w:p w14:paraId="55404D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106.6200 </w:t>
            </w:r>
          </w:p>
        </w:tc>
        <w:tc>
          <w:tcPr>
            <w:tcW w:w="1079" w:type="dxa"/>
            <w:tcBorders>
              <w:tl2br w:val="nil"/>
              <w:tr2bl w:val="nil"/>
            </w:tcBorders>
            <w:shd w:val="clear" w:color="auto" w:fill="auto"/>
            <w:vAlign w:val="center"/>
          </w:tcPr>
          <w:p w14:paraId="2B7447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9EF70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38.1050 </w:t>
            </w:r>
          </w:p>
        </w:tc>
        <w:tc>
          <w:tcPr>
            <w:tcW w:w="1353" w:type="dxa"/>
            <w:tcBorders>
              <w:tl2br w:val="nil"/>
              <w:tr2bl w:val="nil"/>
            </w:tcBorders>
            <w:shd w:val="clear" w:color="auto" w:fill="auto"/>
            <w:vAlign w:val="center"/>
          </w:tcPr>
          <w:p w14:paraId="54AACA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106.6200 </w:t>
            </w:r>
          </w:p>
        </w:tc>
      </w:tr>
      <w:tr w14:paraId="1B90CE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FF282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3280 </w:t>
            </w:r>
          </w:p>
        </w:tc>
        <w:tc>
          <w:tcPr>
            <w:tcW w:w="1443" w:type="dxa"/>
            <w:tcBorders>
              <w:tl2br w:val="nil"/>
              <w:tr2bl w:val="nil"/>
            </w:tcBorders>
            <w:shd w:val="clear" w:color="auto" w:fill="auto"/>
            <w:vAlign w:val="center"/>
          </w:tcPr>
          <w:p w14:paraId="25672D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38.1950 </w:t>
            </w:r>
          </w:p>
        </w:tc>
        <w:tc>
          <w:tcPr>
            <w:tcW w:w="1394" w:type="dxa"/>
            <w:tcBorders>
              <w:tl2br w:val="nil"/>
              <w:tr2bl w:val="nil"/>
            </w:tcBorders>
            <w:shd w:val="clear" w:color="auto" w:fill="auto"/>
            <w:vAlign w:val="center"/>
          </w:tcPr>
          <w:p w14:paraId="6077B8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106.0900 </w:t>
            </w:r>
          </w:p>
        </w:tc>
        <w:tc>
          <w:tcPr>
            <w:tcW w:w="1079" w:type="dxa"/>
            <w:tcBorders>
              <w:tl2br w:val="nil"/>
              <w:tr2bl w:val="nil"/>
            </w:tcBorders>
            <w:shd w:val="clear" w:color="auto" w:fill="auto"/>
            <w:vAlign w:val="center"/>
          </w:tcPr>
          <w:p w14:paraId="0A3B47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FCCB7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38.1950 </w:t>
            </w:r>
          </w:p>
        </w:tc>
        <w:tc>
          <w:tcPr>
            <w:tcW w:w="1353" w:type="dxa"/>
            <w:tcBorders>
              <w:tl2br w:val="nil"/>
              <w:tr2bl w:val="nil"/>
            </w:tcBorders>
            <w:shd w:val="clear" w:color="auto" w:fill="auto"/>
            <w:vAlign w:val="center"/>
          </w:tcPr>
          <w:p w14:paraId="23BCBC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106.0900 </w:t>
            </w:r>
          </w:p>
        </w:tc>
      </w:tr>
      <w:tr w14:paraId="527729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5341D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3290 </w:t>
            </w:r>
          </w:p>
        </w:tc>
        <w:tc>
          <w:tcPr>
            <w:tcW w:w="1443" w:type="dxa"/>
            <w:tcBorders>
              <w:tl2br w:val="nil"/>
              <w:tr2bl w:val="nil"/>
            </w:tcBorders>
            <w:shd w:val="clear" w:color="auto" w:fill="auto"/>
            <w:vAlign w:val="center"/>
          </w:tcPr>
          <w:p w14:paraId="7AF4F3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38.2840 </w:t>
            </w:r>
          </w:p>
        </w:tc>
        <w:tc>
          <w:tcPr>
            <w:tcW w:w="1394" w:type="dxa"/>
            <w:tcBorders>
              <w:tl2br w:val="nil"/>
              <w:tr2bl w:val="nil"/>
            </w:tcBorders>
            <w:shd w:val="clear" w:color="auto" w:fill="auto"/>
            <w:vAlign w:val="center"/>
          </w:tcPr>
          <w:p w14:paraId="1E5799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105.5600 </w:t>
            </w:r>
          </w:p>
        </w:tc>
        <w:tc>
          <w:tcPr>
            <w:tcW w:w="1079" w:type="dxa"/>
            <w:tcBorders>
              <w:tl2br w:val="nil"/>
              <w:tr2bl w:val="nil"/>
            </w:tcBorders>
            <w:shd w:val="clear" w:color="auto" w:fill="auto"/>
            <w:vAlign w:val="center"/>
          </w:tcPr>
          <w:p w14:paraId="06B6E2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2606C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38.2840 </w:t>
            </w:r>
          </w:p>
        </w:tc>
        <w:tc>
          <w:tcPr>
            <w:tcW w:w="1353" w:type="dxa"/>
            <w:tcBorders>
              <w:tl2br w:val="nil"/>
              <w:tr2bl w:val="nil"/>
            </w:tcBorders>
            <w:shd w:val="clear" w:color="auto" w:fill="auto"/>
            <w:vAlign w:val="center"/>
          </w:tcPr>
          <w:p w14:paraId="38B821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105.5600 </w:t>
            </w:r>
          </w:p>
        </w:tc>
      </w:tr>
      <w:tr w14:paraId="574D1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FC280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3300 </w:t>
            </w:r>
          </w:p>
        </w:tc>
        <w:tc>
          <w:tcPr>
            <w:tcW w:w="1443" w:type="dxa"/>
            <w:tcBorders>
              <w:tl2br w:val="nil"/>
              <w:tr2bl w:val="nil"/>
            </w:tcBorders>
            <w:shd w:val="clear" w:color="auto" w:fill="auto"/>
            <w:vAlign w:val="center"/>
          </w:tcPr>
          <w:p w14:paraId="76B3A9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38.3740 </w:t>
            </w:r>
          </w:p>
        </w:tc>
        <w:tc>
          <w:tcPr>
            <w:tcW w:w="1394" w:type="dxa"/>
            <w:tcBorders>
              <w:tl2br w:val="nil"/>
              <w:tr2bl w:val="nil"/>
            </w:tcBorders>
            <w:shd w:val="clear" w:color="auto" w:fill="auto"/>
            <w:vAlign w:val="center"/>
          </w:tcPr>
          <w:p w14:paraId="081852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105.0400 </w:t>
            </w:r>
          </w:p>
        </w:tc>
        <w:tc>
          <w:tcPr>
            <w:tcW w:w="1079" w:type="dxa"/>
            <w:tcBorders>
              <w:tl2br w:val="nil"/>
              <w:tr2bl w:val="nil"/>
            </w:tcBorders>
            <w:shd w:val="clear" w:color="auto" w:fill="auto"/>
            <w:vAlign w:val="center"/>
          </w:tcPr>
          <w:p w14:paraId="32075E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E5501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38.3740 </w:t>
            </w:r>
          </w:p>
        </w:tc>
        <w:tc>
          <w:tcPr>
            <w:tcW w:w="1353" w:type="dxa"/>
            <w:tcBorders>
              <w:tl2br w:val="nil"/>
              <w:tr2bl w:val="nil"/>
            </w:tcBorders>
            <w:shd w:val="clear" w:color="auto" w:fill="auto"/>
            <w:vAlign w:val="center"/>
          </w:tcPr>
          <w:p w14:paraId="3E8C23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105.0400 </w:t>
            </w:r>
          </w:p>
        </w:tc>
      </w:tr>
      <w:tr w14:paraId="6BDA55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001F0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3310 </w:t>
            </w:r>
          </w:p>
        </w:tc>
        <w:tc>
          <w:tcPr>
            <w:tcW w:w="1443" w:type="dxa"/>
            <w:tcBorders>
              <w:tl2br w:val="nil"/>
              <w:tr2bl w:val="nil"/>
            </w:tcBorders>
            <w:shd w:val="clear" w:color="auto" w:fill="auto"/>
            <w:vAlign w:val="center"/>
          </w:tcPr>
          <w:p w14:paraId="0AF9E7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38.4640 </w:t>
            </w:r>
          </w:p>
        </w:tc>
        <w:tc>
          <w:tcPr>
            <w:tcW w:w="1394" w:type="dxa"/>
            <w:tcBorders>
              <w:tl2br w:val="nil"/>
              <w:tr2bl w:val="nil"/>
            </w:tcBorders>
            <w:shd w:val="clear" w:color="auto" w:fill="auto"/>
            <w:vAlign w:val="center"/>
          </w:tcPr>
          <w:p w14:paraId="397E53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104.5200 </w:t>
            </w:r>
          </w:p>
        </w:tc>
        <w:tc>
          <w:tcPr>
            <w:tcW w:w="1079" w:type="dxa"/>
            <w:tcBorders>
              <w:tl2br w:val="nil"/>
              <w:tr2bl w:val="nil"/>
            </w:tcBorders>
            <w:shd w:val="clear" w:color="auto" w:fill="auto"/>
            <w:vAlign w:val="center"/>
          </w:tcPr>
          <w:p w14:paraId="74A306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AC69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38.4640 </w:t>
            </w:r>
          </w:p>
        </w:tc>
        <w:tc>
          <w:tcPr>
            <w:tcW w:w="1353" w:type="dxa"/>
            <w:tcBorders>
              <w:tl2br w:val="nil"/>
              <w:tr2bl w:val="nil"/>
            </w:tcBorders>
            <w:shd w:val="clear" w:color="auto" w:fill="auto"/>
            <w:vAlign w:val="center"/>
          </w:tcPr>
          <w:p w14:paraId="3297F2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104.5200 </w:t>
            </w:r>
          </w:p>
        </w:tc>
      </w:tr>
      <w:tr w14:paraId="31CBCA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ABEC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3320 </w:t>
            </w:r>
          </w:p>
        </w:tc>
        <w:tc>
          <w:tcPr>
            <w:tcW w:w="1443" w:type="dxa"/>
            <w:tcBorders>
              <w:tl2br w:val="nil"/>
              <w:tr2bl w:val="nil"/>
            </w:tcBorders>
            <w:shd w:val="clear" w:color="auto" w:fill="auto"/>
            <w:vAlign w:val="center"/>
          </w:tcPr>
          <w:p w14:paraId="033009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38.5540 </w:t>
            </w:r>
          </w:p>
        </w:tc>
        <w:tc>
          <w:tcPr>
            <w:tcW w:w="1394" w:type="dxa"/>
            <w:tcBorders>
              <w:tl2br w:val="nil"/>
              <w:tr2bl w:val="nil"/>
            </w:tcBorders>
            <w:shd w:val="clear" w:color="auto" w:fill="auto"/>
            <w:vAlign w:val="center"/>
          </w:tcPr>
          <w:p w14:paraId="75F17F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104.0000 </w:t>
            </w:r>
          </w:p>
        </w:tc>
        <w:tc>
          <w:tcPr>
            <w:tcW w:w="1079" w:type="dxa"/>
            <w:tcBorders>
              <w:tl2br w:val="nil"/>
              <w:tr2bl w:val="nil"/>
            </w:tcBorders>
            <w:shd w:val="clear" w:color="auto" w:fill="auto"/>
            <w:vAlign w:val="center"/>
          </w:tcPr>
          <w:p w14:paraId="443979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467FF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38.5540 </w:t>
            </w:r>
          </w:p>
        </w:tc>
        <w:tc>
          <w:tcPr>
            <w:tcW w:w="1353" w:type="dxa"/>
            <w:tcBorders>
              <w:tl2br w:val="nil"/>
              <w:tr2bl w:val="nil"/>
            </w:tcBorders>
            <w:shd w:val="clear" w:color="auto" w:fill="auto"/>
            <w:vAlign w:val="center"/>
          </w:tcPr>
          <w:p w14:paraId="442A58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104.0000 </w:t>
            </w:r>
          </w:p>
        </w:tc>
      </w:tr>
      <w:tr w14:paraId="23A834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CC5C2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3330 </w:t>
            </w:r>
          </w:p>
        </w:tc>
        <w:tc>
          <w:tcPr>
            <w:tcW w:w="1443" w:type="dxa"/>
            <w:tcBorders>
              <w:tl2br w:val="nil"/>
              <w:tr2bl w:val="nil"/>
            </w:tcBorders>
            <w:shd w:val="clear" w:color="auto" w:fill="auto"/>
            <w:vAlign w:val="center"/>
          </w:tcPr>
          <w:p w14:paraId="484771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38.6430 </w:t>
            </w:r>
          </w:p>
        </w:tc>
        <w:tc>
          <w:tcPr>
            <w:tcW w:w="1394" w:type="dxa"/>
            <w:tcBorders>
              <w:tl2br w:val="nil"/>
              <w:tr2bl w:val="nil"/>
            </w:tcBorders>
            <w:shd w:val="clear" w:color="auto" w:fill="auto"/>
            <w:vAlign w:val="center"/>
          </w:tcPr>
          <w:p w14:paraId="1E5DAE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103.4900 </w:t>
            </w:r>
          </w:p>
        </w:tc>
        <w:tc>
          <w:tcPr>
            <w:tcW w:w="1079" w:type="dxa"/>
            <w:tcBorders>
              <w:tl2br w:val="nil"/>
              <w:tr2bl w:val="nil"/>
            </w:tcBorders>
            <w:shd w:val="clear" w:color="auto" w:fill="auto"/>
            <w:vAlign w:val="center"/>
          </w:tcPr>
          <w:p w14:paraId="0E757E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2E26E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38.6430 </w:t>
            </w:r>
          </w:p>
        </w:tc>
        <w:tc>
          <w:tcPr>
            <w:tcW w:w="1353" w:type="dxa"/>
            <w:tcBorders>
              <w:tl2br w:val="nil"/>
              <w:tr2bl w:val="nil"/>
            </w:tcBorders>
            <w:shd w:val="clear" w:color="auto" w:fill="auto"/>
            <w:vAlign w:val="center"/>
          </w:tcPr>
          <w:p w14:paraId="4D193D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103.4900 </w:t>
            </w:r>
          </w:p>
        </w:tc>
      </w:tr>
      <w:tr w14:paraId="0DEF2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06213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3340 </w:t>
            </w:r>
          </w:p>
        </w:tc>
        <w:tc>
          <w:tcPr>
            <w:tcW w:w="1443" w:type="dxa"/>
            <w:tcBorders>
              <w:tl2br w:val="nil"/>
              <w:tr2bl w:val="nil"/>
            </w:tcBorders>
            <w:shd w:val="clear" w:color="auto" w:fill="auto"/>
            <w:vAlign w:val="center"/>
          </w:tcPr>
          <w:p w14:paraId="2EB462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38.7330 </w:t>
            </w:r>
          </w:p>
        </w:tc>
        <w:tc>
          <w:tcPr>
            <w:tcW w:w="1394" w:type="dxa"/>
            <w:tcBorders>
              <w:tl2br w:val="nil"/>
              <w:tr2bl w:val="nil"/>
            </w:tcBorders>
            <w:shd w:val="clear" w:color="auto" w:fill="auto"/>
            <w:vAlign w:val="center"/>
          </w:tcPr>
          <w:p w14:paraId="01B123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102.9900 </w:t>
            </w:r>
          </w:p>
        </w:tc>
        <w:tc>
          <w:tcPr>
            <w:tcW w:w="1079" w:type="dxa"/>
            <w:tcBorders>
              <w:tl2br w:val="nil"/>
              <w:tr2bl w:val="nil"/>
            </w:tcBorders>
            <w:shd w:val="clear" w:color="auto" w:fill="auto"/>
            <w:vAlign w:val="center"/>
          </w:tcPr>
          <w:p w14:paraId="00F1FA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624FC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38.7330 </w:t>
            </w:r>
          </w:p>
        </w:tc>
        <w:tc>
          <w:tcPr>
            <w:tcW w:w="1353" w:type="dxa"/>
            <w:tcBorders>
              <w:tl2br w:val="nil"/>
              <w:tr2bl w:val="nil"/>
            </w:tcBorders>
            <w:shd w:val="clear" w:color="auto" w:fill="auto"/>
            <w:vAlign w:val="center"/>
          </w:tcPr>
          <w:p w14:paraId="4F78A2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102.9900 </w:t>
            </w:r>
          </w:p>
        </w:tc>
      </w:tr>
      <w:tr w14:paraId="47C27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05063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3350 </w:t>
            </w:r>
          </w:p>
        </w:tc>
        <w:tc>
          <w:tcPr>
            <w:tcW w:w="1443" w:type="dxa"/>
            <w:tcBorders>
              <w:tl2br w:val="nil"/>
              <w:tr2bl w:val="nil"/>
            </w:tcBorders>
            <w:shd w:val="clear" w:color="auto" w:fill="auto"/>
            <w:vAlign w:val="center"/>
          </w:tcPr>
          <w:p w14:paraId="6BE4FF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38.8220 </w:t>
            </w:r>
          </w:p>
        </w:tc>
        <w:tc>
          <w:tcPr>
            <w:tcW w:w="1394" w:type="dxa"/>
            <w:tcBorders>
              <w:tl2br w:val="nil"/>
              <w:tr2bl w:val="nil"/>
            </w:tcBorders>
            <w:shd w:val="clear" w:color="auto" w:fill="auto"/>
            <w:vAlign w:val="center"/>
          </w:tcPr>
          <w:p w14:paraId="40BE07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102.4800 </w:t>
            </w:r>
          </w:p>
        </w:tc>
        <w:tc>
          <w:tcPr>
            <w:tcW w:w="1079" w:type="dxa"/>
            <w:tcBorders>
              <w:tl2br w:val="nil"/>
              <w:tr2bl w:val="nil"/>
            </w:tcBorders>
            <w:shd w:val="clear" w:color="auto" w:fill="auto"/>
            <w:vAlign w:val="center"/>
          </w:tcPr>
          <w:p w14:paraId="0FD7B0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80343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38.8220 </w:t>
            </w:r>
          </w:p>
        </w:tc>
        <w:tc>
          <w:tcPr>
            <w:tcW w:w="1353" w:type="dxa"/>
            <w:tcBorders>
              <w:tl2br w:val="nil"/>
              <w:tr2bl w:val="nil"/>
            </w:tcBorders>
            <w:shd w:val="clear" w:color="auto" w:fill="auto"/>
            <w:vAlign w:val="center"/>
          </w:tcPr>
          <w:p w14:paraId="5885B1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102.4800 </w:t>
            </w:r>
          </w:p>
        </w:tc>
      </w:tr>
      <w:tr w14:paraId="6DB4F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260FC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3360 </w:t>
            </w:r>
          </w:p>
        </w:tc>
        <w:tc>
          <w:tcPr>
            <w:tcW w:w="1443" w:type="dxa"/>
            <w:tcBorders>
              <w:tl2br w:val="nil"/>
              <w:tr2bl w:val="nil"/>
            </w:tcBorders>
            <w:shd w:val="clear" w:color="auto" w:fill="auto"/>
            <w:vAlign w:val="center"/>
          </w:tcPr>
          <w:p w14:paraId="50DB68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38.9120 </w:t>
            </w:r>
          </w:p>
        </w:tc>
        <w:tc>
          <w:tcPr>
            <w:tcW w:w="1394" w:type="dxa"/>
            <w:tcBorders>
              <w:tl2br w:val="nil"/>
              <w:tr2bl w:val="nil"/>
            </w:tcBorders>
            <w:shd w:val="clear" w:color="auto" w:fill="auto"/>
            <w:vAlign w:val="center"/>
          </w:tcPr>
          <w:p w14:paraId="040F17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101.9800 </w:t>
            </w:r>
          </w:p>
        </w:tc>
        <w:tc>
          <w:tcPr>
            <w:tcW w:w="1079" w:type="dxa"/>
            <w:tcBorders>
              <w:tl2br w:val="nil"/>
              <w:tr2bl w:val="nil"/>
            </w:tcBorders>
            <w:shd w:val="clear" w:color="auto" w:fill="auto"/>
            <w:vAlign w:val="center"/>
          </w:tcPr>
          <w:p w14:paraId="047055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05E0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38.9120 </w:t>
            </w:r>
          </w:p>
        </w:tc>
        <w:tc>
          <w:tcPr>
            <w:tcW w:w="1353" w:type="dxa"/>
            <w:tcBorders>
              <w:tl2br w:val="nil"/>
              <w:tr2bl w:val="nil"/>
            </w:tcBorders>
            <w:shd w:val="clear" w:color="auto" w:fill="auto"/>
            <w:vAlign w:val="center"/>
          </w:tcPr>
          <w:p w14:paraId="296C5E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101.9800 </w:t>
            </w:r>
          </w:p>
        </w:tc>
      </w:tr>
      <w:tr w14:paraId="37825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CC4B7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3370 </w:t>
            </w:r>
          </w:p>
        </w:tc>
        <w:tc>
          <w:tcPr>
            <w:tcW w:w="1443" w:type="dxa"/>
            <w:tcBorders>
              <w:tl2br w:val="nil"/>
              <w:tr2bl w:val="nil"/>
            </w:tcBorders>
            <w:shd w:val="clear" w:color="auto" w:fill="auto"/>
            <w:vAlign w:val="center"/>
          </w:tcPr>
          <w:p w14:paraId="058F79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39.0010 </w:t>
            </w:r>
          </w:p>
        </w:tc>
        <w:tc>
          <w:tcPr>
            <w:tcW w:w="1394" w:type="dxa"/>
            <w:tcBorders>
              <w:tl2br w:val="nil"/>
              <w:tr2bl w:val="nil"/>
            </w:tcBorders>
            <w:shd w:val="clear" w:color="auto" w:fill="auto"/>
            <w:vAlign w:val="center"/>
          </w:tcPr>
          <w:p w14:paraId="591C7C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101.4900 </w:t>
            </w:r>
          </w:p>
        </w:tc>
        <w:tc>
          <w:tcPr>
            <w:tcW w:w="1079" w:type="dxa"/>
            <w:tcBorders>
              <w:tl2br w:val="nil"/>
              <w:tr2bl w:val="nil"/>
            </w:tcBorders>
            <w:shd w:val="clear" w:color="auto" w:fill="auto"/>
            <w:vAlign w:val="center"/>
          </w:tcPr>
          <w:p w14:paraId="01B036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EC62B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39.0010 </w:t>
            </w:r>
          </w:p>
        </w:tc>
        <w:tc>
          <w:tcPr>
            <w:tcW w:w="1353" w:type="dxa"/>
            <w:tcBorders>
              <w:tl2br w:val="nil"/>
              <w:tr2bl w:val="nil"/>
            </w:tcBorders>
            <w:shd w:val="clear" w:color="auto" w:fill="auto"/>
            <w:vAlign w:val="center"/>
          </w:tcPr>
          <w:p w14:paraId="7FD6DE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101.4900 </w:t>
            </w:r>
          </w:p>
        </w:tc>
      </w:tr>
      <w:tr w14:paraId="55256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EC693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3380 </w:t>
            </w:r>
          </w:p>
        </w:tc>
        <w:tc>
          <w:tcPr>
            <w:tcW w:w="1443" w:type="dxa"/>
            <w:tcBorders>
              <w:tl2br w:val="nil"/>
              <w:tr2bl w:val="nil"/>
            </w:tcBorders>
            <w:shd w:val="clear" w:color="auto" w:fill="auto"/>
            <w:vAlign w:val="center"/>
          </w:tcPr>
          <w:p w14:paraId="3E55CF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39.0900 </w:t>
            </w:r>
          </w:p>
        </w:tc>
        <w:tc>
          <w:tcPr>
            <w:tcW w:w="1394" w:type="dxa"/>
            <w:tcBorders>
              <w:tl2br w:val="nil"/>
              <w:tr2bl w:val="nil"/>
            </w:tcBorders>
            <w:shd w:val="clear" w:color="auto" w:fill="auto"/>
            <w:vAlign w:val="center"/>
          </w:tcPr>
          <w:p w14:paraId="55F9CD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101.0000 </w:t>
            </w:r>
          </w:p>
        </w:tc>
        <w:tc>
          <w:tcPr>
            <w:tcW w:w="1079" w:type="dxa"/>
            <w:tcBorders>
              <w:tl2br w:val="nil"/>
              <w:tr2bl w:val="nil"/>
            </w:tcBorders>
            <w:shd w:val="clear" w:color="auto" w:fill="auto"/>
            <w:vAlign w:val="center"/>
          </w:tcPr>
          <w:p w14:paraId="6205BD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84532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39.0900 </w:t>
            </w:r>
          </w:p>
        </w:tc>
        <w:tc>
          <w:tcPr>
            <w:tcW w:w="1353" w:type="dxa"/>
            <w:tcBorders>
              <w:tl2br w:val="nil"/>
              <w:tr2bl w:val="nil"/>
            </w:tcBorders>
            <w:shd w:val="clear" w:color="auto" w:fill="auto"/>
            <w:vAlign w:val="center"/>
          </w:tcPr>
          <w:p w14:paraId="657C85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101.0000 </w:t>
            </w:r>
          </w:p>
        </w:tc>
      </w:tr>
      <w:tr w14:paraId="598D4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454A8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3390 </w:t>
            </w:r>
          </w:p>
        </w:tc>
        <w:tc>
          <w:tcPr>
            <w:tcW w:w="1443" w:type="dxa"/>
            <w:tcBorders>
              <w:tl2br w:val="nil"/>
              <w:tr2bl w:val="nil"/>
            </w:tcBorders>
            <w:shd w:val="clear" w:color="auto" w:fill="auto"/>
            <w:vAlign w:val="center"/>
          </w:tcPr>
          <w:p w14:paraId="646C4B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39.1800 </w:t>
            </w:r>
          </w:p>
        </w:tc>
        <w:tc>
          <w:tcPr>
            <w:tcW w:w="1394" w:type="dxa"/>
            <w:tcBorders>
              <w:tl2br w:val="nil"/>
              <w:tr2bl w:val="nil"/>
            </w:tcBorders>
            <w:shd w:val="clear" w:color="auto" w:fill="auto"/>
            <w:vAlign w:val="center"/>
          </w:tcPr>
          <w:p w14:paraId="601AB0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100.5100 </w:t>
            </w:r>
          </w:p>
        </w:tc>
        <w:tc>
          <w:tcPr>
            <w:tcW w:w="1079" w:type="dxa"/>
            <w:tcBorders>
              <w:tl2br w:val="nil"/>
              <w:tr2bl w:val="nil"/>
            </w:tcBorders>
            <w:shd w:val="clear" w:color="auto" w:fill="auto"/>
            <w:vAlign w:val="center"/>
          </w:tcPr>
          <w:p w14:paraId="70AB70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FE7F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39.1800 </w:t>
            </w:r>
          </w:p>
        </w:tc>
        <w:tc>
          <w:tcPr>
            <w:tcW w:w="1353" w:type="dxa"/>
            <w:tcBorders>
              <w:tl2br w:val="nil"/>
              <w:tr2bl w:val="nil"/>
            </w:tcBorders>
            <w:shd w:val="clear" w:color="auto" w:fill="auto"/>
            <w:vAlign w:val="center"/>
          </w:tcPr>
          <w:p w14:paraId="0EF5E6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100.5100 </w:t>
            </w:r>
          </w:p>
        </w:tc>
      </w:tr>
      <w:tr w14:paraId="38D1B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652DF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3400 </w:t>
            </w:r>
          </w:p>
        </w:tc>
        <w:tc>
          <w:tcPr>
            <w:tcW w:w="1443" w:type="dxa"/>
            <w:tcBorders>
              <w:tl2br w:val="nil"/>
              <w:tr2bl w:val="nil"/>
            </w:tcBorders>
            <w:shd w:val="clear" w:color="auto" w:fill="auto"/>
            <w:vAlign w:val="center"/>
          </w:tcPr>
          <w:p w14:paraId="566B50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39.2690 </w:t>
            </w:r>
          </w:p>
        </w:tc>
        <w:tc>
          <w:tcPr>
            <w:tcW w:w="1394" w:type="dxa"/>
            <w:tcBorders>
              <w:tl2br w:val="nil"/>
              <w:tr2bl w:val="nil"/>
            </w:tcBorders>
            <w:shd w:val="clear" w:color="auto" w:fill="auto"/>
            <w:vAlign w:val="center"/>
          </w:tcPr>
          <w:p w14:paraId="1CB864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100.0200 </w:t>
            </w:r>
          </w:p>
        </w:tc>
        <w:tc>
          <w:tcPr>
            <w:tcW w:w="1079" w:type="dxa"/>
            <w:tcBorders>
              <w:tl2br w:val="nil"/>
              <w:tr2bl w:val="nil"/>
            </w:tcBorders>
            <w:shd w:val="clear" w:color="auto" w:fill="auto"/>
            <w:vAlign w:val="center"/>
          </w:tcPr>
          <w:p w14:paraId="01BE98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72413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39.2690 </w:t>
            </w:r>
          </w:p>
        </w:tc>
        <w:tc>
          <w:tcPr>
            <w:tcW w:w="1353" w:type="dxa"/>
            <w:tcBorders>
              <w:tl2br w:val="nil"/>
              <w:tr2bl w:val="nil"/>
            </w:tcBorders>
            <w:shd w:val="clear" w:color="auto" w:fill="auto"/>
            <w:vAlign w:val="center"/>
          </w:tcPr>
          <w:p w14:paraId="174FB9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100.0200 </w:t>
            </w:r>
          </w:p>
        </w:tc>
      </w:tr>
      <w:tr w14:paraId="66856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FBB97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3410 </w:t>
            </w:r>
          </w:p>
        </w:tc>
        <w:tc>
          <w:tcPr>
            <w:tcW w:w="1443" w:type="dxa"/>
            <w:tcBorders>
              <w:tl2br w:val="nil"/>
              <w:tr2bl w:val="nil"/>
            </w:tcBorders>
            <w:shd w:val="clear" w:color="auto" w:fill="auto"/>
            <w:vAlign w:val="center"/>
          </w:tcPr>
          <w:p w14:paraId="349B53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39.3580 </w:t>
            </w:r>
          </w:p>
        </w:tc>
        <w:tc>
          <w:tcPr>
            <w:tcW w:w="1394" w:type="dxa"/>
            <w:tcBorders>
              <w:tl2br w:val="nil"/>
              <w:tr2bl w:val="nil"/>
            </w:tcBorders>
            <w:shd w:val="clear" w:color="auto" w:fill="auto"/>
            <w:vAlign w:val="center"/>
          </w:tcPr>
          <w:p w14:paraId="6450AD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99.5410 </w:t>
            </w:r>
          </w:p>
        </w:tc>
        <w:tc>
          <w:tcPr>
            <w:tcW w:w="1079" w:type="dxa"/>
            <w:tcBorders>
              <w:tl2br w:val="nil"/>
              <w:tr2bl w:val="nil"/>
            </w:tcBorders>
            <w:shd w:val="clear" w:color="auto" w:fill="auto"/>
            <w:vAlign w:val="center"/>
          </w:tcPr>
          <w:p w14:paraId="3E4D02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0AEE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39.3580 </w:t>
            </w:r>
          </w:p>
        </w:tc>
        <w:tc>
          <w:tcPr>
            <w:tcW w:w="1353" w:type="dxa"/>
            <w:tcBorders>
              <w:tl2br w:val="nil"/>
              <w:tr2bl w:val="nil"/>
            </w:tcBorders>
            <w:shd w:val="clear" w:color="auto" w:fill="auto"/>
            <w:vAlign w:val="center"/>
          </w:tcPr>
          <w:p w14:paraId="28E2B4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99.5410 </w:t>
            </w:r>
          </w:p>
        </w:tc>
      </w:tr>
      <w:tr w14:paraId="33F01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97FAA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3420 </w:t>
            </w:r>
          </w:p>
        </w:tc>
        <w:tc>
          <w:tcPr>
            <w:tcW w:w="1443" w:type="dxa"/>
            <w:tcBorders>
              <w:tl2br w:val="nil"/>
              <w:tr2bl w:val="nil"/>
            </w:tcBorders>
            <w:shd w:val="clear" w:color="auto" w:fill="auto"/>
            <w:vAlign w:val="center"/>
          </w:tcPr>
          <w:p w14:paraId="77F36A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39.4470 </w:t>
            </w:r>
          </w:p>
        </w:tc>
        <w:tc>
          <w:tcPr>
            <w:tcW w:w="1394" w:type="dxa"/>
            <w:tcBorders>
              <w:tl2br w:val="nil"/>
              <w:tr2bl w:val="nil"/>
            </w:tcBorders>
            <w:shd w:val="clear" w:color="auto" w:fill="auto"/>
            <w:vAlign w:val="center"/>
          </w:tcPr>
          <w:p w14:paraId="792AB9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99.0590 </w:t>
            </w:r>
          </w:p>
        </w:tc>
        <w:tc>
          <w:tcPr>
            <w:tcW w:w="1079" w:type="dxa"/>
            <w:tcBorders>
              <w:tl2br w:val="nil"/>
              <w:tr2bl w:val="nil"/>
            </w:tcBorders>
            <w:shd w:val="clear" w:color="auto" w:fill="auto"/>
            <w:vAlign w:val="center"/>
          </w:tcPr>
          <w:p w14:paraId="5C4797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C7D8B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39.4470 </w:t>
            </w:r>
          </w:p>
        </w:tc>
        <w:tc>
          <w:tcPr>
            <w:tcW w:w="1353" w:type="dxa"/>
            <w:tcBorders>
              <w:tl2br w:val="nil"/>
              <w:tr2bl w:val="nil"/>
            </w:tcBorders>
            <w:shd w:val="clear" w:color="auto" w:fill="auto"/>
            <w:vAlign w:val="center"/>
          </w:tcPr>
          <w:p w14:paraId="10EA7B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99.0590 </w:t>
            </w:r>
          </w:p>
        </w:tc>
      </w:tr>
      <w:tr w14:paraId="741AF8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34877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3430 </w:t>
            </w:r>
          </w:p>
        </w:tc>
        <w:tc>
          <w:tcPr>
            <w:tcW w:w="1443" w:type="dxa"/>
            <w:tcBorders>
              <w:tl2br w:val="nil"/>
              <w:tr2bl w:val="nil"/>
            </w:tcBorders>
            <w:shd w:val="clear" w:color="auto" w:fill="auto"/>
            <w:vAlign w:val="center"/>
          </w:tcPr>
          <w:p w14:paraId="19B285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39.5360 </w:t>
            </w:r>
          </w:p>
        </w:tc>
        <w:tc>
          <w:tcPr>
            <w:tcW w:w="1394" w:type="dxa"/>
            <w:tcBorders>
              <w:tl2br w:val="nil"/>
              <w:tr2bl w:val="nil"/>
            </w:tcBorders>
            <w:shd w:val="clear" w:color="auto" w:fill="auto"/>
            <w:vAlign w:val="center"/>
          </w:tcPr>
          <w:p w14:paraId="074B51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98.5750 </w:t>
            </w:r>
          </w:p>
        </w:tc>
        <w:tc>
          <w:tcPr>
            <w:tcW w:w="1079" w:type="dxa"/>
            <w:tcBorders>
              <w:tl2br w:val="nil"/>
              <w:tr2bl w:val="nil"/>
            </w:tcBorders>
            <w:shd w:val="clear" w:color="auto" w:fill="auto"/>
            <w:vAlign w:val="center"/>
          </w:tcPr>
          <w:p w14:paraId="7C9BE3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ACA3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39.5360 </w:t>
            </w:r>
          </w:p>
        </w:tc>
        <w:tc>
          <w:tcPr>
            <w:tcW w:w="1353" w:type="dxa"/>
            <w:tcBorders>
              <w:tl2br w:val="nil"/>
              <w:tr2bl w:val="nil"/>
            </w:tcBorders>
            <w:shd w:val="clear" w:color="auto" w:fill="auto"/>
            <w:vAlign w:val="center"/>
          </w:tcPr>
          <w:p w14:paraId="3880AB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98.5750 </w:t>
            </w:r>
          </w:p>
        </w:tc>
      </w:tr>
      <w:tr w14:paraId="2056F8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9BA7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3440 </w:t>
            </w:r>
          </w:p>
        </w:tc>
        <w:tc>
          <w:tcPr>
            <w:tcW w:w="1443" w:type="dxa"/>
            <w:tcBorders>
              <w:tl2br w:val="nil"/>
              <w:tr2bl w:val="nil"/>
            </w:tcBorders>
            <w:shd w:val="clear" w:color="auto" w:fill="auto"/>
            <w:vAlign w:val="center"/>
          </w:tcPr>
          <w:p w14:paraId="182498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39.6250 </w:t>
            </w:r>
          </w:p>
        </w:tc>
        <w:tc>
          <w:tcPr>
            <w:tcW w:w="1394" w:type="dxa"/>
            <w:tcBorders>
              <w:tl2br w:val="nil"/>
              <w:tr2bl w:val="nil"/>
            </w:tcBorders>
            <w:shd w:val="clear" w:color="auto" w:fill="auto"/>
            <w:vAlign w:val="center"/>
          </w:tcPr>
          <w:p w14:paraId="126C52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98.0930 </w:t>
            </w:r>
          </w:p>
        </w:tc>
        <w:tc>
          <w:tcPr>
            <w:tcW w:w="1079" w:type="dxa"/>
            <w:tcBorders>
              <w:tl2br w:val="nil"/>
              <w:tr2bl w:val="nil"/>
            </w:tcBorders>
            <w:shd w:val="clear" w:color="auto" w:fill="auto"/>
            <w:vAlign w:val="center"/>
          </w:tcPr>
          <w:p w14:paraId="60923D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E9E02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39.6250 </w:t>
            </w:r>
          </w:p>
        </w:tc>
        <w:tc>
          <w:tcPr>
            <w:tcW w:w="1353" w:type="dxa"/>
            <w:tcBorders>
              <w:tl2br w:val="nil"/>
              <w:tr2bl w:val="nil"/>
            </w:tcBorders>
            <w:shd w:val="clear" w:color="auto" w:fill="auto"/>
            <w:vAlign w:val="center"/>
          </w:tcPr>
          <w:p w14:paraId="783517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98.0930 </w:t>
            </w:r>
          </w:p>
        </w:tc>
      </w:tr>
      <w:tr w14:paraId="36183F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8F357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3450 </w:t>
            </w:r>
          </w:p>
        </w:tc>
        <w:tc>
          <w:tcPr>
            <w:tcW w:w="1443" w:type="dxa"/>
            <w:tcBorders>
              <w:tl2br w:val="nil"/>
              <w:tr2bl w:val="nil"/>
            </w:tcBorders>
            <w:shd w:val="clear" w:color="auto" w:fill="auto"/>
            <w:vAlign w:val="center"/>
          </w:tcPr>
          <w:p w14:paraId="3839B0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39.7140 </w:t>
            </w:r>
          </w:p>
        </w:tc>
        <w:tc>
          <w:tcPr>
            <w:tcW w:w="1394" w:type="dxa"/>
            <w:tcBorders>
              <w:tl2br w:val="nil"/>
              <w:tr2bl w:val="nil"/>
            </w:tcBorders>
            <w:shd w:val="clear" w:color="auto" w:fill="auto"/>
            <w:vAlign w:val="center"/>
          </w:tcPr>
          <w:p w14:paraId="78B8E7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97.6150 </w:t>
            </w:r>
          </w:p>
        </w:tc>
        <w:tc>
          <w:tcPr>
            <w:tcW w:w="1079" w:type="dxa"/>
            <w:tcBorders>
              <w:tl2br w:val="nil"/>
              <w:tr2bl w:val="nil"/>
            </w:tcBorders>
            <w:shd w:val="clear" w:color="auto" w:fill="auto"/>
            <w:vAlign w:val="center"/>
          </w:tcPr>
          <w:p w14:paraId="339F99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9191B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39.7140 </w:t>
            </w:r>
          </w:p>
        </w:tc>
        <w:tc>
          <w:tcPr>
            <w:tcW w:w="1353" w:type="dxa"/>
            <w:tcBorders>
              <w:tl2br w:val="nil"/>
              <w:tr2bl w:val="nil"/>
            </w:tcBorders>
            <w:shd w:val="clear" w:color="auto" w:fill="auto"/>
            <w:vAlign w:val="center"/>
          </w:tcPr>
          <w:p w14:paraId="66319E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97.6150 </w:t>
            </w:r>
          </w:p>
        </w:tc>
      </w:tr>
      <w:tr w14:paraId="7D431D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76CA8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3460 </w:t>
            </w:r>
          </w:p>
        </w:tc>
        <w:tc>
          <w:tcPr>
            <w:tcW w:w="1443" w:type="dxa"/>
            <w:tcBorders>
              <w:tl2br w:val="nil"/>
              <w:tr2bl w:val="nil"/>
            </w:tcBorders>
            <w:shd w:val="clear" w:color="auto" w:fill="auto"/>
            <w:vAlign w:val="center"/>
          </w:tcPr>
          <w:p w14:paraId="08BCDF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39.8030 </w:t>
            </w:r>
          </w:p>
        </w:tc>
        <w:tc>
          <w:tcPr>
            <w:tcW w:w="1394" w:type="dxa"/>
            <w:tcBorders>
              <w:tl2br w:val="nil"/>
              <w:tr2bl w:val="nil"/>
            </w:tcBorders>
            <w:shd w:val="clear" w:color="auto" w:fill="auto"/>
            <w:vAlign w:val="center"/>
          </w:tcPr>
          <w:p w14:paraId="6728CA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97.1410 </w:t>
            </w:r>
          </w:p>
        </w:tc>
        <w:tc>
          <w:tcPr>
            <w:tcW w:w="1079" w:type="dxa"/>
            <w:tcBorders>
              <w:tl2br w:val="nil"/>
              <w:tr2bl w:val="nil"/>
            </w:tcBorders>
            <w:shd w:val="clear" w:color="auto" w:fill="auto"/>
            <w:vAlign w:val="center"/>
          </w:tcPr>
          <w:p w14:paraId="3EF42A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8AB6C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39.8030 </w:t>
            </w:r>
          </w:p>
        </w:tc>
        <w:tc>
          <w:tcPr>
            <w:tcW w:w="1353" w:type="dxa"/>
            <w:tcBorders>
              <w:tl2br w:val="nil"/>
              <w:tr2bl w:val="nil"/>
            </w:tcBorders>
            <w:shd w:val="clear" w:color="auto" w:fill="auto"/>
            <w:vAlign w:val="center"/>
          </w:tcPr>
          <w:p w14:paraId="569F7C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97.1410 </w:t>
            </w:r>
          </w:p>
        </w:tc>
      </w:tr>
      <w:tr w14:paraId="2D8BF5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21810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3470 </w:t>
            </w:r>
          </w:p>
        </w:tc>
        <w:tc>
          <w:tcPr>
            <w:tcW w:w="1443" w:type="dxa"/>
            <w:tcBorders>
              <w:tl2br w:val="nil"/>
              <w:tr2bl w:val="nil"/>
            </w:tcBorders>
            <w:shd w:val="clear" w:color="auto" w:fill="auto"/>
            <w:vAlign w:val="center"/>
          </w:tcPr>
          <w:p w14:paraId="1E69A3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39.8920 </w:t>
            </w:r>
          </w:p>
        </w:tc>
        <w:tc>
          <w:tcPr>
            <w:tcW w:w="1394" w:type="dxa"/>
            <w:tcBorders>
              <w:tl2br w:val="nil"/>
              <w:tr2bl w:val="nil"/>
            </w:tcBorders>
            <w:shd w:val="clear" w:color="auto" w:fill="auto"/>
            <w:vAlign w:val="center"/>
          </w:tcPr>
          <w:p w14:paraId="30E5F2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96.6700 </w:t>
            </w:r>
          </w:p>
        </w:tc>
        <w:tc>
          <w:tcPr>
            <w:tcW w:w="1079" w:type="dxa"/>
            <w:tcBorders>
              <w:tl2br w:val="nil"/>
              <w:tr2bl w:val="nil"/>
            </w:tcBorders>
            <w:shd w:val="clear" w:color="auto" w:fill="auto"/>
            <w:vAlign w:val="center"/>
          </w:tcPr>
          <w:p w14:paraId="1BCC18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1ADFD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39.8920 </w:t>
            </w:r>
          </w:p>
        </w:tc>
        <w:tc>
          <w:tcPr>
            <w:tcW w:w="1353" w:type="dxa"/>
            <w:tcBorders>
              <w:tl2br w:val="nil"/>
              <w:tr2bl w:val="nil"/>
            </w:tcBorders>
            <w:shd w:val="clear" w:color="auto" w:fill="auto"/>
            <w:vAlign w:val="center"/>
          </w:tcPr>
          <w:p w14:paraId="0788C2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96.6700 </w:t>
            </w:r>
          </w:p>
        </w:tc>
      </w:tr>
      <w:tr w14:paraId="70229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BCDA0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3480 </w:t>
            </w:r>
          </w:p>
        </w:tc>
        <w:tc>
          <w:tcPr>
            <w:tcW w:w="1443" w:type="dxa"/>
            <w:tcBorders>
              <w:tl2br w:val="nil"/>
              <w:tr2bl w:val="nil"/>
            </w:tcBorders>
            <w:shd w:val="clear" w:color="auto" w:fill="auto"/>
            <w:vAlign w:val="center"/>
          </w:tcPr>
          <w:p w14:paraId="07D6E0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39.9810 </w:t>
            </w:r>
          </w:p>
        </w:tc>
        <w:tc>
          <w:tcPr>
            <w:tcW w:w="1394" w:type="dxa"/>
            <w:tcBorders>
              <w:tl2br w:val="nil"/>
              <w:tr2bl w:val="nil"/>
            </w:tcBorders>
            <w:shd w:val="clear" w:color="auto" w:fill="auto"/>
            <w:vAlign w:val="center"/>
          </w:tcPr>
          <w:p w14:paraId="1130EC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96.2020 </w:t>
            </w:r>
          </w:p>
        </w:tc>
        <w:tc>
          <w:tcPr>
            <w:tcW w:w="1079" w:type="dxa"/>
            <w:tcBorders>
              <w:tl2br w:val="nil"/>
              <w:tr2bl w:val="nil"/>
            </w:tcBorders>
            <w:shd w:val="clear" w:color="auto" w:fill="auto"/>
            <w:vAlign w:val="center"/>
          </w:tcPr>
          <w:p w14:paraId="745907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A8748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39.9810 </w:t>
            </w:r>
          </w:p>
        </w:tc>
        <w:tc>
          <w:tcPr>
            <w:tcW w:w="1353" w:type="dxa"/>
            <w:tcBorders>
              <w:tl2br w:val="nil"/>
              <w:tr2bl w:val="nil"/>
            </w:tcBorders>
            <w:shd w:val="clear" w:color="auto" w:fill="auto"/>
            <w:vAlign w:val="center"/>
          </w:tcPr>
          <w:p w14:paraId="15B880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96.2020 </w:t>
            </w:r>
          </w:p>
        </w:tc>
      </w:tr>
      <w:tr w14:paraId="6FAAA1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A94B7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3490 </w:t>
            </w:r>
          </w:p>
        </w:tc>
        <w:tc>
          <w:tcPr>
            <w:tcW w:w="1443" w:type="dxa"/>
            <w:tcBorders>
              <w:tl2br w:val="nil"/>
              <w:tr2bl w:val="nil"/>
            </w:tcBorders>
            <w:shd w:val="clear" w:color="auto" w:fill="auto"/>
            <w:vAlign w:val="center"/>
          </w:tcPr>
          <w:p w14:paraId="7DD7CF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40.0700 </w:t>
            </w:r>
          </w:p>
        </w:tc>
        <w:tc>
          <w:tcPr>
            <w:tcW w:w="1394" w:type="dxa"/>
            <w:tcBorders>
              <w:tl2br w:val="nil"/>
              <w:tr2bl w:val="nil"/>
            </w:tcBorders>
            <w:shd w:val="clear" w:color="auto" w:fill="auto"/>
            <w:vAlign w:val="center"/>
          </w:tcPr>
          <w:p w14:paraId="7441C8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95.7380 </w:t>
            </w:r>
          </w:p>
        </w:tc>
        <w:tc>
          <w:tcPr>
            <w:tcW w:w="1079" w:type="dxa"/>
            <w:tcBorders>
              <w:tl2br w:val="nil"/>
              <w:tr2bl w:val="nil"/>
            </w:tcBorders>
            <w:shd w:val="clear" w:color="auto" w:fill="auto"/>
            <w:vAlign w:val="center"/>
          </w:tcPr>
          <w:p w14:paraId="3BAFEE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38D4F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40.0700 </w:t>
            </w:r>
          </w:p>
        </w:tc>
        <w:tc>
          <w:tcPr>
            <w:tcW w:w="1353" w:type="dxa"/>
            <w:tcBorders>
              <w:tl2br w:val="nil"/>
              <w:tr2bl w:val="nil"/>
            </w:tcBorders>
            <w:shd w:val="clear" w:color="auto" w:fill="auto"/>
            <w:vAlign w:val="center"/>
          </w:tcPr>
          <w:p w14:paraId="1FBF6E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95.7380 </w:t>
            </w:r>
          </w:p>
        </w:tc>
      </w:tr>
      <w:tr w14:paraId="3BCFD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D044A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3500 </w:t>
            </w:r>
          </w:p>
        </w:tc>
        <w:tc>
          <w:tcPr>
            <w:tcW w:w="1443" w:type="dxa"/>
            <w:tcBorders>
              <w:tl2br w:val="nil"/>
              <w:tr2bl w:val="nil"/>
            </w:tcBorders>
            <w:shd w:val="clear" w:color="auto" w:fill="auto"/>
            <w:vAlign w:val="center"/>
          </w:tcPr>
          <w:p w14:paraId="10F1C3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40.1590 </w:t>
            </w:r>
          </w:p>
        </w:tc>
        <w:tc>
          <w:tcPr>
            <w:tcW w:w="1394" w:type="dxa"/>
            <w:tcBorders>
              <w:tl2br w:val="nil"/>
              <w:tr2bl w:val="nil"/>
            </w:tcBorders>
            <w:shd w:val="clear" w:color="auto" w:fill="auto"/>
            <w:vAlign w:val="center"/>
          </w:tcPr>
          <w:p w14:paraId="7217B3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95.2770 </w:t>
            </w:r>
          </w:p>
        </w:tc>
        <w:tc>
          <w:tcPr>
            <w:tcW w:w="1079" w:type="dxa"/>
            <w:tcBorders>
              <w:tl2br w:val="nil"/>
              <w:tr2bl w:val="nil"/>
            </w:tcBorders>
            <w:shd w:val="clear" w:color="auto" w:fill="auto"/>
            <w:vAlign w:val="center"/>
          </w:tcPr>
          <w:p w14:paraId="0A6DF3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2284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40.1590 </w:t>
            </w:r>
          </w:p>
        </w:tc>
        <w:tc>
          <w:tcPr>
            <w:tcW w:w="1353" w:type="dxa"/>
            <w:tcBorders>
              <w:tl2br w:val="nil"/>
              <w:tr2bl w:val="nil"/>
            </w:tcBorders>
            <w:shd w:val="clear" w:color="auto" w:fill="auto"/>
            <w:vAlign w:val="center"/>
          </w:tcPr>
          <w:p w14:paraId="060C88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95.2770 </w:t>
            </w:r>
          </w:p>
        </w:tc>
      </w:tr>
      <w:tr w14:paraId="3A019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D371B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3510 </w:t>
            </w:r>
          </w:p>
        </w:tc>
        <w:tc>
          <w:tcPr>
            <w:tcW w:w="1443" w:type="dxa"/>
            <w:tcBorders>
              <w:tl2br w:val="nil"/>
              <w:tr2bl w:val="nil"/>
            </w:tcBorders>
            <w:shd w:val="clear" w:color="auto" w:fill="auto"/>
            <w:vAlign w:val="center"/>
          </w:tcPr>
          <w:p w14:paraId="13CBDA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40.2470 </w:t>
            </w:r>
          </w:p>
        </w:tc>
        <w:tc>
          <w:tcPr>
            <w:tcW w:w="1394" w:type="dxa"/>
            <w:tcBorders>
              <w:tl2br w:val="nil"/>
              <w:tr2bl w:val="nil"/>
            </w:tcBorders>
            <w:shd w:val="clear" w:color="auto" w:fill="auto"/>
            <w:vAlign w:val="center"/>
          </w:tcPr>
          <w:p w14:paraId="599EEE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94.8190 </w:t>
            </w:r>
          </w:p>
        </w:tc>
        <w:tc>
          <w:tcPr>
            <w:tcW w:w="1079" w:type="dxa"/>
            <w:tcBorders>
              <w:tl2br w:val="nil"/>
              <w:tr2bl w:val="nil"/>
            </w:tcBorders>
            <w:shd w:val="clear" w:color="auto" w:fill="auto"/>
            <w:vAlign w:val="center"/>
          </w:tcPr>
          <w:p w14:paraId="3C5191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76A3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40.2470 </w:t>
            </w:r>
          </w:p>
        </w:tc>
        <w:tc>
          <w:tcPr>
            <w:tcW w:w="1353" w:type="dxa"/>
            <w:tcBorders>
              <w:tl2br w:val="nil"/>
              <w:tr2bl w:val="nil"/>
            </w:tcBorders>
            <w:shd w:val="clear" w:color="auto" w:fill="auto"/>
            <w:vAlign w:val="center"/>
          </w:tcPr>
          <w:p w14:paraId="30BA32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94.8190 </w:t>
            </w:r>
          </w:p>
        </w:tc>
      </w:tr>
      <w:tr w14:paraId="57D7DC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5A8F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3520 </w:t>
            </w:r>
          </w:p>
        </w:tc>
        <w:tc>
          <w:tcPr>
            <w:tcW w:w="1443" w:type="dxa"/>
            <w:tcBorders>
              <w:tl2br w:val="nil"/>
              <w:tr2bl w:val="nil"/>
            </w:tcBorders>
            <w:shd w:val="clear" w:color="auto" w:fill="auto"/>
            <w:vAlign w:val="center"/>
          </w:tcPr>
          <w:p w14:paraId="67A734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40.3360 </w:t>
            </w:r>
          </w:p>
        </w:tc>
        <w:tc>
          <w:tcPr>
            <w:tcW w:w="1394" w:type="dxa"/>
            <w:tcBorders>
              <w:tl2br w:val="nil"/>
              <w:tr2bl w:val="nil"/>
            </w:tcBorders>
            <w:shd w:val="clear" w:color="auto" w:fill="auto"/>
            <w:vAlign w:val="center"/>
          </w:tcPr>
          <w:p w14:paraId="2251D8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94.3640 </w:t>
            </w:r>
          </w:p>
        </w:tc>
        <w:tc>
          <w:tcPr>
            <w:tcW w:w="1079" w:type="dxa"/>
            <w:tcBorders>
              <w:tl2br w:val="nil"/>
              <w:tr2bl w:val="nil"/>
            </w:tcBorders>
            <w:shd w:val="clear" w:color="auto" w:fill="auto"/>
            <w:vAlign w:val="center"/>
          </w:tcPr>
          <w:p w14:paraId="5BA46A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B914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40.3360 </w:t>
            </w:r>
          </w:p>
        </w:tc>
        <w:tc>
          <w:tcPr>
            <w:tcW w:w="1353" w:type="dxa"/>
            <w:tcBorders>
              <w:tl2br w:val="nil"/>
              <w:tr2bl w:val="nil"/>
            </w:tcBorders>
            <w:shd w:val="clear" w:color="auto" w:fill="auto"/>
            <w:vAlign w:val="center"/>
          </w:tcPr>
          <w:p w14:paraId="41C553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94.3640 </w:t>
            </w:r>
          </w:p>
        </w:tc>
      </w:tr>
      <w:tr w14:paraId="2BBDEF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ECE3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3530 </w:t>
            </w:r>
          </w:p>
        </w:tc>
        <w:tc>
          <w:tcPr>
            <w:tcW w:w="1443" w:type="dxa"/>
            <w:tcBorders>
              <w:tl2br w:val="nil"/>
              <w:tr2bl w:val="nil"/>
            </w:tcBorders>
            <w:shd w:val="clear" w:color="auto" w:fill="auto"/>
            <w:vAlign w:val="center"/>
          </w:tcPr>
          <w:p w14:paraId="4CD191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40.4250 </w:t>
            </w:r>
          </w:p>
        </w:tc>
        <w:tc>
          <w:tcPr>
            <w:tcW w:w="1394" w:type="dxa"/>
            <w:tcBorders>
              <w:tl2br w:val="nil"/>
              <w:tr2bl w:val="nil"/>
            </w:tcBorders>
            <w:shd w:val="clear" w:color="auto" w:fill="auto"/>
            <w:vAlign w:val="center"/>
          </w:tcPr>
          <w:p w14:paraId="04C5EF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93.9130 </w:t>
            </w:r>
          </w:p>
        </w:tc>
        <w:tc>
          <w:tcPr>
            <w:tcW w:w="1079" w:type="dxa"/>
            <w:tcBorders>
              <w:tl2br w:val="nil"/>
              <w:tr2bl w:val="nil"/>
            </w:tcBorders>
            <w:shd w:val="clear" w:color="auto" w:fill="auto"/>
            <w:vAlign w:val="center"/>
          </w:tcPr>
          <w:p w14:paraId="473CF0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C2B1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40.4250 </w:t>
            </w:r>
          </w:p>
        </w:tc>
        <w:tc>
          <w:tcPr>
            <w:tcW w:w="1353" w:type="dxa"/>
            <w:tcBorders>
              <w:tl2br w:val="nil"/>
              <w:tr2bl w:val="nil"/>
            </w:tcBorders>
            <w:shd w:val="clear" w:color="auto" w:fill="auto"/>
            <w:vAlign w:val="center"/>
          </w:tcPr>
          <w:p w14:paraId="7F7FD2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93.9130 </w:t>
            </w:r>
          </w:p>
        </w:tc>
      </w:tr>
      <w:tr w14:paraId="592A8E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524B1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3540 </w:t>
            </w:r>
          </w:p>
        </w:tc>
        <w:tc>
          <w:tcPr>
            <w:tcW w:w="1443" w:type="dxa"/>
            <w:tcBorders>
              <w:tl2br w:val="nil"/>
              <w:tr2bl w:val="nil"/>
            </w:tcBorders>
            <w:shd w:val="clear" w:color="auto" w:fill="auto"/>
            <w:vAlign w:val="center"/>
          </w:tcPr>
          <w:p w14:paraId="52E243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40.5130 </w:t>
            </w:r>
          </w:p>
        </w:tc>
        <w:tc>
          <w:tcPr>
            <w:tcW w:w="1394" w:type="dxa"/>
            <w:tcBorders>
              <w:tl2br w:val="nil"/>
              <w:tr2bl w:val="nil"/>
            </w:tcBorders>
            <w:shd w:val="clear" w:color="auto" w:fill="auto"/>
            <w:vAlign w:val="center"/>
          </w:tcPr>
          <w:p w14:paraId="15E85E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93.4650 </w:t>
            </w:r>
          </w:p>
        </w:tc>
        <w:tc>
          <w:tcPr>
            <w:tcW w:w="1079" w:type="dxa"/>
            <w:tcBorders>
              <w:tl2br w:val="nil"/>
              <w:tr2bl w:val="nil"/>
            </w:tcBorders>
            <w:shd w:val="clear" w:color="auto" w:fill="auto"/>
            <w:vAlign w:val="center"/>
          </w:tcPr>
          <w:p w14:paraId="00768A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40972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40.5130 </w:t>
            </w:r>
          </w:p>
        </w:tc>
        <w:tc>
          <w:tcPr>
            <w:tcW w:w="1353" w:type="dxa"/>
            <w:tcBorders>
              <w:tl2br w:val="nil"/>
              <w:tr2bl w:val="nil"/>
            </w:tcBorders>
            <w:shd w:val="clear" w:color="auto" w:fill="auto"/>
            <w:vAlign w:val="center"/>
          </w:tcPr>
          <w:p w14:paraId="2D3478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93.4650 </w:t>
            </w:r>
          </w:p>
        </w:tc>
      </w:tr>
      <w:tr w14:paraId="134BC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8AD06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3550 </w:t>
            </w:r>
          </w:p>
        </w:tc>
        <w:tc>
          <w:tcPr>
            <w:tcW w:w="1443" w:type="dxa"/>
            <w:tcBorders>
              <w:tl2br w:val="nil"/>
              <w:tr2bl w:val="nil"/>
            </w:tcBorders>
            <w:shd w:val="clear" w:color="auto" w:fill="auto"/>
            <w:vAlign w:val="center"/>
          </w:tcPr>
          <w:p w14:paraId="26C8EF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40.6020 </w:t>
            </w:r>
          </w:p>
        </w:tc>
        <w:tc>
          <w:tcPr>
            <w:tcW w:w="1394" w:type="dxa"/>
            <w:tcBorders>
              <w:tl2br w:val="nil"/>
              <w:tr2bl w:val="nil"/>
            </w:tcBorders>
            <w:shd w:val="clear" w:color="auto" w:fill="auto"/>
            <w:vAlign w:val="center"/>
          </w:tcPr>
          <w:p w14:paraId="3AD423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93.0200 </w:t>
            </w:r>
          </w:p>
        </w:tc>
        <w:tc>
          <w:tcPr>
            <w:tcW w:w="1079" w:type="dxa"/>
            <w:tcBorders>
              <w:tl2br w:val="nil"/>
              <w:tr2bl w:val="nil"/>
            </w:tcBorders>
            <w:shd w:val="clear" w:color="auto" w:fill="auto"/>
            <w:vAlign w:val="center"/>
          </w:tcPr>
          <w:p w14:paraId="36635D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A9391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40.6020 </w:t>
            </w:r>
          </w:p>
        </w:tc>
        <w:tc>
          <w:tcPr>
            <w:tcW w:w="1353" w:type="dxa"/>
            <w:tcBorders>
              <w:tl2br w:val="nil"/>
              <w:tr2bl w:val="nil"/>
            </w:tcBorders>
            <w:shd w:val="clear" w:color="auto" w:fill="auto"/>
            <w:vAlign w:val="center"/>
          </w:tcPr>
          <w:p w14:paraId="0A3C0B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93.0200 </w:t>
            </w:r>
          </w:p>
        </w:tc>
      </w:tr>
      <w:tr w14:paraId="52179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670D0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3560 </w:t>
            </w:r>
          </w:p>
        </w:tc>
        <w:tc>
          <w:tcPr>
            <w:tcW w:w="1443" w:type="dxa"/>
            <w:tcBorders>
              <w:tl2br w:val="nil"/>
              <w:tr2bl w:val="nil"/>
            </w:tcBorders>
            <w:shd w:val="clear" w:color="auto" w:fill="auto"/>
            <w:vAlign w:val="center"/>
          </w:tcPr>
          <w:p w14:paraId="4B1764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40.6900 </w:t>
            </w:r>
          </w:p>
        </w:tc>
        <w:tc>
          <w:tcPr>
            <w:tcW w:w="1394" w:type="dxa"/>
            <w:tcBorders>
              <w:tl2br w:val="nil"/>
              <w:tr2bl w:val="nil"/>
            </w:tcBorders>
            <w:shd w:val="clear" w:color="auto" w:fill="auto"/>
            <w:vAlign w:val="center"/>
          </w:tcPr>
          <w:p w14:paraId="63013C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92.5780 </w:t>
            </w:r>
          </w:p>
        </w:tc>
        <w:tc>
          <w:tcPr>
            <w:tcW w:w="1079" w:type="dxa"/>
            <w:tcBorders>
              <w:tl2br w:val="nil"/>
              <w:tr2bl w:val="nil"/>
            </w:tcBorders>
            <w:shd w:val="clear" w:color="auto" w:fill="auto"/>
            <w:vAlign w:val="center"/>
          </w:tcPr>
          <w:p w14:paraId="15C44C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008AB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40.6900 </w:t>
            </w:r>
          </w:p>
        </w:tc>
        <w:tc>
          <w:tcPr>
            <w:tcW w:w="1353" w:type="dxa"/>
            <w:tcBorders>
              <w:tl2br w:val="nil"/>
              <w:tr2bl w:val="nil"/>
            </w:tcBorders>
            <w:shd w:val="clear" w:color="auto" w:fill="auto"/>
            <w:vAlign w:val="center"/>
          </w:tcPr>
          <w:p w14:paraId="178B29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92.5780 </w:t>
            </w:r>
          </w:p>
        </w:tc>
      </w:tr>
      <w:tr w14:paraId="6E1EB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28444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3570 </w:t>
            </w:r>
          </w:p>
        </w:tc>
        <w:tc>
          <w:tcPr>
            <w:tcW w:w="1443" w:type="dxa"/>
            <w:tcBorders>
              <w:tl2br w:val="nil"/>
              <w:tr2bl w:val="nil"/>
            </w:tcBorders>
            <w:shd w:val="clear" w:color="auto" w:fill="auto"/>
            <w:vAlign w:val="center"/>
          </w:tcPr>
          <w:p w14:paraId="7BCAD4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40.7790 </w:t>
            </w:r>
          </w:p>
        </w:tc>
        <w:tc>
          <w:tcPr>
            <w:tcW w:w="1394" w:type="dxa"/>
            <w:tcBorders>
              <w:tl2br w:val="nil"/>
              <w:tr2bl w:val="nil"/>
            </w:tcBorders>
            <w:shd w:val="clear" w:color="auto" w:fill="auto"/>
            <w:vAlign w:val="center"/>
          </w:tcPr>
          <w:p w14:paraId="3D1B99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92.1390 </w:t>
            </w:r>
          </w:p>
        </w:tc>
        <w:tc>
          <w:tcPr>
            <w:tcW w:w="1079" w:type="dxa"/>
            <w:tcBorders>
              <w:tl2br w:val="nil"/>
              <w:tr2bl w:val="nil"/>
            </w:tcBorders>
            <w:shd w:val="clear" w:color="auto" w:fill="auto"/>
            <w:vAlign w:val="center"/>
          </w:tcPr>
          <w:p w14:paraId="364BEA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B837A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40.7790 </w:t>
            </w:r>
          </w:p>
        </w:tc>
        <w:tc>
          <w:tcPr>
            <w:tcW w:w="1353" w:type="dxa"/>
            <w:tcBorders>
              <w:tl2br w:val="nil"/>
              <w:tr2bl w:val="nil"/>
            </w:tcBorders>
            <w:shd w:val="clear" w:color="auto" w:fill="auto"/>
            <w:vAlign w:val="center"/>
          </w:tcPr>
          <w:p w14:paraId="0EE28D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92.1390 </w:t>
            </w:r>
          </w:p>
        </w:tc>
      </w:tr>
      <w:tr w14:paraId="4DD315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918B6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3580 </w:t>
            </w:r>
          </w:p>
        </w:tc>
        <w:tc>
          <w:tcPr>
            <w:tcW w:w="1443" w:type="dxa"/>
            <w:tcBorders>
              <w:tl2br w:val="nil"/>
              <w:tr2bl w:val="nil"/>
            </w:tcBorders>
            <w:shd w:val="clear" w:color="auto" w:fill="auto"/>
            <w:vAlign w:val="center"/>
          </w:tcPr>
          <w:p w14:paraId="2BF5CB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40.8670 </w:t>
            </w:r>
          </w:p>
        </w:tc>
        <w:tc>
          <w:tcPr>
            <w:tcW w:w="1394" w:type="dxa"/>
            <w:tcBorders>
              <w:tl2br w:val="nil"/>
              <w:tr2bl w:val="nil"/>
            </w:tcBorders>
            <w:shd w:val="clear" w:color="auto" w:fill="auto"/>
            <w:vAlign w:val="center"/>
          </w:tcPr>
          <w:p w14:paraId="7FB14C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91.7040 </w:t>
            </w:r>
          </w:p>
        </w:tc>
        <w:tc>
          <w:tcPr>
            <w:tcW w:w="1079" w:type="dxa"/>
            <w:tcBorders>
              <w:tl2br w:val="nil"/>
              <w:tr2bl w:val="nil"/>
            </w:tcBorders>
            <w:shd w:val="clear" w:color="auto" w:fill="auto"/>
            <w:vAlign w:val="center"/>
          </w:tcPr>
          <w:p w14:paraId="628771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26A97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40.8670 </w:t>
            </w:r>
          </w:p>
        </w:tc>
        <w:tc>
          <w:tcPr>
            <w:tcW w:w="1353" w:type="dxa"/>
            <w:tcBorders>
              <w:tl2br w:val="nil"/>
              <w:tr2bl w:val="nil"/>
            </w:tcBorders>
            <w:shd w:val="clear" w:color="auto" w:fill="auto"/>
            <w:vAlign w:val="center"/>
          </w:tcPr>
          <w:p w14:paraId="1837A5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91.7040 </w:t>
            </w:r>
          </w:p>
        </w:tc>
      </w:tr>
      <w:tr w14:paraId="2E169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D5954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3590 </w:t>
            </w:r>
          </w:p>
        </w:tc>
        <w:tc>
          <w:tcPr>
            <w:tcW w:w="1443" w:type="dxa"/>
            <w:tcBorders>
              <w:tl2br w:val="nil"/>
              <w:tr2bl w:val="nil"/>
            </w:tcBorders>
            <w:shd w:val="clear" w:color="auto" w:fill="auto"/>
            <w:vAlign w:val="center"/>
          </w:tcPr>
          <w:p w14:paraId="36677A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40.9550 </w:t>
            </w:r>
          </w:p>
        </w:tc>
        <w:tc>
          <w:tcPr>
            <w:tcW w:w="1394" w:type="dxa"/>
            <w:tcBorders>
              <w:tl2br w:val="nil"/>
              <w:tr2bl w:val="nil"/>
            </w:tcBorders>
            <w:shd w:val="clear" w:color="auto" w:fill="auto"/>
            <w:vAlign w:val="center"/>
          </w:tcPr>
          <w:p w14:paraId="6D251A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91.2710 </w:t>
            </w:r>
          </w:p>
        </w:tc>
        <w:tc>
          <w:tcPr>
            <w:tcW w:w="1079" w:type="dxa"/>
            <w:tcBorders>
              <w:tl2br w:val="nil"/>
              <w:tr2bl w:val="nil"/>
            </w:tcBorders>
            <w:shd w:val="clear" w:color="auto" w:fill="auto"/>
            <w:vAlign w:val="center"/>
          </w:tcPr>
          <w:p w14:paraId="555331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71C85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40.9550 </w:t>
            </w:r>
          </w:p>
        </w:tc>
        <w:tc>
          <w:tcPr>
            <w:tcW w:w="1353" w:type="dxa"/>
            <w:tcBorders>
              <w:tl2br w:val="nil"/>
              <w:tr2bl w:val="nil"/>
            </w:tcBorders>
            <w:shd w:val="clear" w:color="auto" w:fill="auto"/>
            <w:vAlign w:val="center"/>
          </w:tcPr>
          <w:p w14:paraId="1EAB9D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91.2710 </w:t>
            </w:r>
          </w:p>
        </w:tc>
      </w:tr>
      <w:tr w14:paraId="52237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FCB71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3600 </w:t>
            </w:r>
          </w:p>
        </w:tc>
        <w:tc>
          <w:tcPr>
            <w:tcW w:w="1443" w:type="dxa"/>
            <w:tcBorders>
              <w:tl2br w:val="nil"/>
              <w:tr2bl w:val="nil"/>
            </w:tcBorders>
            <w:shd w:val="clear" w:color="auto" w:fill="auto"/>
            <w:vAlign w:val="center"/>
          </w:tcPr>
          <w:p w14:paraId="5E81F2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41.0440 </w:t>
            </w:r>
          </w:p>
        </w:tc>
        <w:tc>
          <w:tcPr>
            <w:tcW w:w="1394" w:type="dxa"/>
            <w:tcBorders>
              <w:tl2br w:val="nil"/>
              <w:tr2bl w:val="nil"/>
            </w:tcBorders>
            <w:shd w:val="clear" w:color="auto" w:fill="auto"/>
            <w:vAlign w:val="center"/>
          </w:tcPr>
          <w:p w14:paraId="1E9ADF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90.8420 </w:t>
            </w:r>
          </w:p>
        </w:tc>
        <w:tc>
          <w:tcPr>
            <w:tcW w:w="1079" w:type="dxa"/>
            <w:tcBorders>
              <w:tl2br w:val="nil"/>
              <w:tr2bl w:val="nil"/>
            </w:tcBorders>
            <w:shd w:val="clear" w:color="auto" w:fill="auto"/>
            <w:vAlign w:val="center"/>
          </w:tcPr>
          <w:p w14:paraId="60F6A0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36591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41.0440 </w:t>
            </w:r>
          </w:p>
        </w:tc>
        <w:tc>
          <w:tcPr>
            <w:tcW w:w="1353" w:type="dxa"/>
            <w:tcBorders>
              <w:tl2br w:val="nil"/>
              <w:tr2bl w:val="nil"/>
            </w:tcBorders>
            <w:shd w:val="clear" w:color="auto" w:fill="auto"/>
            <w:vAlign w:val="center"/>
          </w:tcPr>
          <w:p w14:paraId="203521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90.8420 </w:t>
            </w:r>
          </w:p>
        </w:tc>
      </w:tr>
      <w:tr w14:paraId="06ADA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E203B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3610 </w:t>
            </w:r>
          </w:p>
        </w:tc>
        <w:tc>
          <w:tcPr>
            <w:tcW w:w="1443" w:type="dxa"/>
            <w:tcBorders>
              <w:tl2br w:val="nil"/>
              <w:tr2bl w:val="nil"/>
            </w:tcBorders>
            <w:shd w:val="clear" w:color="auto" w:fill="auto"/>
            <w:vAlign w:val="center"/>
          </w:tcPr>
          <w:p w14:paraId="2EED0E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41.1320 </w:t>
            </w:r>
          </w:p>
        </w:tc>
        <w:tc>
          <w:tcPr>
            <w:tcW w:w="1394" w:type="dxa"/>
            <w:tcBorders>
              <w:tl2br w:val="nil"/>
              <w:tr2bl w:val="nil"/>
            </w:tcBorders>
            <w:shd w:val="clear" w:color="auto" w:fill="auto"/>
            <w:vAlign w:val="center"/>
          </w:tcPr>
          <w:p w14:paraId="4BA9BC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90.4150 </w:t>
            </w:r>
          </w:p>
        </w:tc>
        <w:tc>
          <w:tcPr>
            <w:tcW w:w="1079" w:type="dxa"/>
            <w:tcBorders>
              <w:tl2br w:val="nil"/>
              <w:tr2bl w:val="nil"/>
            </w:tcBorders>
            <w:shd w:val="clear" w:color="auto" w:fill="auto"/>
            <w:vAlign w:val="center"/>
          </w:tcPr>
          <w:p w14:paraId="0D612E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39D032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41.1320 </w:t>
            </w:r>
          </w:p>
        </w:tc>
        <w:tc>
          <w:tcPr>
            <w:tcW w:w="1353" w:type="dxa"/>
            <w:tcBorders>
              <w:tl2br w:val="nil"/>
              <w:tr2bl w:val="nil"/>
            </w:tcBorders>
            <w:shd w:val="clear" w:color="auto" w:fill="auto"/>
            <w:vAlign w:val="center"/>
          </w:tcPr>
          <w:p w14:paraId="74E8E6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90.4150 </w:t>
            </w:r>
          </w:p>
        </w:tc>
      </w:tr>
      <w:tr w14:paraId="5BFD5A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CF781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3620 </w:t>
            </w:r>
          </w:p>
        </w:tc>
        <w:tc>
          <w:tcPr>
            <w:tcW w:w="1443" w:type="dxa"/>
            <w:tcBorders>
              <w:tl2br w:val="nil"/>
              <w:tr2bl w:val="nil"/>
            </w:tcBorders>
            <w:shd w:val="clear" w:color="auto" w:fill="auto"/>
            <w:vAlign w:val="center"/>
          </w:tcPr>
          <w:p w14:paraId="253B02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41.2200 </w:t>
            </w:r>
          </w:p>
        </w:tc>
        <w:tc>
          <w:tcPr>
            <w:tcW w:w="1394" w:type="dxa"/>
            <w:tcBorders>
              <w:tl2br w:val="nil"/>
              <w:tr2bl w:val="nil"/>
            </w:tcBorders>
            <w:shd w:val="clear" w:color="auto" w:fill="auto"/>
            <w:vAlign w:val="center"/>
          </w:tcPr>
          <w:p w14:paraId="316546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89.9920 </w:t>
            </w:r>
          </w:p>
        </w:tc>
        <w:tc>
          <w:tcPr>
            <w:tcW w:w="1079" w:type="dxa"/>
            <w:tcBorders>
              <w:tl2br w:val="nil"/>
              <w:tr2bl w:val="nil"/>
            </w:tcBorders>
            <w:shd w:val="clear" w:color="auto" w:fill="auto"/>
            <w:vAlign w:val="center"/>
          </w:tcPr>
          <w:p w14:paraId="4E921E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2CBCD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41.2200 </w:t>
            </w:r>
          </w:p>
        </w:tc>
        <w:tc>
          <w:tcPr>
            <w:tcW w:w="1353" w:type="dxa"/>
            <w:tcBorders>
              <w:tl2br w:val="nil"/>
              <w:tr2bl w:val="nil"/>
            </w:tcBorders>
            <w:shd w:val="clear" w:color="auto" w:fill="auto"/>
            <w:vAlign w:val="center"/>
          </w:tcPr>
          <w:p w14:paraId="4FB775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89.9920 </w:t>
            </w:r>
          </w:p>
        </w:tc>
      </w:tr>
      <w:tr w14:paraId="421B5C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84FE8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3630 </w:t>
            </w:r>
          </w:p>
        </w:tc>
        <w:tc>
          <w:tcPr>
            <w:tcW w:w="1443" w:type="dxa"/>
            <w:tcBorders>
              <w:tl2br w:val="nil"/>
              <w:tr2bl w:val="nil"/>
            </w:tcBorders>
            <w:shd w:val="clear" w:color="auto" w:fill="auto"/>
            <w:vAlign w:val="center"/>
          </w:tcPr>
          <w:p w14:paraId="61AD60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41.3080 </w:t>
            </w:r>
          </w:p>
        </w:tc>
        <w:tc>
          <w:tcPr>
            <w:tcW w:w="1394" w:type="dxa"/>
            <w:tcBorders>
              <w:tl2br w:val="nil"/>
              <w:tr2bl w:val="nil"/>
            </w:tcBorders>
            <w:shd w:val="clear" w:color="auto" w:fill="auto"/>
            <w:vAlign w:val="center"/>
          </w:tcPr>
          <w:p w14:paraId="1C337A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89.5720 </w:t>
            </w:r>
          </w:p>
        </w:tc>
        <w:tc>
          <w:tcPr>
            <w:tcW w:w="1079" w:type="dxa"/>
            <w:tcBorders>
              <w:tl2br w:val="nil"/>
              <w:tr2bl w:val="nil"/>
            </w:tcBorders>
            <w:shd w:val="clear" w:color="auto" w:fill="auto"/>
            <w:vAlign w:val="center"/>
          </w:tcPr>
          <w:p w14:paraId="353CEA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5CB57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41.3080 </w:t>
            </w:r>
          </w:p>
        </w:tc>
        <w:tc>
          <w:tcPr>
            <w:tcW w:w="1353" w:type="dxa"/>
            <w:tcBorders>
              <w:tl2br w:val="nil"/>
              <w:tr2bl w:val="nil"/>
            </w:tcBorders>
            <w:shd w:val="clear" w:color="auto" w:fill="auto"/>
            <w:vAlign w:val="center"/>
          </w:tcPr>
          <w:p w14:paraId="517447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89.5720 </w:t>
            </w:r>
          </w:p>
        </w:tc>
      </w:tr>
      <w:tr w14:paraId="353A58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260753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3640 </w:t>
            </w:r>
          </w:p>
        </w:tc>
        <w:tc>
          <w:tcPr>
            <w:tcW w:w="1443" w:type="dxa"/>
            <w:tcBorders>
              <w:tl2br w:val="nil"/>
              <w:tr2bl w:val="nil"/>
            </w:tcBorders>
            <w:shd w:val="clear" w:color="auto" w:fill="auto"/>
            <w:vAlign w:val="center"/>
          </w:tcPr>
          <w:p w14:paraId="27C071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41.3960 </w:t>
            </w:r>
          </w:p>
        </w:tc>
        <w:tc>
          <w:tcPr>
            <w:tcW w:w="1394" w:type="dxa"/>
            <w:tcBorders>
              <w:tl2br w:val="nil"/>
              <w:tr2bl w:val="nil"/>
            </w:tcBorders>
            <w:shd w:val="clear" w:color="auto" w:fill="auto"/>
            <w:vAlign w:val="center"/>
          </w:tcPr>
          <w:p w14:paraId="42C0D1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89.1540 </w:t>
            </w:r>
          </w:p>
        </w:tc>
        <w:tc>
          <w:tcPr>
            <w:tcW w:w="1079" w:type="dxa"/>
            <w:tcBorders>
              <w:tl2br w:val="nil"/>
              <w:tr2bl w:val="nil"/>
            </w:tcBorders>
            <w:shd w:val="clear" w:color="auto" w:fill="auto"/>
            <w:vAlign w:val="center"/>
          </w:tcPr>
          <w:p w14:paraId="009652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E97A3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41.3960 </w:t>
            </w:r>
          </w:p>
        </w:tc>
        <w:tc>
          <w:tcPr>
            <w:tcW w:w="1353" w:type="dxa"/>
            <w:tcBorders>
              <w:tl2br w:val="nil"/>
              <w:tr2bl w:val="nil"/>
            </w:tcBorders>
            <w:shd w:val="clear" w:color="auto" w:fill="auto"/>
            <w:vAlign w:val="center"/>
          </w:tcPr>
          <w:p w14:paraId="6C92A5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89.1540 </w:t>
            </w:r>
          </w:p>
        </w:tc>
      </w:tr>
      <w:tr w14:paraId="172FAC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BCFA3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3650 </w:t>
            </w:r>
          </w:p>
        </w:tc>
        <w:tc>
          <w:tcPr>
            <w:tcW w:w="1443" w:type="dxa"/>
            <w:tcBorders>
              <w:tl2br w:val="nil"/>
              <w:tr2bl w:val="nil"/>
            </w:tcBorders>
            <w:shd w:val="clear" w:color="auto" w:fill="auto"/>
            <w:vAlign w:val="center"/>
          </w:tcPr>
          <w:p w14:paraId="5DF3CB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41.4840 </w:t>
            </w:r>
          </w:p>
        </w:tc>
        <w:tc>
          <w:tcPr>
            <w:tcW w:w="1394" w:type="dxa"/>
            <w:tcBorders>
              <w:tl2br w:val="nil"/>
              <w:tr2bl w:val="nil"/>
            </w:tcBorders>
            <w:shd w:val="clear" w:color="auto" w:fill="auto"/>
            <w:vAlign w:val="center"/>
          </w:tcPr>
          <w:p w14:paraId="407C57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88.7400 </w:t>
            </w:r>
          </w:p>
        </w:tc>
        <w:tc>
          <w:tcPr>
            <w:tcW w:w="1079" w:type="dxa"/>
            <w:tcBorders>
              <w:tl2br w:val="nil"/>
              <w:tr2bl w:val="nil"/>
            </w:tcBorders>
            <w:shd w:val="clear" w:color="auto" w:fill="auto"/>
            <w:vAlign w:val="center"/>
          </w:tcPr>
          <w:p w14:paraId="09893E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C1D5D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41.4840 </w:t>
            </w:r>
          </w:p>
        </w:tc>
        <w:tc>
          <w:tcPr>
            <w:tcW w:w="1353" w:type="dxa"/>
            <w:tcBorders>
              <w:tl2br w:val="nil"/>
              <w:tr2bl w:val="nil"/>
            </w:tcBorders>
            <w:shd w:val="clear" w:color="auto" w:fill="auto"/>
            <w:vAlign w:val="center"/>
          </w:tcPr>
          <w:p w14:paraId="2C01A4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88.7400 </w:t>
            </w:r>
          </w:p>
        </w:tc>
      </w:tr>
      <w:tr w14:paraId="296FBD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E95F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3660 </w:t>
            </w:r>
          </w:p>
        </w:tc>
        <w:tc>
          <w:tcPr>
            <w:tcW w:w="1443" w:type="dxa"/>
            <w:tcBorders>
              <w:tl2br w:val="nil"/>
              <w:tr2bl w:val="nil"/>
            </w:tcBorders>
            <w:shd w:val="clear" w:color="auto" w:fill="auto"/>
            <w:vAlign w:val="center"/>
          </w:tcPr>
          <w:p w14:paraId="0F1B8A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41.5720 </w:t>
            </w:r>
          </w:p>
        </w:tc>
        <w:tc>
          <w:tcPr>
            <w:tcW w:w="1394" w:type="dxa"/>
            <w:tcBorders>
              <w:tl2br w:val="nil"/>
              <w:tr2bl w:val="nil"/>
            </w:tcBorders>
            <w:shd w:val="clear" w:color="auto" w:fill="auto"/>
            <w:vAlign w:val="center"/>
          </w:tcPr>
          <w:p w14:paraId="394896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88.3290 </w:t>
            </w:r>
          </w:p>
        </w:tc>
        <w:tc>
          <w:tcPr>
            <w:tcW w:w="1079" w:type="dxa"/>
            <w:tcBorders>
              <w:tl2br w:val="nil"/>
              <w:tr2bl w:val="nil"/>
            </w:tcBorders>
            <w:shd w:val="clear" w:color="auto" w:fill="auto"/>
            <w:vAlign w:val="center"/>
          </w:tcPr>
          <w:p w14:paraId="47C2EE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5F0F8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41.5720 </w:t>
            </w:r>
          </w:p>
        </w:tc>
        <w:tc>
          <w:tcPr>
            <w:tcW w:w="1353" w:type="dxa"/>
            <w:tcBorders>
              <w:tl2br w:val="nil"/>
              <w:tr2bl w:val="nil"/>
            </w:tcBorders>
            <w:shd w:val="clear" w:color="auto" w:fill="auto"/>
            <w:vAlign w:val="center"/>
          </w:tcPr>
          <w:p w14:paraId="088863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88.3290 </w:t>
            </w:r>
          </w:p>
        </w:tc>
      </w:tr>
      <w:tr w14:paraId="29A384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F9F8F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3670 </w:t>
            </w:r>
          </w:p>
        </w:tc>
        <w:tc>
          <w:tcPr>
            <w:tcW w:w="1443" w:type="dxa"/>
            <w:tcBorders>
              <w:tl2br w:val="nil"/>
              <w:tr2bl w:val="nil"/>
            </w:tcBorders>
            <w:shd w:val="clear" w:color="auto" w:fill="auto"/>
            <w:vAlign w:val="center"/>
          </w:tcPr>
          <w:p w14:paraId="33E4D5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41.6600 </w:t>
            </w:r>
          </w:p>
        </w:tc>
        <w:tc>
          <w:tcPr>
            <w:tcW w:w="1394" w:type="dxa"/>
            <w:tcBorders>
              <w:tl2br w:val="nil"/>
              <w:tr2bl w:val="nil"/>
            </w:tcBorders>
            <w:shd w:val="clear" w:color="auto" w:fill="auto"/>
            <w:vAlign w:val="center"/>
          </w:tcPr>
          <w:p w14:paraId="7AF676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87.9200 </w:t>
            </w:r>
          </w:p>
        </w:tc>
        <w:tc>
          <w:tcPr>
            <w:tcW w:w="1079" w:type="dxa"/>
            <w:tcBorders>
              <w:tl2br w:val="nil"/>
              <w:tr2bl w:val="nil"/>
            </w:tcBorders>
            <w:shd w:val="clear" w:color="auto" w:fill="auto"/>
            <w:vAlign w:val="center"/>
          </w:tcPr>
          <w:p w14:paraId="050A58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C85C9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41.6600 </w:t>
            </w:r>
          </w:p>
        </w:tc>
        <w:tc>
          <w:tcPr>
            <w:tcW w:w="1353" w:type="dxa"/>
            <w:tcBorders>
              <w:tl2br w:val="nil"/>
              <w:tr2bl w:val="nil"/>
            </w:tcBorders>
            <w:shd w:val="clear" w:color="auto" w:fill="auto"/>
            <w:vAlign w:val="center"/>
          </w:tcPr>
          <w:p w14:paraId="48EDF3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87.9200 </w:t>
            </w:r>
          </w:p>
        </w:tc>
      </w:tr>
      <w:tr w14:paraId="3129F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EFAFF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3680 </w:t>
            </w:r>
          </w:p>
        </w:tc>
        <w:tc>
          <w:tcPr>
            <w:tcW w:w="1443" w:type="dxa"/>
            <w:tcBorders>
              <w:tl2br w:val="nil"/>
              <w:tr2bl w:val="nil"/>
            </w:tcBorders>
            <w:shd w:val="clear" w:color="auto" w:fill="auto"/>
            <w:vAlign w:val="center"/>
          </w:tcPr>
          <w:p w14:paraId="45C693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41.7480 </w:t>
            </w:r>
          </w:p>
        </w:tc>
        <w:tc>
          <w:tcPr>
            <w:tcW w:w="1394" w:type="dxa"/>
            <w:tcBorders>
              <w:tl2br w:val="nil"/>
              <w:tr2bl w:val="nil"/>
            </w:tcBorders>
            <w:shd w:val="clear" w:color="auto" w:fill="auto"/>
            <w:vAlign w:val="center"/>
          </w:tcPr>
          <w:p w14:paraId="4C7FAA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87.5140 </w:t>
            </w:r>
          </w:p>
        </w:tc>
        <w:tc>
          <w:tcPr>
            <w:tcW w:w="1079" w:type="dxa"/>
            <w:tcBorders>
              <w:tl2br w:val="nil"/>
              <w:tr2bl w:val="nil"/>
            </w:tcBorders>
            <w:shd w:val="clear" w:color="auto" w:fill="auto"/>
            <w:vAlign w:val="center"/>
          </w:tcPr>
          <w:p w14:paraId="0BCF4A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28049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41.7480 </w:t>
            </w:r>
          </w:p>
        </w:tc>
        <w:tc>
          <w:tcPr>
            <w:tcW w:w="1353" w:type="dxa"/>
            <w:tcBorders>
              <w:tl2br w:val="nil"/>
              <w:tr2bl w:val="nil"/>
            </w:tcBorders>
            <w:shd w:val="clear" w:color="auto" w:fill="auto"/>
            <w:vAlign w:val="center"/>
          </w:tcPr>
          <w:p w14:paraId="534F7D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87.5140 </w:t>
            </w:r>
          </w:p>
        </w:tc>
      </w:tr>
      <w:tr w14:paraId="582466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EB358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3690 </w:t>
            </w:r>
          </w:p>
        </w:tc>
        <w:tc>
          <w:tcPr>
            <w:tcW w:w="1443" w:type="dxa"/>
            <w:tcBorders>
              <w:tl2br w:val="nil"/>
              <w:tr2bl w:val="nil"/>
            </w:tcBorders>
            <w:shd w:val="clear" w:color="auto" w:fill="auto"/>
            <w:vAlign w:val="center"/>
          </w:tcPr>
          <w:p w14:paraId="5AC143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41.8360 </w:t>
            </w:r>
          </w:p>
        </w:tc>
        <w:tc>
          <w:tcPr>
            <w:tcW w:w="1394" w:type="dxa"/>
            <w:tcBorders>
              <w:tl2br w:val="nil"/>
              <w:tr2bl w:val="nil"/>
            </w:tcBorders>
            <w:shd w:val="clear" w:color="auto" w:fill="auto"/>
            <w:vAlign w:val="center"/>
          </w:tcPr>
          <w:p w14:paraId="26F0A1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87.1110 </w:t>
            </w:r>
          </w:p>
        </w:tc>
        <w:tc>
          <w:tcPr>
            <w:tcW w:w="1079" w:type="dxa"/>
            <w:tcBorders>
              <w:tl2br w:val="nil"/>
              <w:tr2bl w:val="nil"/>
            </w:tcBorders>
            <w:shd w:val="clear" w:color="auto" w:fill="auto"/>
            <w:vAlign w:val="center"/>
          </w:tcPr>
          <w:p w14:paraId="459262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92C9B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41.8360 </w:t>
            </w:r>
          </w:p>
        </w:tc>
        <w:tc>
          <w:tcPr>
            <w:tcW w:w="1353" w:type="dxa"/>
            <w:tcBorders>
              <w:tl2br w:val="nil"/>
              <w:tr2bl w:val="nil"/>
            </w:tcBorders>
            <w:shd w:val="clear" w:color="auto" w:fill="auto"/>
            <w:vAlign w:val="center"/>
          </w:tcPr>
          <w:p w14:paraId="2257D3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87.1110 </w:t>
            </w:r>
          </w:p>
        </w:tc>
      </w:tr>
      <w:tr w14:paraId="03DC69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B5E2D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3700 </w:t>
            </w:r>
          </w:p>
        </w:tc>
        <w:tc>
          <w:tcPr>
            <w:tcW w:w="1443" w:type="dxa"/>
            <w:tcBorders>
              <w:tl2br w:val="nil"/>
              <w:tr2bl w:val="nil"/>
            </w:tcBorders>
            <w:shd w:val="clear" w:color="auto" w:fill="auto"/>
            <w:vAlign w:val="center"/>
          </w:tcPr>
          <w:p w14:paraId="59BB9E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41.9240 </w:t>
            </w:r>
          </w:p>
        </w:tc>
        <w:tc>
          <w:tcPr>
            <w:tcW w:w="1394" w:type="dxa"/>
            <w:tcBorders>
              <w:tl2br w:val="nil"/>
              <w:tr2bl w:val="nil"/>
            </w:tcBorders>
            <w:shd w:val="clear" w:color="auto" w:fill="auto"/>
            <w:vAlign w:val="center"/>
          </w:tcPr>
          <w:p w14:paraId="5725C9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86.7120 </w:t>
            </w:r>
          </w:p>
        </w:tc>
        <w:tc>
          <w:tcPr>
            <w:tcW w:w="1079" w:type="dxa"/>
            <w:tcBorders>
              <w:tl2br w:val="nil"/>
              <w:tr2bl w:val="nil"/>
            </w:tcBorders>
            <w:shd w:val="clear" w:color="auto" w:fill="auto"/>
            <w:vAlign w:val="center"/>
          </w:tcPr>
          <w:p w14:paraId="6B5C67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2491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41.9240 </w:t>
            </w:r>
          </w:p>
        </w:tc>
        <w:tc>
          <w:tcPr>
            <w:tcW w:w="1353" w:type="dxa"/>
            <w:tcBorders>
              <w:tl2br w:val="nil"/>
              <w:tr2bl w:val="nil"/>
            </w:tcBorders>
            <w:shd w:val="clear" w:color="auto" w:fill="auto"/>
            <w:vAlign w:val="center"/>
          </w:tcPr>
          <w:p w14:paraId="4E2CB1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86.7120 </w:t>
            </w:r>
          </w:p>
        </w:tc>
      </w:tr>
      <w:tr w14:paraId="6E20AA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02963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3710 </w:t>
            </w:r>
          </w:p>
        </w:tc>
        <w:tc>
          <w:tcPr>
            <w:tcW w:w="1443" w:type="dxa"/>
            <w:tcBorders>
              <w:tl2br w:val="nil"/>
              <w:tr2bl w:val="nil"/>
            </w:tcBorders>
            <w:shd w:val="clear" w:color="auto" w:fill="auto"/>
            <w:vAlign w:val="center"/>
          </w:tcPr>
          <w:p w14:paraId="5D2CBF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42.0110 </w:t>
            </w:r>
          </w:p>
        </w:tc>
        <w:tc>
          <w:tcPr>
            <w:tcW w:w="1394" w:type="dxa"/>
            <w:tcBorders>
              <w:tl2br w:val="nil"/>
              <w:tr2bl w:val="nil"/>
            </w:tcBorders>
            <w:shd w:val="clear" w:color="auto" w:fill="auto"/>
            <w:vAlign w:val="center"/>
          </w:tcPr>
          <w:p w14:paraId="37A340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86.3140 </w:t>
            </w:r>
          </w:p>
        </w:tc>
        <w:tc>
          <w:tcPr>
            <w:tcW w:w="1079" w:type="dxa"/>
            <w:tcBorders>
              <w:tl2br w:val="nil"/>
              <w:tr2bl w:val="nil"/>
            </w:tcBorders>
            <w:shd w:val="clear" w:color="auto" w:fill="auto"/>
            <w:vAlign w:val="center"/>
          </w:tcPr>
          <w:p w14:paraId="7B2233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2042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42.0110 </w:t>
            </w:r>
          </w:p>
        </w:tc>
        <w:tc>
          <w:tcPr>
            <w:tcW w:w="1353" w:type="dxa"/>
            <w:tcBorders>
              <w:tl2br w:val="nil"/>
              <w:tr2bl w:val="nil"/>
            </w:tcBorders>
            <w:shd w:val="clear" w:color="auto" w:fill="auto"/>
            <w:vAlign w:val="center"/>
          </w:tcPr>
          <w:p w14:paraId="2B0B8F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86.3140 </w:t>
            </w:r>
          </w:p>
        </w:tc>
      </w:tr>
      <w:tr w14:paraId="50A023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ABE2E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3720 </w:t>
            </w:r>
          </w:p>
        </w:tc>
        <w:tc>
          <w:tcPr>
            <w:tcW w:w="1443" w:type="dxa"/>
            <w:tcBorders>
              <w:tl2br w:val="nil"/>
              <w:tr2bl w:val="nil"/>
            </w:tcBorders>
            <w:shd w:val="clear" w:color="auto" w:fill="auto"/>
            <w:vAlign w:val="center"/>
          </w:tcPr>
          <w:p w14:paraId="5F01AC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42.0990 </w:t>
            </w:r>
          </w:p>
        </w:tc>
        <w:tc>
          <w:tcPr>
            <w:tcW w:w="1394" w:type="dxa"/>
            <w:tcBorders>
              <w:tl2br w:val="nil"/>
              <w:tr2bl w:val="nil"/>
            </w:tcBorders>
            <w:shd w:val="clear" w:color="auto" w:fill="auto"/>
            <w:vAlign w:val="center"/>
          </w:tcPr>
          <w:p w14:paraId="51A53C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85.9200 </w:t>
            </w:r>
          </w:p>
        </w:tc>
        <w:tc>
          <w:tcPr>
            <w:tcW w:w="1079" w:type="dxa"/>
            <w:tcBorders>
              <w:tl2br w:val="nil"/>
              <w:tr2bl w:val="nil"/>
            </w:tcBorders>
            <w:shd w:val="clear" w:color="auto" w:fill="auto"/>
            <w:vAlign w:val="center"/>
          </w:tcPr>
          <w:p w14:paraId="5A9AD0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5D4D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42.0990 </w:t>
            </w:r>
          </w:p>
        </w:tc>
        <w:tc>
          <w:tcPr>
            <w:tcW w:w="1353" w:type="dxa"/>
            <w:tcBorders>
              <w:tl2br w:val="nil"/>
              <w:tr2bl w:val="nil"/>
            </w:tcBorders>
            <w:shd w:val="clear" w:color="auto" w:fill="auto"/>
            <w:vAlign w:val="center"/>
          </w:tcPr>
          <w:p w14:paraId="23F159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85.9200 </w:t>
            </w:r>
          </w:p>
        </w:tc>
      </w:tr>
      <w:tr w14:paraId="48856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2A3E4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3730 </w:t>
            </w:r>
          </w:p>
        </w:tc>
        <w:tc>
          <w:tcPr>
            <w:tcW w:w="1443" w:type="dxa"/>
            <w:tcBorders>
              <w:tl2br w:val="nil"/>
              <w:tr2bl w:val="nil"/>
            </w:tcBorders>
            <w:shd w:val="clear" w:color="auto" w:fill="auto"/>
            <w:vAlign w:val="center"/>
          </w:tcPr>
          <w:p w14:paraId="3C22A6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42.1870 </w:t>
            </w:r>
          </w:p>
        </w:tc>
        <w:tc>
          <w:tcPr>
            <w:tcW w:w="1394" w:type="dxa"/>
            <w:tcBorders>
              <w:tl2br w:val="nil"/>
              <w:tr2bl w:val="nil"/>
            </w:tcBorders>
            <w:shd w:val="clear" w:color="auto" w:fill="auto"/>
            <w:vAlign w:val="center"/>
          </w:tcPr>
          <w:p w14:paraId="230D56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85.5280 </w:t>
            </w:r>
          </w:p>
        </w:tc>
        <w:tc>
          <w:tcPr>
            <w:tcW w:w="1079" w:type="dxa"/>
            <w:tcBorders>
              <w:tl2br w:val="nil"/>
              <w:tr2bl w:val="nil"/>
            </w:tcBorders>
            <w:shd w:val="clear" w:color="auto" w:fill="auto"/>
            <w:vAlign w:val="center"/>
          </w:tcPr>
          <w:p w14:paraId="69631A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31269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42.1870 </w:t>
            </w:r>
          </w:p>
        </w:tc>
        <w:tc>
          <w:tcPr>
            <w:tcW w:w="1353" w:type="dxa"/>
            <w:tcBorders>
              <w:tl2br w:val="nil"/>
              <w:tr2bl w:val="nil"/>
            </w:tcBorders>
            <w:shd w:val="clear" w:color="auto" w:fill="auto"/>
            <w:vAlign w:val="center"/>
          </w:tcPr>
          <w:p w14:paraId="17E249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85.5280 </w:t>
            </w:r>
          </w:p>
        </w:tc>
      </w:tr>
      <w:tr w14:paraId="443ED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A4FC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3740 </w:t>
            </w:r>
          </w:p>
        </w:tc>
        <w:tc>
          <w:tcPr>
            <w:tcW w:w="1443" w:type="dxa"/>
            <w:tcBorders>
              <w:tl2br w:val="nil"/>
              <w:tr2bl w:val="nil"/>
            </w:tcBorders>
            <w:shd w:val="clear" w:color="auto" w:fill="auto"/>
            <w:vAlign w:val="center"/>
          </w:tcPr>
          <w:p w14:paraId="320604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42.2740 </w:t>
            </w:r>
          </w:p>
        </w:tc>
        <w:tc>
          <w:tcPr>
            <w:tcW w:w="1394" w:type="dxa"/>
            <w:tcBorders>
              <w:tl2br w:val="nil"/>
              <w:tr2bl w:val="nil"/>
            </w:tcBorders>
            <w:shd w:val="clear" w:color="auto" w:fill="auto"/>
            <w:vAlign w:val="center"/>
          </w:tcPr>
          <w:p w14:paraId="210ED4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85.1400 </w:t>
            </w:r>
          </w:p>
        </w:tc>
        <w:tc>
          <w:tcPr>
            <w:tcW w:w="1079" w:type="dxa"/>
            <w:tcBorders>
              <w:tl2br w:val="nil"/>
              <w:tr2bl w:val="nil"/>
            </w:tcBorders>
            <w:shd w:val="clear" w:color="auto" w:fill="auto"/>
            <w:vAlign w:val="center"/>
          </w:tcPr>
          <w:p w14:paraId="0DB0A1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94C4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42.2740 </w:t>
            </w:r>
          </w:p>
        </w:tc>
        <w:tc>
          <w:tcPr>
            <w:tcW w:w="1353" w:type="dxa"/>
            <w:tcBorders>
              <w:tl2br w:val="nil"/>
              <w:tr2bl w:val="nil"/>
            </w:tcBorders>
            <w:shd w:val="clear" w:color="auto" w:fill="auto"/>
            <w:vAlign w:val="center"/>
          </w:tcPr>
          <w:p w14:paraId="1CBA7A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85.1400 </w:t>
            </w:r>
          </w:p>
        </w:tc>
      </w:tr>
      <w:tr w14:paraId="7D97AF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1EF0E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3750 </w:t>
            </w:r>
          </w:p>
        </w:tc>
        <w:tc>
          <w:tcPr>
            <w:tcW w:w="1443" w:type="dxa"/>
            <w:tcBorders>
              <w:tl2br w:val="nil"/>
              <w:tr2bl w:val="nil"/>
            </w:tcBorders>
            <w:shd w:val="clear" w:color="auto" w:fill="auto"/>
            <w:vAlign w:val="center"/>
          </w:tcPr>
          <w:p w14:paraId="734061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42.3620 </w:t>
            </w:r>
          </w:p>
        </w:tc>
        <w:tc>
          <w:tcPr>
            <w:tcW w:w="1394" w:type="dxa"/>
            <w:tcBorders>
              <w:tl2br w:val="nil"/>
              <w:tr2bl w:val="nil"/>
            </w:tcBorders>
            <w:shd w:val="clear" w:color="auto" w:fill="auto"/>
            <w:vAlign w:val="center"/>
          </w:tcPr>
          <w:p w14:paraId="123CCF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84.7540 </w:t>
            </w:r>
          </w:p>
        </w:tc>
        <w:tc>
          <w:tcPr>
            <w:tcW w:w="1079" w:type="dxa"/>
            <w:tcBorders>
              <w:tl2br w:val="nil"/>
              <w:tr2bl w:val="nil"/>
            </w:tcBorders>
            <w:shd w:val="clear" w:color="auto" w:fill="auto"/>
            <w:vAlign w:val="center"/>
          </w:tcPr>
          <w:p w14:paraId="64B937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BAF4E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42.3620 </w:t>
            </w:r>
          </w:p>
        </w:tc>
        <w:tc>
          <w:tcPr>
            <w:tcW w:w="1353" w:type="dxa"/>
            <w:tcBorders>
              <w:tl2br w:val="nil"/>
              <w:tr2bl w:val="nil"/>
            </w:tcBorders>
            <w:shd w:val="clear" w:color="auto" w:fill="auto"/>
            <w:vAlign w:val="center"/>
          </w:tcPr>
          <w:p w14:paraId="38A00F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84.7540 </w:t>
            </w:r>
          </w:p>
        </w:tc>
      </w:tr>
      <w:tr w14:paraId="233E0F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8A0E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3760 </w:t>
            </w:r>
          </w:p>
        </w:tc>
        <w:tc>
          <w:tcPr>
            <w:tcW w:w="1443" w:type="dxa"/>
            <w:tcBorders>
              <w:tl2br w:val="nil"/>
              <w:tr2bl w:val="nil"/>
            </w:tcBorders>
            <w:shd w:val="clear" w:color="auto" w:fill="auto"/>
            <w:vAlign w:val="center"/>
          </w:tcPr>
          <w:p w14:paraId="0EBEC2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42.4490 </w:t>
            </w:r>
          </w:p>
        </w:tc>
        <w:tc>
          <w:tcPr>
            <w:tcW w:w="1394" w:type="dxa"/>
            <w:tcBorders>
              <w:tl2br w:val="nil"/>
              <w:tr2bl w:val="nil"/>
            </w:tcBorders>
            <w:shd w:val="clear" w:color="auto" w:fill="auto"/>
            <w:vAlign w:val="center"/>
          </w:tcPr>
          <w:p w14:paraId="2CBC69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84.3700 </w:t>
            </w:r>
          </w:p>
        </w:tc>
        <w:tc>
          <w:tcPr>
            <w:tcW w:w="1079" w:type="dxa"/>
            <w:tcBorders>
              <w:tl2br w:val="nil"/>
              <w:tr2bl w:val="nil"/>
            </w:tcBorders>
            <w:shd w:val="clear" w:color="auto" w:fill="auto"/>
            <w:vAlign w:val="center"/>
          </w:tcPr>
          <w:p w14:paraId="6AC499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4880B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42.4490 </w:t>
            </w:r>
          </w:p>
        </w:tc>
        <w:tc>
          <w:tcPr>
            <w:tcW w:w="1353" w:type="dxa"/>
            <w:tcBorders>
              <w:tl2br w:val="nil"/>
              <w:tr2bl w:val="nil"/>
            </w:tcBorders>
            <w:shd w:val="clear" w:color="auto" w:fill="auto"/>
            <w:vAlign w:val="center"/>
          </w:tcPr>
          <w:p w14:paraId="17A2A5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84.3700 </w:t>
            </w:r>
          </w:p>
        </w:tc>
      </w:tr>
      <w:tr w14:paraId="3481E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A5734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3770 </w:t>
            </w:r>
          </w:p>
        </w:tc>
        <w:tc>
          <w:tcPr>
            <w:tcW w:w="1443" w:type="dxa"/>
            <w:tcBorders>
              <w:tl2br w:val="nil"/>
              <w:tr2bl w:val="nil"/>
            </w:tcBorders>
            <w:shd w:val="clear" w:color="auto" w:fill="auto"/>
            <w:vAlign w:val="center"/>
          </w:tcPr>
          <w:p w14:paraId="3F5044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42.5370 </w:t>
            </w:r>
          </w:p>
        </w:tc>
        <w:tc>
          <w:tcPr>
            <w:tcW w:w="1394" w:type="dxa"/>
            <w:tcBorders>
              <w:tl2br w:val="nil"/>
              <w:tr2bl w:val="nil"/>
            </w:tcBorders>
            <w:shd w:val="clear" w:color="auto" w:fill="auto"/>
            <w:vAlign w:val="center"/>
          </w:tcPr>
          <w:p w14:paraId="499C68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83.9900 </w:t>
            </w:r>
          </w:p>
        </w:tc>
        <w:tc>
          <w:tcPr>
            <w:tcW w:w="1079" w:type="dxa"/>
            <w:tcBorders>
              <w:tl2br w:val="nil"/>
              <w:tr2bl w:val="nil"/>
            </w:tcBorders>
            <w:shd w:val="clear" w:color="auto" w:fill="auto"/>
            <w:vAlign w:val="center"/>
          </w:tcPr>
          <w:p w14:paraId="0B483C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C1EC4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42.5370 </w:t>
            </w:r>
          </w:p>
        </w:tc>
        <w:tc>
          <w:tcPr>
            <w:tcW w:w="1353" w:type="dxa"/>
            <w:tcBorders>
              <w:tl2br w:val="nil"/>
              <w:tr2bl w:val="nil"/>
            </w:tcBorders>
            <w:shd w:val="clear" w:color="auto" w:fill="auto"/>
            <w:vAlign w:val="center"/>
          </w:tcPr>
          <w:p w14:paraId="66166B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83.9900 </w:t>
            </w:r>
          </w:p>
        </w:tc>
      </w:tr>
      <w:tr w14:paraId="2141F9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4CC35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3780 </w:t>
            </w:r>
          </w:p>
        </w:tc>
        <w:tc>
          <w:tcPr>
            <w:tcW w:w="1443" w:type="dxa"/>
            <w:tcBorders>
              <w:tl2br w:val="nil"/>
              <w:tr2bl w:val="nil"/>
            </w:tcBorders>
            <w:shd w:val="clear" w:color="auto" w:fill="auto"/>
            <w:vAlign w:val="center"/>
          </w:tcPr>
          <w:p w14:paraId="2146D8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42.6240 </w:t>
            </w:r>
          </w:p>
        </w:tc>
        <w:tc>
          <w:tcPr>
            <w:tcW w:w="1394" w:type="dxa"/>
            <w:tcBorders>
              <w:tl2br w:val="nil"/>
              <w:tr2bl w:val="nil"/>
            </w:tcBorders>
            <w:shd w:val="clear" w:color="auto" w:fill="auto"/>
            <w:vAlign w:val="center"/>
          </w:tcPr>
          <w:p w14:paraId="56FA2E4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83.6120 </w:t>
            </w:r>
          </w:p>
        </w:tc>
        <w:tc>
          <w:tcPr>
            <w:tcW w:w="1079" w:type="dxa"/>
            <w:tcBorders>
              <w:tl2br w:val="nil"/>
              <w:tr2bl w:val="nil"/>
            </w:tcBorders>
            <w:shd w:val="clear" w:color="auto" w:fill="auto"/>
            <w:vAlign w:val="center"/>
          </w:tcPr>
          <w:p w14:paraId="05DCA37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C6E23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42.6240 </w:t>
            </w:r>
          </w:p>
        </w:tc>
        <w:tc>
          <w:tcPr>
            <w:tcW w:w="1353" w:type="dxa"/>
            <w:tcBorders>
              <w:tl2br w:val="nil"/>
              <w:tr2bl w:val="nil"/>
            </w:tcBorders>
            <w:shd w:val="clear" w:color="auto" w:fill="auto"/>
            <w:vAlign w:val="center"/>
          </w:tcPr>
          <w:p w14:paraId="4B3CF7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83.6120 </w:t>
            </w:r>
          </w:p>
        </w:tc>
      </w:tr>
      <w:tr w14:paraId="7F425A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53F38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3790 </w:t>
            </w:r>
          </w:p>
        </w:tc>
        <w:tc>
          <w:tcPr>
            <w:tcW w:w="1443" w:type="dxa"/>
            <w:tcBorders>
              <w:tl2br w:val="nil"/>
              <w:tr2bl w:val="nil"/>
            </w:tcBorders>
            <w:shd w:val="clear" w:color="auto" w:fill="auto"/>
            <w:vAlign w:val="center"/>
          </w:tcPr>
          <w:p w14:paraId="2D578C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42.7120 </w:t>
            </w:r>
          </w:p>
        </w:tc>
        <w:tc>
          <w:tcPr>
            <w:tcW w:w="1394" w:type="dxa"/>
            <w:tcBorders>
              <w:tl2br w:val="nil"/>
              <w:tr2bl w:val="nil"/>
            </w:tcBorders>
            <w:shd w:val="clear" w:color="auto" w:fill="auto"/>
            <w:vAlign w:val="center"/>
          </w:tcPr>
          <w:p w14:paraId="49CA76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83.2360 </w:t>
            </w:r>
          </w:p>
        </w:tc>
        <w:tc>
          <w:tcPr>
            <w:tcW w:w="1079" w:type="dxa"/>
            <w:tcBorders>
              <w:tl2br w:val="nil"/>
              <w:tr2bl w:val="nil"/>
            </w:tcBorders>
            <w:shd w:val="clear" w:color="auto" w:fill="auto"/>
            <w:vAlign w:val="center"/>
          </w:tcPr>
          <w:p w14:paraId="1AD5DB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1364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42.7120 </w:t>
            </w:r>
          </w:p>
        </w:tc>
        <w:tc>
          <w:tcPr>
            <w:tcW w:w="1353" w:type="dxa"/>
            <w:tcBorders>
              <w:tl2br w:val="nil"/>
              <w:tr2bl w:val="nil"/>
            </w:tcBorders>
            <w:shd w:val="clear" w:color="auto" w:fill="auto"/>
            <w:vAlign w:val="center"/>
          </w:tcPr>
          <w:p w14:paraId="5D19C6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83.2360 </w:t>
            </w:r>
          </w:p>
        </w:tc>
      </w:tr>
      <w:tr w14:paraId="28DF4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42D9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3800 </w:t>
            </w:r>
          </w:p>
        </w:tc>
        <w:tc>
          <w:tcPr>
            <w:tcW w:w="1443" w:type="dxa"/>
            <w:tcBorders>
              <w:tl2br w:val="nil"/>
              <w:tr2bl w:val="nil"/>
            </w:tcBorders>
            <w:shd w:val="clear" w:color="auto" w:fill="auto"/>
            <w:vAlign w:val="center"/>
          </w:tcPr>
          <w:p w14:paraId="29C8E7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42.7990 </w:t>
            </w:r>
          </w:p>
        </w:tc>
        <w:tc>
          <w:tcPr>
            <w:tcW w:w="1394" w:type="dxa"/>
            <w:tcBorders>
              <w:tl2br w:val="nil"/>
              <w:tr2bl w:val="nil"/>
            </w:tcBorders>
            <w:shd w:val="clear" w:color="auto" w:fill="auto"/>
            <w:vAlign w:val="center"/>
          </w:tcPr>
          <w:p w14:paraId="09EC77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82.8630 </w:t>
            </w:r>
          </w:p>
        </w:tc>
        <w:tc>
          <w:tcPr>
            <w:tcW w:w="1079" w:type="dxa"/>
            <w:tcBorders>
              <w:tl2br w:val="nil"/>
              <w:tr2bl w:val="nil"/>
            </w:tcBorders>
            <w:shd w:val="clear" w:color="auto" w:fill="auto"/>
            <w:vAlign w:val="center"/>
          </w:tcPr>
          <w:p w14:paraId="375487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553D6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42.7990 </w:t>
            </w:r>
          </w:p>
        </w:tc>
        <w:tc>
          <w:tcPr>
            <w:tcW w:w="1353" w:type="dxa"/>
            <w:tcBorders>
              <w:tl2br w:val="nil"/>
              <w:tr2bl w:val="nil"/>
            </w:tcBorders>
            <w:shd w:val="clear" w:color="auto" w:fill="auto"/>
            <w:vAlign w:val="center"/>
          </w:tcPr>
          <w:p w14:paraId="7F0177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82.8630 </w:t>
            </w:r>
          </w:p>
        </w:tc>
      </w:tr>
      <w:tr w14:paraId="29BEF3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FE2ED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3810 </w:t>
            </w:r>
          </w:p>
        </w:tc>
        <w:tc>
          <w:tcPr>
            <w:tcW w:w="1443" w:type="dxa"/>
            <w:tcBorders>
              <w:tl2br w:val="nil"/>
              <w:tr2bl w:val="nil"/>
            </w:tcBorders>
            <w:shd w:val="clear" w:color="auto" w:fill="auto"/>
            <w:vAlign w:val="center"/>
          </w:tcPr>
          <w:p w14:paraId="3C7629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42.8860 </w:t>
            </w:r>
          </w:p>
        </w:tc>
        <w:tc>
          <w:tcPr>
            <w:tcW w:w="1394" w:type="dxa"/>
            <w:tcBorders>
              <w:tl2br w:val="nil"/>
              <w:tr2bl w:val="nil"/>
            </w:tcBorders>
            <w:shd w:val="clear" w:color="auto" w:fill="auto"/>
            <w:vAlign w:val="center"/>
          </w:tcPr>
          <w:p w14:paraId="78D581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82.4930 </w:t>
            </w:r>
          </w:p>
        </w:tc>
        <w:tc>
          <w:tcPr>
            <w:tcW w:w="1079" w:type="dxa"/>
            <w:tcBorders>
              <w:tl2br w:val="nil"/>
              <w:tr2bl w:val="nil"/>
            </w:tcBorders>
            <w:shd w:val="clear" w:color="auto" w:fill="auto"/>
            <w:vAlign w:val="center"/>
          </w:tcPr>
          <w:p w14:paraId="749701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096DF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42.8860 </w:t>
            </w:r>
          </w:p>
        </w:tc>
        <w:tc>
          <w:tcPr>
            <w:tcW w:w="1353" w:type="dxa"/>
            <w:tcBorders>
              <w:tl2br w:val="nil"/>
              <w:tr2bl w:val="nil"/>
            </w:tcBorders>
            <w:shd w:val="clear" w:color="auto" w:fill="auto"/>
            <w:vAlign w:val="center"/>
          </w:tcPr>
          <w:p w14:paraId="0D97E7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82.4930 </w:t>
            </w:r>
          </w:p>
        </w:tc>
      </w:tr>
      <w:tr w14:paraId="19078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9DC9F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3820 </w:t>
            </w:r>
          </w:p>
        </w:tc>
        <w:tc>
          <w:tcPr>
            <w:tcW w:w="1443" w:type="dxa"/>
            <w:tcBorders>
              <w:tl2br w:val="nil"/>
              <w:tr2bl w:val="nil"/>
            </w:tcBorders>
            <w:shd w:val="clear" w:color="auto" w:fill="auto"/>
            <w:vAlign w:val="center"/>
          </w:tcPr>
          <w:p w14:paraId="307553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42.9730 </w:t>
            </w:r>
          </w:p>
        </w:tc>
        <w:tc>
          <w:tcPr>
            <w:tcW w:w="1394" w:type="dxa"/>
            <w:tcBorders>
              <w:tl2br w:val="nil"/>
              <w:tr2bl w:val="nil"/>
            </w:tcBorders>
            <w:shd w:val="clear" w:color="auto" w:fill="auto"/>
            <w:vAlign w:val="center"/>
          </w:tcPr>
          <w:p w14:paraId="2BA75A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82.1260 </w:t>
            </w:r>
          </w:p>
        </w:tc>
        <w:tc>
          <w:tcPr>
            <w:tcW w:w="1079" w:type="dxa"/>
            <w:tcBorders>
              <w:tl2br w:val="nil"/>
              <w:tr2bl w:val="nil"/>
            </w:tcBorders>
            <w:shd w:val="clear" w:color="auto" w:fill="auto"/>
            <w:vAlign w:val="center"/>
          </w:tcPr>
          <w:p w14:paraId="3C418D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721C2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42.9730 </w:t>
            </w:r>
          </w:p>
        </w:tc>
        <w:tc>
          <w:tcPr>
            <w:tcW w:w="1353" w:type="dxa"/>
            <w:tcBorders>
              <w:tl2br w:val="nil"/>
              <w:tr2bl w:val="nil"/>
            </w:tcBorders>
            <w:shd w:val="clear" w:color="auto" w:fill="auto"/>
            <w:vAlign w:val="center"/>
          </w:tcPr>
          <w:p w14:paraId="6F4927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82.1260 </w:t>
            </w:r>
          </w:p>
        </w:tc>
      </w:tr>
      <w:tr w14:paraId="637C6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E0D6A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3830 </w:t>
            </w:r>
          </w:p>
        </w:tc>
        <w:tc>
          <w:tcPr>
            <w:tcW w:w="1443" w:type="dxa"/>
            <w:tcBorders>
              <w:tl2br w:val="nil"/>
              <w:tr2bl w:val="nil"/>
            </w:tcBorders>
            <w:shd w:val="clear" w:color="auto" w:fill="auto"/>
            <w:vAlign w:val="center"/>
          </w:tcPr>
          <w:p w14:paraId="1CBDAB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43.0610 </w:t>
            </w:r>
          </w:p>
        </w:tc>
        <w:tc>
          <w:tcPr>
            <w:tcW w:w="1394" w:type="dxa"/>
            <w:tcBorders>
              <w:tl2br w:val="nil"/>
              <w:tr2bl w:val="nil"/>
            </w:tcBorders>
            <w:shd w:val="clear" w:color="auto" w:fill="auto"/>
            <w:vAlign w:val="center"/>
          </w:tcPr>
          <w:p w14:paraId="6F1BFD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81.7610 </w:t>
            </w:r>
          </w:p>
        </w:tc>
        <w:tc>
          <w:tcPr>
            <w:tcW w:w="1079" w:type="dxa"/>
            <w:tcBorders>
              <w:tl2br w:val="nil"/>
              <w:tr2bl w:val="nil"/>
            </w:tcBorders>
            <w:shd w:val="clear" w:color="auto" w:fill="auto"/>
            <w:vAlign w:val="center"/>
          </w:tcPr>
          <w:p w14:paraId="30EF98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B0CA1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43.0610 </w:t>
            </w:r>
          </w:p>
        </w:tc>
        <w:tc>
          <w:tcPr>
            <w:tcW w:w="1353" w:type="dxa"/>
            <w:tcBorders>
              <w:tl2br w:val="nil"/>
              <w:tr2bl w:val="nil"/>
            </w:tcBorders>
            <w:shd w:val="clear" w:color="auto" w:fill="auto"/>
            <w:vAlign w:val="center"/>
          </w:tcPr>
          <w:p w14:paraId="7FFA5E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81.7610 </w:t>
            </w:r>
          </w:p>
        </w:tc>
      </w:tr>
      <w:tr w14:paraId="1C2C69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FA00B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3840 </w:t>
            </w:r>
          </w:p>
        </w:tc>
        <w:tc>
          <w:tcPr>
            <w:tcW w:w="1443" w:type="dxa"/>
            <w:tcBorders>
              <w:tl2br w:val="nil"/>
              <w:tr2bl w:val="nil"/>
            </w:tcBorders>
            <w:shd w:val="clear" w:color="auto" w:fill="auto"/>
            <w:vAlign w:val="center"/>
          </w:tcPr>
          <w:p w14:paraId="136E23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43.1480 </w:t>
            </w:r>
          </w:p>
        </w:tc>
        <w:tc>
          <w:tcPr>
            <w:tcW w:w="1394" w:type="dxa"/>
            <w:tcBorders>
              <w:tl2br w:val="nil"/>
              <w:tr2bl w:val="nil"/>
            </w:tcBorders>
            <w:shd w:val="clear" w:color="auto" w:fill="auto"/>
            <w:vAlign w:val="center"/>
          </w:tcPr>
          <w:p w14:paraId="6C32E0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81.3980 </w:t>
            </w:r>
          </w:p>
        </w:tc>
        <w:tc>
          <w:tcPr>
            <w:tcW w:w="1079" w:type="dxa"/>
            <w:tcBorders>
              <w:tl2br w:val="nil"/>
              <w:tr2bl w:val="nil"/>
            </w:tcBorders>
            <w:shd w:val="clear" w:color="auto" w:fill="auto"/>
            <w:vAlign w:val="center"/>
          </w:tcPr>
          <w:p w14:paraId="1E82E2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73DA2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43.1480 </w:t>
            </w:r>
          </w:p>
        </w:tc>
        <w:tc>
          <w:tcPr>
            <w:tcW w:w="1353" w:type="dxa"/>
            <w:tcBorders>
              <w:tl2br w:val="nil"/>
              <w:tr2bl w:val="nil"/>
            </w:tcBorders>
            <w:shd w:val="clear" w:color="auto" w:fill="auto"/>
            <w:vAlign w:val="center"/>
          </w:tcPr>
          <w:p w14:paraId="4AE80D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81.3980 </w:t>
            </w:r>
          </w:p>
        </w:tc>
      </w:tr>
      <w:tr w14:paraId="096E5A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30DC5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3850 </w:t>
            </w:r>
          </w:p>
        </w:tc>
        <w:tc>
          <w:tcPr>
            <w:tcW w:w="1443" w:type="dxa"/>
            <w:tcBorders>
              <w:tl2br w:val="nil"/>
              <w:tr2bl w:val="nil"/>
            </w:tcBorders>
            <w:shd w:val="clear" w:color="auto" w:fill="auto"/>
            <w:vAlign w:val="center"/>
          </w:tcPr>
          <w:p w14:paraId="20765C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43.2350 </w:t>
            </w:r>
          </w:p>
        </w:tc>
        <w:tc>
          <w:tcPr>
            <w:tcW w:w="1394" w:type="dxa"/>
            <w:tcBorders>
              <w:tl2br w:val="nil"/>
              <w:tr2bl w:val="nil"/>
            </w:tcBorders>
            <w:shd w:val="clear" w:color="auto" w:fill="auto"/>
            <w:vAlign w:val="center"/>
          </w:tcPr>
          <w:p w14:paraId="67A401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81.0380 </w:t>
            </w:r>
          </w:p>
        </w:tc>
        <w:tc>
          <w:tcPr>
            <w:tcW w:w="1079" w:type="dxa"/>
            <w:tcBorders>
              <w:tl2br w:val="nil"/>
              <w:tr2bl w:val="nil"/>
            </w:tcBorders>
            <w:shd w:val="clear" w:color="auto" w:fill="auto"/>
            <w:vAlign w:val="center"/>
          </w:tcPr>
          <w:p w14:paraId="5F2932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E377C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43.2350 </w:t>
            </w:r>
          </w:p>
        </w:tc>
        <w:tc>
          <w:tcPr>
            <w:tcW w:w="1353" w:type="dxa"/>
            <w:tcBorders>
              <w:tl2br w:val="nil"/>
              <w:tr2bl w:val="nil"/>
            </w:tcBorders>
            <w:shd w:val="clear" w:color="auto" w:fill="auto"/>
            <w:vAlign w:val="center"/>
          </w:tcPr>
          <w:p w14:paraId="18FCB7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81.0380 </w:t>
            </w:r>
          </w:p>
        </w:tc>
      </w:tr>
      <w:tr w14:paraId="4EFD35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C9284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3860 </w:t>
            </w:r>
          </w:p>
        </w:tc>
        <w:tc>
          <w:tcPr>
            <w:tcW w:w="1443" w:type="dxa"/>
            <w:tcBorders>
              <w:tl2br w:val="nil"/>
              <w:tr2bl w:val="nil"/>
            </w:tcBorders>
            <w:shd w:val="clear" w:color="auto" w:fill="auto"/>
            <w:vAlign w:val="center"/>
          </w:tcPr>
          <w:p w14:paraId="5C3A78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43.3220 </w:t>
            </w:r>
          </w:p>
        </w:tc>
        <w:tc>
          <w:tcPr>
            <w:tcW w:w="1394" w:type="dxa"/>
            <w:tcBorders>
              <w:tl2br w:val="nil"/>
              <w:tr2bl w:val="nil"/>
            </w:tcBorders>
            <w:shd w:val="clear" w:color="auto" w:fill="auto"/>
            <w:vAlign w:val="center"/>
          </w:tcPr>
          <w:p w14:paraId="5531DB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80.6800 </w:t>
            </w:r>
          </w:p>
        </w:tc>
        <w:tc>
          <w:tcPr>
            <w:tcW w:w="1079" w:type="dxa"/>
            <w:tcBorders>
              <w:tl2br w:val="nil"/>
              <w:tr2bl w:val="nil"/>
            </w:tcBorders>
            <w:shd w:val="clear" w:color="auto" w:fill="auto"/>
            <w:vAlign w:val="center"/>
          </w:tcPr>
          <w:p w14:paraId="7AD403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DB566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43.3220 </w:t>
            </w:r>
          </w:p>
        </w:tc>
        <w:tc>
          <w:tcPr>
            <w:tcW w:w="1353" w:type="dxa"/>
            <w:tcBorders>
              <w:tl2br w:val="nil"/>
              <w:tr2bl w:val="nil"/>
            </w:tcBorders>
            <w:shd w:val="clear" w:color="auto" w:fill="auto"/>
            <w:vAlign w:val="center"/>
          </w:tcPr>
          <w:p w14:paraId="496DC7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80.6800 </w:t>
            </w:r>
          </w:p>
        </w:tc>
      </w:tr>
      <w:tr w14:paraId="1AF0D5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6F8E8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3870 </w:t>
            </w:r>
          </w:p>
        </w:tc>
        <w:tc>
          <w:tcPr>
            <w:tcW w:w="1443" w:type="dxa"/>
            <w:tcBorders>
              <w:tl2br w:val="nil"/>
              <w:tr2bl w:val="nil"/>
            </w:tcBorders>
            <w:shd w:val="clear" w:color="auto" w:fill="auto"/>
            <w:vAlign w:val="center"/>
          </w:tcPr>
          <w:p w14:paraId="3309B4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43.4090 </w:t>
            </w:r>
          </w:p>
        </w:tc>
        <w:tc>
          <w:tcPr>
            <w:tcW w:w="1394" w:type="dxa"/>
            <w:tcBorders>
              <w:tl2br w:val="nil"/>
              <w:tr2bl w:val="nil"/>
            </w:tcBorders>
            <w:shd w:val="clear" w:color="auto" w:fill="auto"/>
            <w:vAlign w:val="center"/>
          </w:tcPr>
          <w:p w14:paraId="49A87F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80.3250 </w:t>
            </w:r>
          </w:p>
        </w:tc>
        <w:tc>
          <w:tcPr>
            <w:tcW w:w="1079" w:type="dxa"/>
            <w:tcBorders>
              <w:tl2br w:val="nil"/>
              <w:tr2bl w:val="nil"/>
            </w:tcBorders>
            <w:shd w:val="clear" w:color="auto" w:fill="auto"/>
            <w:vAlign w:val="center"/>
          </w:tcPr>
          <w:p w14:paraId="4D4508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B41D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43.4090 </w:t>
            </w:r>
          </w:p>
        </w:tc>
        <w:tc>
          <w:tcPr>
            <w:tcW w:w="1353" w:type="dxa"/>
            <w:tcBorders>
              <w:tl2br w:val="nil"/>
              <w:tr2bl w:val="nil"/>
            </w:tcBorders>
            <w:shd w:val="clear" w:color="auto" w:fill="auto"/>
            <w:vAlign w:val="center"/>
          </w:tcPr>
          <w:p w14:paraId="10BC64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80.3250 </w:t>
            </w:r>
          </w:p>
        </w:tc>
      </w:tr>
      <w:tr w14:paraId="3AF87A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36117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3880 </w:t>
            </w:r>
          </w:p>
        </w:tc>
        <w:tc>
          <w:tcPr>
            <w:tcW w:w="1443" w:type="dxa"/>
            <w:tcBorders>
              <w:tl2br w:val="nil"/>
              <w:tr2bl w:val="nil"/>
            </w:tcBorders>
            <w:shd w:val="clear" w:color="auto" w:fill="auto"/>
            <w:vAlign w:val="center"/>
          </w:tcPr>
          <w:p w14:paraId="7E315B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43.4960 </w:t>
            </w:r>
          </w:p>
        </w:tc>
        <w:tc>
          <w:tcPr>
            <w:tcW w:w="1394" w:type="dxa"/>
            <w:tcBorders>
              <w:tl2br w:val="nil"/>
              <w:tr2bl w:val="nil"/>
            </w:tcBorders>
            <w:shd w:val="clear" w:color="auto" w:fill="auto"/>
            <w:vAlign w:val="center"/>
          </w:tcPr>
          <w:p w14:paraId="43C4CF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79.9730 </w:t>
            </w:r>
          </w:p>
        </w:tc>
        <w:tc>
          <w:tcPr>
            <w:tcW w:w="1079" w:type="dxa"/>
            <w:tcBorders>
              <w:tl2br w:val="nil"/>
              <w:tr2bl w:val="nil"/>
            </w:tcBorders>
            <w:shd w:val="clear" w:color="auto" w:fill="auto"/>
            <w:vAlign w:val="center"/>
          </w:tcPr>
          <w:p w14:paraId="5DFCBC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74CCD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43.4960 </w:t>
            </w:r>
          </w:p>
        </w:tc>
        <w:tc>
          <w:tcPr>
            <w:tcW w:w="1353" w:type="dxa"/>
            <w:tcBorders>
              <w:tl2br w:val="nil"/>
              <w:tr2bl w:val="nil"/>
            </w:tcBorders>
            <w:shd w:val="clear" w:color="auto" w:fill="auto"/>
            <w:vAlign w:val="center"/>
          </w:tcPr>
          <w:p w14:paraId="07C513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79.9730 </w:t>
            </w:r>
          </w:p>
        </w:tc>
      </w:tr>
      <w:tr w14:paraId="30DFE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208F5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3890 </w:t>
            </w:r>
          </w:p>
        </w:tc>
        <w:tc>
          <w:tcPr>
            <w:tcW w:w="1443" w:type="dxa"/>
            <w:tcBorders>
              <w:tl2br w:val="nil"/>
              <w:tr2bl w:val="nil"/>
            </w:tcBorders>
            <w:shd w:val="clear" w:color="auto" w:fill="auto"/>
            <w:vAlign w:val="center"/>
          </w:tcPr>
          <w:p w14:paraId="354A59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43.5830 </w:t>
            </w:r>
          </w:p>
        </w:tc>
        <w:tc>
          <w:tcPr>
            <w:tcW w:w="1394" w:type="dxa"/>
            <w:tcBorders>
              <w:tl2br w:val="nil"/>
              <w:tr2bl w:val="nil"/>
            </w:tcBorders>
            <w:shd w:val="clear" w:color="auto" w:fill="auto"/>
            <w:vAlign w:val="center"/>
          </w:tcPr>
          <w:p w14:paraId="669E44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79.6230 </w:t>
            </w:r>
          </w:p>
        </w:tc>
        <w:tc>
          <w:tcPr>
            <w:tcW w:w="1079" w:type="dxa"/>
            <w:tcBorders>
              <w:tl2br w:val="nil"/>
              <w:tr2bl w:val="nil"/>
            </w:tcBorders>
            <w:shd w:val="clear" w:color="auto" w:fill="auto"/>
            <w:vAlign w:val="center"/>
          </w:tcPr>
          <w:p w14:paraId="6EC7EA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1B9C46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43.5830 </w:t>
            </w:r>
          </w:p>
        </w:tc>
        <w:tc>
          <w:tcPr>
            <w:tcW w:w="1353" w:type="dxa"/>
            <w:tcBorders>
              <w:tl2br w:val="nil"/>
              <w:tr2bl w:val="nil"/>
            </w:tcBorders>
            <w:shd w:val="clear" w:color="auto" w:fill="auto"/>
            <w:vAlign w:val="center"/>
          </w:tcPr>
          <w:p w14:paraId="35E1D9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79.6230 </w:t>
            </w:r>
          </w:p>
        </w:tc>
      </w:tr>
      <w:tr w14:paraId="6E862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ADB0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3900 </w:t>
            </w:r>
          </w:p>
        </w:tc>
        <w:tc>
          <w:tcPr>
            <w:tcW w:w="1443" w:type="dxa"/>
            <w:tcBorders>
              <w:tl2br w:val="nil"/>
              <w:tr2bl w:val="nil"/>
            </w:tcBorders>
            <w:shd w:val="clear" w:color="auto" w:fill="auto"/>
            <w:vAlign w:val="center"/>
          </w:tcPr>
          <w:p w14:paraId="1E092B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43.6700 </w:t>
            </w:r>
          </w:p>
        </w:tc>
        <w:tc>
          <w:tcPr>
            <w:tcW w:w="1394" w:type="dxa"/>
            <w:tcBorders>
              <w:tl2br w:val="nil"/>
              <w:tr2bl w:val="nil"/>
            </w:tcBorders>
            <w:shd w:val="clear" w:color="auto" w:fill="auto"/>
            <w:vAlign w:val="center"/>
          </w:tcPr>
          <w:p w14:paraId="1F7B07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79.2750 </w:t>
            </w:r>
          </w:p>
        </w:tc>
        <w:tc>
          <w:tcPr>
            <w:tcW w:w="1079" w:type="dxa"/>
            <w:tcBorders>
              <w:tl2br w:val="nil"/>
              <w:tr2bl w:val="nil"/>
            </w:tcBorders>
            <w:shd w:val="clear" w:color="auto" w:fill="auto"/>
            <w:vAlign w:val="center"/>
          </w:tcPr>
          <w:p w14:paraId="3E188A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5B8A5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43.6700 </w:t>
            </w:r>
          </w:p>
        </w:tc>
        <w:tc>
          <w:tcPr>
            <w:tcW w:w="1353" w:type="dxa"/>
            <w:tcBorders>
              <w:tl2br w:val="nil"/>
              <w:tr2bl w:val="nil"/>
            </w:tcBorders>
            <w:shd w:val="clear" w:color="auto" w:fill="auto"/>
            <w:vAlign w:val="center"/>
          </w:tcPr>
          <w:p w14:paraId="30B946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79.2750 </w:t>
            </w:r>
          </w:p>
        </w:tc>
      </w:tr>
      <w:tr w14:paraId="331671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3E046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3910 </w:t>
            </w:r>
          </w:p>
        </w:tc>
        <w:tc>
          <w:tcPr>
            <w:tcW w:w="1443" w:type="dxa"/>
            <w:tcBorders>
              <w:tl2br w:val="nil"/>
              <w:tr2bl w:val="nil"/>
            </w:tcBorders>
            <w:shd w:val="clear" w:color="auto" w:fill="auto"/>
            <w:vAlign w:val="center"/>
          </w:tcPr>
          <w:p w14:paraId="5D5664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43.7560 </w:t>
            </w:r>
          </w:p>
        </w:tc>
        <w:tc>
          <w:tcPr>
            <w:tcW w:w="1394" w:type="dxa"/>
            <w:tcBorders>
              <w:tl2br w:val="nil"/>
              <w:tr2bl w:val="nil"/>
            </w:tcBorders>
            <w:shd w:val="clear" w:color="auto" w:fill="auto"/>
            <w:vAlign w:val="center"/>
          </w:tcPr>
          <w:p w14:paraId="3D3B0E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78.9290 </w:t>
            </w:r>
          </w:p>
        </w:tc>
        <w:tc>
          <w:tcPr>
            <w:tcW w:w="1079" w:type="dxa"/>
            <w:tcBorders>
              <w:tl2br w:val="nil"/>
              <w:tr2bl w:val="nil"/>
            </w:tcBorders>
            <w:shd w:val="clear" w:color="auto" w:fill="auto"/>
            <w:vAlign w:val="center"/>
          </w:tcPr>
          <w:p w14:paraId="2CDBBA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AA6F1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43.7560 </w:t>
            </w:r>
          </w:p>
        </w:tc>
        <w:tc>
          <w:tcPr>
            <w:tcW w:w="1353" w:type="dxa"/>
            <w:tcBorders>
              <w:tl2br w:val="nil"/>
              <w:tr2bl w:val="nil"/>
            </w:tcBorders>
            <w:shd w:val="clear" w:color="auto" w:fill="auto"/>
            <w:vAlign w:val="center"/>
          </w:tcPr>
          <w:p w14:paraId="42B506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78.9290 </w:t>
            </w:r>
          </w:p>
        </w:tc>
      </w:tr>
      <w:tr w14:paraId="57360C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A9AA7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3920 </w:t>
            </w:r>
          </w:p>
        </w:tc>
        <w:tc>
          <w:tcPr>
            <w:tcW w:w="1443" w:type="dxa"/>
            <w:tcBorders>
              <w:tl2br w:val="nil"/>
              <w:tr2bl w:val="nil"/>
            </w:tcBorders>
            <w:shd w:val="clear" w:color="auto" w:fill="auto"/>
            <w:vAlign w:val="center"/>
          </w:tcPr>
          <w:p w14:paraId="3DE507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43.8430 </w:t>
            </w:r>
          </w:p>
        </w:tc>
        <w:tc>
          <w:tcPr>
            <w:tcW w:w="1394" w:type="dxa"/>
            <w:tcBorders>
              <w:tl2br w:val="nil"/>
              <w:tr2bl w:val="nil"/>
            </w:tcBorders>
            <w:shd w:val="clear" w:color="auto" w:fill="auto"/>
            <w:vAlign w:val="center"/>
          </w:tcPr>
          <w:p w14:paraId="21056A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78.5860 </w:t>
            </w:r>
          </w:p>
        </w:tc>
        <w:tc>
          <w:tcPr>
            <w:tcW w:w="1079" w:type="dxa"/>
            <w:tcBorders>
              <w:tl2br w:val="nil"/>
              <w:tr2bl w:val="nil"/>
            </w:tcBorders>
            <w:shd w:val="clear" w:color="auto" w:fill="auto"/>
            <w:vAlign w:val="center"/>
          </w:tcPr>
          <w:p w14:paraId="575ED17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78360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43.8430 </w:t>
            </w:r>
          </w:p>
        </w:tc>
        <w:tc>
          <w:tcPr>
            <w:tcW w:w="1353" w:type="dxa"/>
            <w:tcBorders>
              <w:tl2br w:val="nil"/>
              <w:tr2bl w:val="nil"/>
            </w:tcBorders>
            <w:shd w:val="clear" w:color="auto" w:fill="auto"/>
            <w:vAlign w:val="center"/>
          </w:tcPr>
          <w:p w14:paraId="796A1A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78.5860 </w:t>
            </w:r>
          </w:p>
        </w:tc>
      </w:tr>
      <w:tr w14:paraId="3B156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A86C8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3930 </w:t>
            </w:r>
          </w:p>
        </w:tc>
        <w:tc>
          <w:tcPr>
            <w:tcW w:w="1443" w:type="dxa"/>
            <w:tcBorders>
              <w:tl2br w:val="nil"/>
              <w:tr2bl w:val="nil"/>
            </w:tcBorders>
            <w:shd w:val="clear" w:color="auto" w:fill="auto"/>
            <w:vAlign w:val="center"/>
          </w:tcPr>
          <w:p w14:paraId="67E8108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43.9300 </w:t>
            </w:r>
          </w:p>
        </w:tc>
        <w:tc>
          <w:tcPr>
            <w:tcW w:w="1394" w:type="dxa"/>
            <w:tcBorders>
              <w:tl2br w:val="nil"/>
              <w:tr2bl w:val="nil"/>
            </w:tcBorders>
            <w:shd w:val="clear" w:color="auto" w:fill="auto"/>
            <w:vAlign w:val="center"/>
          </w:tcPr>
          <w:p w14:paraId="19B632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78.2450 </w:t>
            </w:r>
          </w:p>
        </w:tc>
        <w:tc>
          <w:tcPr>
            <w:tcW w:w="1079" w:type="dxa"/>
            <w:tcBorders>
              <w:tl2br w:val="nil"/>
              <w:tr2bl w:val="nil"/>
            </w:tcBorders>
            <w:shd w:val="clear" w:color="auto" w:fill="auto"/>
            <w:vAlign w:val="center"/>
          </w:tcPr>
          <w:p w14:paraId="52607F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4FB344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43.9300 </w:t>
            </w:r>
          </w:p>
        </w:tc>
        <w:tc>
          <w:tcPr>
            <w:tcW w:w="1353" w:type="dxa"/>
            <w:tcBorders>
              <w:tl2br w:val="nil"/>
              <w:tr2bl w:val="nil"/>
            </w:tcBorders>
            <w:shd w:val="clear" w:color="auto" w:fill="auto"/>
            <w:vAlign w:val="center"/>
          </w:tcPr>
          <w:p w14:paraId="7758EB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78.2450 </w:t>
            </w:r>
          </w:p>
        </w:tc>
      </w:tr>
      <w:tr w14:paraId="23DF3A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42104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3940 </w:t>
            </w:r>
          </w:p>
        </w:tc>
        <w:tc>
          <w:tcPr>
            <w:tcW w:w="1443" w:type="dxa"/>
            <w:tcBorders>
              <w:tl2br w:val="nil"/>
              <w:tr2bl w:val="nil"/>
            </w:tcBorders>
            <w:shd w:val="clear" w:color="auto" w:fill="auto"/>
            <w:vAlign w:val="center"/>
          </w:tcPr>
          <w:p w14:paraId="7C17BC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44.0170 </w:t>
            </w:r>
          </w:p>
        </w:tc>
        <w:tc>
          <w:tcPr>
            <w:tcW w:w="1394" w:type="dxa"/>
            <w:tcBorders>
              <w:tl2br w:val="nil"/>
              <w:tr2bl w:val="nil"/>
            </w:tcBorders>
            <w:shd w:val="clear" w:color="auto" w:fill="auto"/>
            <w:vAlign w:val="center"/>
          </w:tcPr>
          <w:p w14:paraId="654304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77.9070 </w:t>
            </w:r>
          </w:p>
        </w:tc>
        <w:tc>
          <w:tcPr>
            <w:tcW w:w="1079" w:type="dxa"/>
            <w:tcBorders>
              <w:tl2br w:val="nil"/>
              <w:tr2bl w:val="nil"/>
            </w:tcBorders>
            <w:shd w:val="clear" w:color="auto" w:fill="auto"/>
            <w:vAlign w:val="center"/>
          </w:tcPr>
          <w:p w14:paraId="7A216F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9F988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44.0170 </w:t>
            </w:r>
          </w:p>
        </w:tc>
        <w:tc>
          <w:tcPr>
            <w:tcW w:w="1353" w:type="dxa"/>
            <w:tcBorders>
              <w:tl2br w:val="nil"/>
              <w:tr2bl w:val="nil"/>
            </w:tcBorders>
            <w:shd w:val="clear" w:color="auto" w:fill="auto"/>
            <w:vAlign w:val="center"/>
          </w:tcPr>
          <w:p w14:paraId="19AB9F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77.9070 </w:t>
            </w:r>
          </w:p>
        </w:tc>
      </w:tr>
      <w:tr w14:paraId="6D684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3D809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3950 </w:t>
            </w:r>
          </w:p>
        </w:tc>
        <w:tc>
          <w:tcPr>
            <w:tcW w:w="1443" w:type="dxa"/>
            <w:tcBorders>
              <w:tl2br w:val="nil"/>
              <w:tr2bl w:val="nil"/>
            </w:tcBorders>
            <w:shd w:val="clear" w:color="auto" w:fill="auto"/>
            <w:vAlign w:val="center"/>
          </w:tcPr>
          <w:p w14:paraId="39E953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44.1030 </w:t>
            </w:r>
          </w:p>
        </w:tc>
        <w:tc>
          <w:tcPr>
            <w:tcW w:w="1394" w:type="dxa"/>
            <w:tcBorders>
              <w:tl2br w:val="nil"/>
              <w:tr2bl w:val="nil"/>
            </w:tcBorders>
            <w:shd w:val="clear" w:color="auto" w:fill="auto"/>
            <w:vAlign w:val="center"/>
          </w:tcPr>
          <w:p w14:paraId="31B953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77.5710 </w:t>
            </w:r>
          </w:p>
        </w:tc>
        <w:tc>
          <w:tcPr>
            <w:tcW w:w="1079" w:type="dxa"/>
            <w:tcBorders>
              <w:tl2br w:val="nil"/>
              <w:tr2bl w:val="nil"/>
            </w:tcBorders>
            <w:shd w:val="clear" w:color="auto" w:fill="auto"/>
            <w:vAlign w:val="center"/>
          </w:tcPr>
          <w:p w14:paraId="72388B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6540A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44.1030 </w:t>
            </w:r>
          </w:p>
        </w:tc>
        <w:tc>
          <w:tcPr>
            <w:tcW w:w="1353" w:type="dxa"/>
            <w:tcBorders>
              <w:tl2br w:val="nil"/>
              <w:tr2bl w:val="nil"/>
            </w:tcBorders>
            <w:shd w:val="clear" w:color="auto" w:fill="auto"/>
            <w:vAlign w:val="center"/>
          </w:tcPr>
          <w:p w14:paraId="53EBEA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77.5710 </w:t>
            </w:r>
          </w:p>
        </w:tc>
      </w:tr>
      <w:tr w14:paraId="56F18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A4FC2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3960 </w:t>
            </w:r>
          </w:p>
        </w:tc>
        <w:tc>
          <w:tcPr>
            <w:tcW w:w="1443" w:type="dxa"/>
            <w:tcBorders>
              <w:tl2br w:val="nil"/>
              <w:tr2bl w:val="nil"/>
            </w:tcBorders>
            <w:shd w:val="clear" w:color="auto" w:fill="auto"/>
            <w:vAlign w:val="center"/>
          </w:tcPr>
          <w:p w14:paraId="261F7C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44.1900 </w:t>
            </w:r>
          </w:p>
        </w:tc>
        <w:tc>
          <w:tcPr>
            <w:tcW w:w="1394" w:type="dxa"/>
            <w:tcBorders>
              <w:tl2br w:val="nil"/>
              <w:tr2bl w:val="nil"/>
            </w:tcBorders>
            <w:shd w:val="clear" w:color="auto" w:fill="auto"/>
            <w:vAlign w:val="center"/>
          </w:tcPr>
          <w:p w14:paraId="46C4E2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77.2370 </w:t>
            </w:r>
          </w:p>
        </w:tc>
        <w:tc>
          <w:tcPr>
            <w:tcW w:w="1079" w:type="dxa"/>
            <w:tcBorders>
              <w:tl2br w:val="nil"/>
              <w:tr2bl w:val="nil"/>
            </w:tcBorders>
            <w:shd w:val="clear" w:color="auto" w:fill="auto"/>
            <w:vAlign w:val="center"/>
          </w:tcPr>
          <w:p w14:paraId="643204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CC960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44.1900 </w:t>
            </w:r>
          </w:p>
        </w:tc>
        <w:tc>
          <w:tcPr>
            <w:tcW w:w="1353" w:type="dxa"/>
            <w:tcBorders>
              <w:tl2br w:val="nil"/>
              <w:tr2bl w:val="nil"/>
            </w:tcBorders>
            <w:shd w:val="clear" w:color="auto" w:fill="auto"/>
            <w:vAlign w:val="center"/>
          </w:tcPr>
          <w:p w14:paraId="034252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77.2370 </w:t>
            </w:r>
          </w:p>
        </w:tc>
      </w:tr>
      <w:tr w14:paraId="53EE3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B8B2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3970 </w:t>
            </w:r>
          </w:p>
        </w:tc>
        <w:tc>
          <w:tcPr>
            <w:tcW w:w="1443" w:type="dxa"/>
            <w:tcBorders>
              <w:tl2br w:val="nil"/>
              <w:tr2bl w:val="nil"/>
            </w:tcBorders>
            <w:shd w:val="clear" w:color="auto" w:fill="auto"/>
            <w:vAlign w:val="center"/>
          </w:tcPr>
          <w:p w14:paraId="27A489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44.2760 </w:t>
            </w:r>
          </w:p>
        </w:tc>
        <w:tc>
          <w:tcPr>
            <w:tcW w:w="1394" w:type="dxa"/>
            <w:tcBorders>
              <w:tl2br w:val="nil"/>
              <w:tr2bl w:val="nil"/>
            </w:tcBorders>
            <w:shd w:val="clear" w:color="auto" w:fill="auto"/>
            <w:vAlign w:val="center"/>
          </w:tcPr>
          <w:p w14:paraId="63C60C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76.9050 </w:t>
            </w:r>
          </w:p>
        </w:tc>
        <w:tc>
          <w:tcPr>
            <w:tcW w:w="1079" w:type="dxa"/>
            <w:tcBorders>
              <w:tl2br w:val="nil"/>
              <w:tr2bl w:val="nil"/>
            </w:tcBorders>
            <w:shd w:val="clear" w:color="auto" w:fill="auto"/>
            <w:vAlign w:val="center"/>
          </w:tcPr>
          <w:p w14:paraId="7C3A88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F5908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44.2760 </w:t>
            </w:r>
          </w:p>
        </w:tc>
        <w:tc>
          <w:tcPr>
            <w:tcW w:w="1353" w:type="dxa"/>
            <w:tcBorders>
              <w:tl2br w:val="nil"/>
              <w:tr2bl w:val="nil"/>
            </w:tcBorders>
            <w:shd w:val="clear" w:color="auto" w:fill="auto"/>
            <w:vAlign w:val="center"/>
          </w:tcPr>
          <w:p w14:paraId="71AA22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76.9050 </w:t>
            </w:r>
          </w:p>
        </w:tc>
      </w:tr>
      <w:tr w14:paraId="2B65F6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43F87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3980 </w:t>
            </w:r>
          </w:p>
        </w:tc>
        <w:tc>
          <w:tcPr>
            <w:tcW w:w="1443" w:type="dxa"/>
            <w:tcBorders>
              <w:tl2br w:val="nil"/>
              <w:tr2bl w:val="nil"/>
            </w:tcBorders>
            <w:shd w:val="clear" w:color="auto" w:fill="auto"/>
            <w:vAlign w:val="center"/>
          </w:tcPr>
          <w:p w14:paraId="644B9A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44.3630 </w:t>
            </w:r>
          </w:p>
        </w:tc>
        <w:tc>
          <w:tcPr>
            <w:tcW w:w="1394" w:type="dxa"/>
            <w:tcBorders>
              <w:tl2br w:val="nil"/>
              <w:tr2bl w:val="nil"/>
            </w:tcBorders>
            <w:shd w:val="clear" w:color="auto" w:fill="auto"/>
            <w:vAlign w:val="center"/>
          </w:tcPr>
          <w:p w14:paraId="0698A6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76.5750 </w:t>
            </w:r>
          </w:p>
        </w:tc>
        <w:tc>
          <w:tcPr>
            <w:tcW w:w="1079" w:type="dxa"/>
            <w:tcBorders>
              <w:tl2br w:val="nil"/>
              <w:tr2bl w:val="nil"/>
            </w:tcBorders>
            <w:shd w:val="clear" w:color="auto" w:fill="auto"/>
            <w:vAlign w:val="center"/>
          </w:tcPr>
          <w:p w14:paraId="0ECBDE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C09C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44.3630 </w:t>
            </w:r>
          </w:p>
        </w:tc>
        <w:tc>
          <w:tcPr>
            <w:tcW w:w="1353" w:type="dxa"/>
            <w:tcBorders>
              <w:tl2br w:val="nil"/>
              <w:tr2bl w:val="nil"/>
            </w:tcBorders>
            <w:shd w:val="clear" w:color="auto" w:fill="auto"/>
            <w:vAlign w:val="center"/>
          </w:tcPr>
          <w:p w14:paraId="4F8BAA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76.5750 </w:t>
            </w:r>
          </w:p>
        </w:tc>
      </w:tr>
      <w:tr w14:paraId="2C758F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1786E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3990 </w:t>
            </w:r>
          </w:p>
        </w:tc>
        <w:tc>
          <w:tcPr>
            <w:tcW w:w="1443" w:type="dxa"/>
            <w:tcBorders>
              <w:tl2br w:val="nil"/>
              <w:tr2bl w:val="nil"/>
            </w:tcBorders>
            <w:shd w:val="clear" w:color="auto" w:fill="auto"/>
            <w:vAlign w:val="center"/>
          </w:tcPr>
          <w:p w14:paraId="362351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44.4490 </w:t>
            </w:r>
          </w:p>
        </w:tc>
        <w:tc>
          <w:tcPr>
            <w:tcW w:w="1394" w:type="dxa"/>
            <w:tcBorders>
              <w:tl2br w:val="nil"/>
              <w:tr2bl w:val="nil"/>
            </w:tcBorders>
            <w:shd w:val="clear" w:color="auto" w:fill="auto"/>
            <w:vAlign w:val="center"/>
          </w:tcPr>
          <w:p w14:paraId="3518BF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76.2480 </w:t>
            </w:r>
          </w:p>
        </w:tc>
        <w:tc>
          <w:tcPr>
            <w:tcW w:w="1079" w:type="dxa"/>
            <w:tcBorders>
              <w:tl2br w:val="nil"/>
              <w:tr2bl w:val="nil"/>
            </w:tcBorders>
            <w:shd w:val="clear" w:color="auto" w:fill="auto"/>
            <w:vAlign w:val="center"/>
          </w:tcPr>
          <w:p w14:paraId="3C9F1E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F6B754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44.4490 </w:t>
            </w:r>
          </w:p>
        </w:tc>
        <w:tc>
          <w:tcPr>
            <w:tcW w:w="1353" w:type="dxa"/>
            <w:tcBorders>
              <w:tl2br w:val="nil"/>
              <w:tr2bl w:val="nil"/>
            </w:tcBorders>
            <w:shd w:val="clear" w:color="auto" w:fill="auto"/>
            <w:vAlign w:val="center"/>
          </w:tcPr>
          <w:p w14:paraId="4A8DAB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76.2480 </w:t>
            </w:r>
          </w:p>
        </w:tc>
      </w:tr>
      <w:tr w14:paraId="4C9D1D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1A1A8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4000 </w:t>
            </w:r>
          </w:p>
        </w:tc>
        <w:tc>
          <w:tcPr>
            <w:tcW w:w="1443" w:type="dxa"/>
            <w:tcBorders>
              <w:tl2br w:val="nil"/>
              <w:tr2bl w:val="nil"/>
            </w:tcBorders>
            <w:shd w:val="clear" w:color="auto" w:fill="auto"/>
            <w:vAlign w:val="center"/>
          </w:tcPr>
          <w:p w14:paraId="27F427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44.5360 </w:t>
            </w:r>
          </w:p>
        </w:tc>
        <w:tc>
          <w:tcPr>
            <w:tcW w:w="1394" w:type="dxa"/>
            <w:tcBorders>
              <w:tl2br w:val="nil"/>
              <w:tr2bl w:val="nil"/>
            </w:tcBorders>
            <w:shd w:val="clear" w:color="auto" w:fill="auto"/>
            <w:vAlign w:val="center"/>
          </w:tcPr>
          <w:p w14:paraId="3EF624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75.9230 </w:t>
            </w:r>
          </w:p>
        </w:tc>
        <w:tc>
          <w:tcPr>
            <w:tcW w:w="1079" w:type="dxa"/>
            <w:tcBorders>
              <w:tl2br w:val="nil"/>
              <w:tr2bl w:val="nil"/>
            </w:tcBorders>
            <w:shd w:val="clear" w:color="auto" w:fill="auto"/>
            <w:vAlign w:val="center"/>
          </w:tcPr>
          <w:p w14:paraId="1EE3BE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83A4C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44.5360 </w:t>
            </w:r>
          </w:p>
        </w:tc>
        <w:tc>
          <w:tcPr>
            <w:tcW w:w="1353" w:type="dxa"/>
            <w:tcBorders>
              <w:tl2br w:val="nil"/>
              <w:tr2bl w:val="nil"/>
            </w:tcBorders>
            <w:shd w:val="clear" w:color="auto" w:fill="auto"/>
            <w:vAlign w:val="center"/>
          </w:tcPr>
          <w:p w14:paraId="58109E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75.9230 </w:t>
            </w:r>
          </w:p>
        </w:tc>
      </w:tr>
      <w:tr w14:paraId="0FBE0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DF4F6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4010 </w:t>
            </w:r>
          </w:p>
        </w:tc>
        <w:tc>
          <w:tcPr>
            <w:tcW w:w="1443" w:type="dxa"/>
            <w:tcBorders>
              <w:tl2br w:val="nil"/>
              <w:tr2bl w:val="nil"/>
            </w:tcBorders>
            <w:shd w:val="clear" w:color="auto" w:fill="auto"/>
            <w:vAlign w:val="center"/>
          </w:tcPr>
          <w:p w14:paraId="3EE791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44.6220 </w:t>
            </w:r>
          </w:p>
        </w:tc>
        <w:tc>
          <w:tcPr>
            <w:tcW w:w="1394" w:type="dxa"/>
            <w:tcBorders>
              <w:tl2br w:val="nil"/>
              <w:tr2bl w:val="nil"/>
            </w:tcBorders>
            <w:shd w:val="clear" w:color="auto" w:fill="auto"/>
            <w:vAlign w:val="center"/>
          </w:tcPr>
          <w:p w14:paraId="4DCCDF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75.6000 </w:t>
            </w:r>
          </w:p>
        </w:tc>
        <w:tc>
          <w:tcPr>
            <w:tcW w:w="1079" w:type="dxa"/>
            <w:tcBorders>
              <w:tl2br w:val="nil"/>
              <w:tr2bl w:val="nil"/>
            </w:tcBorders>
            <w:shd w:val="clear" w:color="auto" w:fill="auto"/>
            <w:vAlign w:val="center"/>
          </w:tcPr>
          <w:p w14:paraId="20DD8E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88720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44.6220 </w:t>
            </w:r>
          </w:p>
        </w:tc>
        <w:tc>
          <w:tcPr>
            <w:tcW w:w="1353" w:type="dxa"/>
            <w:tcBorders>
              <w:tl2br w:val="nil"/>
              <w:tr2bl w:val="nil"/>
            </w:tcBorders>
            <w:shd w:val="clear" w:color="auto" w:fill="auto"/>
            <w:vAlign w:val="center"/>
          </w:tcPr>
          <w:p w14:paraId="06DC22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75.6000 </w:t>
            </w:r>
          </w:p>
        </w:tc>
      </w:tr>
      <w:tr w14:paraId="2D6E1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5EE0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4020 </w:t>
            </w:r>
          </w:p>
        </w:tc>
        <w:tc>
          <w:tcPr>
            <w:tcW w:w="1443" w:type="dxa"/>
            <w:tcBorders>
              <w:tl2br w:val="nil"/>
              <w:tr2bl w:val="nil"/>
            </w:tcBorders>
            <w:shd w:val="clear" w:color="auto" w:fill="auto"/>
            <w:vAlign w:val="center"/>
          </w:tcPr>
          <w:p w14:paraId="650CE3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44.7080 </w:t>
            </w:r>
          </w:p>
        </w:tc>
        <w:tc>
          <w:tcPr>
            <w:tcW w:w="1394" w:type="dxa"/>
            <w:tcBorders>
              <w:tl2br w:val="nil"/>
              <w:tr2bl w:val="nil"/>
            </w:tcBorders>
            <w:shd w:val="clear" w:color="auto" w:fill="auto"/>
            <w:vAlign w:val="center"/>
          </w:tcPr>
          <w:p w14:paraId="6DFE61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75.2790 </w:t>
            </w:r>
          </w:p>
        </w:tc>
        <w:tc>
          <w:tcPr>
            <w:tcW w:w="1079" w:type="dxa"/>
            <w:tcBorders>
              <w:tl2br w:val="nil"/>
              <w:tr2bl w:val="nil"/>
            </w:tcBorders>
            <w:shd w:val="clear" w:color="auto" w:fill="auto"/>
            <w:vAlign w:val="center"/>
          </w:tcPr>
          <w:p w14:paraId="4F4033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CBE6E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44.7080 </w:t>
            </w:r>
          </w:p>
        </w:tc>
        <w:tc>
          <w:tcPr>
            <w:tcW w:w="1353" w:type="dxa"/>
            <w:tcBorders>
              <w:tl2br w:val="nil"/>
              <w:tr2bl w:val="nil"/>
            </w:tcBorders>
            <w:shd w:val="clear" w:color="auto" w:fill="auto"/>
            <w:vAlign w:val="center"/>
          </w:tcPr>
          <w:p w14:paraId="225F7B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75.2790 </w:t>
            </w:r>
          </w:p>
        </w:tc>
      </w:tr>
      <w:tr w14:paraId="48866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47DA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4030 </w:t>
            </w:r>
          </w:p>
        </w:tc>
        <w:tc>
          <w:tcPr>
            <w:tcW w:w="1443" w:type="dxa"/>
            <w:tcBorders>
              <w:tl2br w:val="nil"/>
              <w:tr2bl w:val="nil"/>
            </w:tcBorders>
            <w:shd w:val="clear" w:color="auto" w:fill="auto"/>
            <w:vAlign w:val="center"/>
          </w:tcPr>
          <w:p w14:paraId="36A2EC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44.7950 </w:t>
            </w:r>
          </w:p>
        </w:tc>
        <w:tc>
          <w:tcPr>
            <w:tcW w:w="1394" w:type="dxa"/>
            <w:tcBorders>
              <w:tl2br w:val="nil"/>
              <w:tr2bl w:val="nil"/>
            </w:tcBorders>
            <w:shd w:val="clear" w:color="auto" w:fill="auto"/>
            <w:vAlign w:val="center"/>
          </w:tcPr>
          <w:p w14:paraId="156BE4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74.9520 </w:t>
            </w:r>
          </w:p>
        </w:tc>
        <w:tc>
          <w:tcPr>
            <w:tcW w:w="1079" w:type="dxa"/>
            <w:tcBorders>
              <w:tl2br w:val="nil"/>
              <w:tr2bl w:val="nil"/>
            </w:tcBorders>
            <w:shd w:val="clear" w:color="auto" w:fill="auto"/>
            <w:vAlign w:val="center"/>
          </w:tcPr>
          <w:p w14:paraId="2F444D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ACF22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44.7950 </w:t>
            </w:r>
          </w:p>
        </w:tc>
        <w:tc>
          <w:tcPr>
            <w:tcW w:w="1353" w:type="dxa"/>
            <w:tcBorders>
              <w:tl2br w:val="nil"/>
              <w:tr2bl w:val="nil"/>
            </w:tcBorders>
            <w:shd w:val="clear" w:color="auto" w:fill="auto"/>
            <w:vAlign w:val="center"/>
          </w:tcPr>
          <w:p w14:paraId="6AEF82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74.9520 </w:t>
            </w:r>
          </w:p>
        </w:tc>
      </w:tr>
      <w:tr w14:paraId="512576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FAE56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4040 </w:t>
            </w:r>
          </w:p>
        </w:tc>
        <w:tc>
          <w:tcPr>
            <w:tcW w:w="1443" w:type="dxa"/>
            <w:tcBorders>
              <w:tl2br w:val="nil"/>
              <w:tr2bl w:val="nil"/>
            </w:tcBorders>
            <w:shd w:val="clear" w:color="auto" w:fill="auto"/>
            <w:vAlign w:val="center"/>
          </w:tcPr>
          <w:p w14:paraId="2C7654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44.8810 </w:t>
            </w:r>
          </w:p>
        </w:tc>
        <w:tc>
          <w:tcPr>
            <w:tcW w:w="1394" w:type="dxa"/>
            <w:tcBorders>
              <w:tl2br w:val="nil"/>
              <w:tr2bl w:val="nil"/>
            </w:tcBorders>
            <w:shd w:val="clear" w:color="auto" w:fill="auto"/>
            <w:vAlign w:val="center"/>
          </w:tcPr>
          <w:p w14:paraId="383E67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74.6280 </w:t>
            </w:r>
          </w:p>
        </w:tc>
        <w:tc>
          <w:tcPr>
            <w:tcW w:w="1079" w:type="dxa"/>
            <w:tcBorders>
              <w:tl2br w:val="nil"/>
              <w:tr2bl w:val="nil"/>
            </w:tcBorders>
            <w:shd w:val="clear" w:color="auto" w:fill="auto"/>
            <w:vAlign w:val="center"/>
          </w:tcPr>
          <w:p w14:paraId="2FF19E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235DB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44.8810 </w:t>
            </w:r>
          </w:p>
        </w:tc>
        <w:tc>
          <w:tcPr>
            <w:tcW w:w="1353" w:type="dxa"/>
            <w:tcBorders>
              <w:tl2br w:val="nil"/>
              <w:tr2bl w:val="nil"/>
            </w:tcBorders>
            <w:shd w:val="clear" w:color="auto" w:fill="auto"/>
            <w:vAlign w:val="center"/>
          </w:tcPr>
          <w:p w14:paraId="5CB904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74.6280 </w:t>
            </w:r>
          </w:p>
        </w:tc>
      </w:tr>
      <w:tr w14:paraId="015D96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B2818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4050 </w:t>
            </w:r>
          </w:p>
        </w:tc>
        <w:tc>
          <w:tcPr>
            <w:tcW w:w="1443" w:type="dxa"/>
            <w:tcBorders>
              <w:tl2br w:val="nil"/>
              <w:tr2bl w:val="nil"/>
            </w:tcBorders>
            <w:shd w:val="clear" w:color="auto" w:fill="auto"/>
            <w:vAlign w:val="center"/>
          </w:tcPr>
          <w:p w14:paraId="17FAF3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44.9670 </w:t>
            </w:r>
          </w:p>
        </w:tc>
        <w:tc>
          <w:tcPr>
            <w:tcW w:w="1394" w:type="dxa"/>
            <w:tcBorders>
              <w:tl2br w:val="nil"/>
              <w:tr2bl w:val="nil"/>
            </w:tcBorders>
            <w:shd w:val="clear" w:color="auto" w:fill="auto"/>
            <w:vAlign w:val="center"/>
          </w:tcPr>
          <w:p w14:paraId="1026C2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74.3050 </w:t>
            </w:r>
          </w:p>
        </w:tc>
        <w:tc>
          <w:tcPr>
            <w:tcW w:w="1079" w:type="dxa"/>
            <w:tcBorders>
              <w:tl2br w:val="nil"/>
              <w:tr2bl w:val="nil"/>
            </w:tcBorders>
            <w:shd w:val="clear" w:color="auto" w:fill="auto"/>
            <w:vAlign w:val="center"/>
          </w:tcPr>
          <w:p w14:paraId="418494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DEA17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44.9670 </w:t>
            </w:r>
          </w:p>
        </w:tc>
        <w:tc>
          <w:tcPr>
            <w:tcW w:w="1353" w:type="dxa"/>
            <w:tcBorders>
              <w:tl2br w:val="nil"/>
              <w:tr2bl w:val="nil"/>
            </w:tcBorders>
            <w:shd w:val="clear" w:color="auto" w:fill="auto"/>
            <w:vAlign w:val="center"/>
          </w:tcPr>
          <w:p w14:paraId="346D2F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74.3050 </w:t>
            </w:r>
          </w:p>
        </w:tc>
      </w:tr>
      <w:tr w14:paraId="1BB7B9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C2EC0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4060 </w:t>
            </w:r>
          </w:p>
        </w:tc>
        <w:tc>
          <w:tcPr>
            <w:tcW w:w="1443" w:type="dxa"/>
            <w:tcBorders>
              <w:tl2br w:val="nil"/>
              <w:tr2bl w:val="nil"/>
            </w:tcBorders>
            <w:shd w:val="clear" w:color="auto" w:fill="auto"/>
            <w:vAlign w:val="center"/>
          </w:tcPr>
          <w:p w14:paraId="5D0F53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45.0530 </w:t>
            </w:r>
          </w:p>
        </w:tc>
        <w:tc>
          <w:tcPr>
            <w:tcW w:w="1394" w:type="dxa"/>
            <w:tcBorders>
              <w:tl2br w:val="nil"/>
              <w:tr2bl w:val="nil"/>
            </w:tcBorders>
            <w:shd w:val="clear" w:color="auto" w:fill="auto"/>
            <w:vAlign w:val="center"/>
          </w:tcPr>
          <w:p w14:paraId="657DB5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73.9850 </w:t>
            </w:r>
          </w:p>
        </w:tc>
        <w:tc>
          <w:tcPr>
            <w:tcW w:w="1079" w:type="dxa"/>
            <w:tcBorders>
              <w:tl2br w:val="nil"/>
              <w:tr2bl w:val="nil"/>
            </w:tcBorders>
            <w:shd w:val="clear" w:color="auto" w:fill="auto"/>
            <w:vAlign w:val="center"/>
          </w:tcPr>
          <w:p w14:paraId="3C297B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09C42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45.0530 </w:t>
            </w:r>
          </w:p>
        </w:tc>
        <w:tc>
          <w:tcPr>
            <w:tcW w:w="1353" w:type="dxa"/>
            <w:tcBorders>
              <w:tl2br w:val="nil"/>
              <w:tr2bl w:val="nil"/>
            </w:tcBorders>
            <w:shd w:val="clear" w:color="auto" w:fill="auto"/>
            <w:vAlign w:val="center"/>
          </w:tcPr>
          <w:p w14:paraId="5E89CF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73.9850 </w:t>
            </w:r>
          </w:p>
        </w:tc>
      </w:tr>
      <w:tr w14:paraId="202E9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9988E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4070 </w:t>
            </w:r>
          </w:p>
        </w:tc>
        <w:tc>
          <w:tcPr>
            <w:tcW w:w="1443" w:type="dxa"/>
            <w:tcBorders>
              <w:tl2br w:val="nil"/>
              <w:tr2bl w:val="nil"/>
            </w:tcBorders>
            <w:shd w:val="clear" w:color="auto" w:fill="auto"/>
            <w:vAlign w:val="center"/>
          </w:tcPr>
          <w:p w14:paraId="2CFE4D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45.1400 </w:t>
            </w:r>
          </w:p>
        </w:tc>
        <w:tc>
          <w:tcPr>
            <w:tcW w:w="1394" w:type="dxa"/>
            <w:tcBorders>
              <w:tl2br w:val="nil"/>
              <w:tr2bl w:val="nil"/>
            </w:tcBorders>
            <w:shd w:val="clear" w:color="auto" w:fill="auto"/>
            <w:vAlign w:val="center"/>
          </w:tcPr>
          <w:p w14:paraId="6A133A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73.6660 </w:t>
            </w:r>
          </w:p>
        </w:tc>
        <w:tc>
          <w:tcPr>
            <w:tcW w:w="1079" w:type="dxa"/>
            <w:tcBorders>
              <w:tl2br w:val="nil"/>
              <w:tr2bl w:val="nil"/>
            </w:tcBorders>
            <w:shd w:val="clear" w:color="auto" w:fill="auto"/>
            <w:vAlign w:val="center"/>
          </w:tcPr>
          <w:p w14:paraId="301DEA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4C391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45.1400 </w:t>
            </w:r>
          </w:p>
        </w:tc>
        <w:tc>
          <w:tcPr>
            <w:tcW w:w="1353" w:type="dxa"/>
            <w:tcBorders>
              <w:tl2br w:val="nil"/>
              <w:tr2bl w:val="nil"/>
            </w:tcBorders>
            <w:shd w:val="clear" w:color="auto" w:fill="auto"/>
            <w:vAlign w:val="center"/>
          </w:tcPr>
          <w:p w14:paraId="1E40B9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73.6660 </w:t>
            </w:r>
          </w:p>
        </w:tc>
      </w:tr>
      <w:tr w14:paraId="7447F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C23C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4080 </w:t>
            </w:r>
          </w:p>
        </w:tc>
        <w:tc>
          <w:tcPr>
            <w:tcW w:w="1443" w:type="dxa"/>
            <w:tcBorders>
              <w:tl2br w:val="nil"/>
              <w:tr2bl w:val="nil"/>
            </w:tcBorders>
            <w:shd w:val="clear" w:color="auto" w:fill="auto"/>
            <w:vAlign w:val="center"/>
          </w:tcPr>
          <w:p w14:paraId="43BBAE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45.2260 </w:t>
            </w:r>
          </w:p>
        </w:tc>
        <w:tc>
          <w:tcPr>
            <w:tcW w:w="1394" w:type="dxa"/>
            <w:tcBorders>
              <w:tl2br w:val="nil"/>
              <w:tr2bl w:val="nil"/>
            </w:tcBorders>
            <w:shd w:val="clear" w:color="auto" w:fill="auto"/>
            <w:vAlign w:val="center"/>
          </w:tcPr>
          <w:p w14:paraId="2084A9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73.3500 </w:t>
            </w:r>
          </w:p>
        </w:tc>
        <w:tc>
          <w:tcPr>
            <w:tcW w:w="1079" w:type="dxa"/>
            <w:tcBorders>
              <w:tl2br w:val="nil"/>
              <w:tr2bl w:val="nil"/>
            </w:tcBorders>
            <w:shd w:val="clear" w:color="auto" w:fill="auto"/>
            <w:vAlign w:val="center"/>
          </w:tcPr>
          <w:p w14:paraId="3D1E45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36199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45.2260 </w:t>
            </w:r>
          </w:p>
        </w:tc>
        <w:tc>
          <w:tcPr>
            <w:tcW w:w="1353" w:type="dxa"/>
            <w:tcBorders>
              <w:tl2br w:val="nil"/>
              <w:tr2bl w:val="nil"/>
            </w:tcBorders>
            <w:shd w:val="clear" w:color="auto" w:fill="auto"/>
            <w:vAlign w:val="center"/>
          </w:tcPr>
          <w:p w14:paraId="728C13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73.3500 </w:t>
            </w:r>
          </w:p>
        </w:tc>
      </w:tr>
      <w:tr w14:paraId="3D0C00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3CBF1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4090 </w:t>
            </w:r>
          </w:p>
        </w:tc>
        <w:tc>
          <w:tcPr>
            <w:tcW w:w="1443" w:type="dxa"/>
            <w:tcBorders>
              <w:tl2br w:val="nil"/>
              <w:tr2bl w:val="nil"/>
            </w:tcBorders>
            <w:shd w:val="clear" w:color="auto" w:fill="auto"/>
            <w:vAlign w:val="center"/>
          </w:tcPr>
          <w:p w14:paraId="22ED67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45.3120 </w:t>
            </w:r>
          </w:p>
        </w:tc>
        <w:tc>
          <w:tcPr>
            <w:tcW w:w="1394" w:type="dxa"/>
            <w:tcBorders>
              <w:tl2br w:val="nil"/>
              <w:tr2bl w:val="nil"/>
            </w:tcBorders>
            <w:shd w:val="clear" w:color="auto" w:fill="auto"/>
            <w:vAlign w:val="center"/>
          </w:tcPr>
          <w:p w14:paraId="0BA560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73.0360 </w:t>
            </w:r>
          </w:p>
        </w:tc>
        <w:tc>
          <w:tcPr>
            <w:tcW w:w="1079" w:type="dxa"/>
            <w:tcBorders>
              <w:tl2br w:val="nil"/>
              <w:tr2bl w:val="nil"/>
            </w:tcBorders>
            <w:shd w:val="clear" w:color="auto" w:fill="auto"/>
            <w:vAlign w:val="center"/>
          </w:tcPr>
          <w:p w14:paraId="58C833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0A99B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45.3120 </w:t>
            </w:r>
          </w:p>
        </w:tc>
        <w:tc>
          <w:tcPr>
            <w:tcW w:w="1353" w:type="dxa"/>
            <w:tcBorders>
              <w:tl2br w:val="nil"/>
              <w:tr2bl w:val="nil"/>
            </w:tcBorders>
            <w:shd w:val="clear" w:color="auto" w:fill="auto"/>
            <w:vAlign w:val="center"/>
          </w:tcPr>
          <w:p w14:paraId="6D77E2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73.0360 </w:t>
            </w:r>
          </w:p>
        </w:tc>
      </w:tr>
      <w:tr w14:paraId="36C71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8FD4C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4100 </w:t>
            </w:r>
          </w:p>
        </w:tc>
        <w:tc>
          <w:tcPr>
            <w:tcW w:w="1443" w:type="dxa"/>
            <w:tcBorders>
              <w:tl2br w:val="nil"/>
              <w:tr2bl w:val="nil"/>
            </w:tcBorders>
            <w:shd w:val="clear" w:color="auto" w:fill="auto"/>
            <w:vAlign w:val="center"/>
          </w:tcPr>
          <w:p w14:paraId="338ED8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45.3980 </w:t>
            </w:r>
          </w:p>
        </w:tc>
        <w:tc>
          <w:tcPr>
            <w:tcW w:w="1394" w:type="dxa"/>
            <w:tcBorders>
              <w:tl2br w:val="nil"/>
              <w:tr2bl w:val="nil"/>
            </w:tcBorders>
            <w:shd w:val="clear" w:color="auto" w:fill="auto"/>
            <w:vAlign w:val="center"/>
          </w:tcPr>
          <w:p w14:paraId="1025D5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72.7230 </w:t>
            </w:r>
          </w:p>
        </w:tc>
        <w:tc>
          <w:tcPr>
            <w:tcW w:w="1079" w:type="dxa"/>
            <w:tcBorders>
              <w:tl2br w:val="nil"/>
              <w:tr2bl w:val="nil"/>
            </w:tcBorders>
            <w:shd w:val="clear" w:color="auto" w:fill="auto"/>
            <w:vAlign w:val="center"/>
          </w:tcPr>
          <w:p w14:paraId="1E7FB8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C7613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45.3980 </w:t>
            </w:r>
          </w:p>
        </w:tc>
        <w:tc>
          <w:tcPr>
            <w:tcW w:w="1353" w:type="dxa"/>
            <w:tcBorders>
              <w:tl2br w:val="nil"/>
              <w:tr2bl w:val="nil"/>
            </w:tcBorders>
            <w:shd w:val="clear" w:color="auto" w:fill="auto"/>
            <w:vAlign w:val="center"/>
          </w:tcPr>
          <w:p w14:paraId="768D8E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72.7230 </w:t>
            </w:r>
          </w:p>
        </w:tc>
      </w:tr>
      <w:tr w14:paraId="14263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2B03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4110 </w:t>
            </w:r>
          </w:p>
        </w:tc>
        <w:tc>
          <w:tcPr>
            <w:tcW w:w="1443" w:type="dxa"/>
            <w:tcBorders>
              <w:tl2br w:val="nil"/>
              <w:tr2bl w:val="nil"/>
            </w:tcBorders>
            <w:shd w:val="clear" w:color="auto" w:fill="auto"/>
            <w:vAlign w:val="center"/>
          </w:tcPr>
          <w:p w14:paraId="4C62C3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45.4840 </w:t>
            </w:r>
          </w:p>
        </w:tc>
        <w:tc>
          <w:tcPr>
            <w:tcW w:w="1394" w:type="dxa"/>
            <w:tcBorders>
              <w:tl2br w:val="nil"/>
              <w:tr2bl w:val="nil"/>
            </w:tcBorders>
            <w:shd w:val="clear" w:color="auto" w:fill="auto"/>
            <w:vAlign w:val="center"/>
          </w:tcPr>
          <w:p w14:paraId="00B9E6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72.4130 </w:t>
            </w:r>
          </w:p>
        </w:tc>
        <w:tc>
          <w:tcPr>
            <w:tcW w:w="1079" w:type="dxa"/>
            <w:tcBorders>
              <w:tl2br w:val="nil"/>
              <w:tr2bl w:val="nil"/>
            </w:tcBorders>
            <w:shd w:val="clear" w:color="auto" w:fill="auto"/>
            <w:vAlign w:val="center"/>
          </w:tcPr>
          <w:p w14:paraId="60032B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FF86A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45.4840 </w:t>
            </w:r>
          </w:p>
        </w:tc>
        <w:tc>
          <w:tcPr>
            <w:tcW w:w="1353" w:type="dxa"/>
            <w:tcBorders>
              <w:tl2br w:val="nil"/>
              <w:tr2bl w:val="nil"/>
            </w:tcBorders>
            <w:shd w:val="clear" w:color="auto" w:fill="auto"/>
            <w:vAlign w:val="center"/>
          </w:tcPr>
          <w:p w14:paraId="35824C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72.4130 </w:t>
            </w:r>
          </w:p>
        </w:tc>
      </w:tr>
      <w:tr w14:paraId="603672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C0067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4120 </w:t>
            </w:r>
          </w:p>
        </w:tc>
        <w:tc>
          <w:tcPr>
            <w:tcW w:w="1443" w:type="dxa"/>
            <w:tcBorders>
              <w:tl2br w:val="nil"/>
              <w:tr2bl w:val="nil"/>
            </w:tcBorders>
            <w:shd w:val="clear" w:color="auto" w:fill="auto"/>
            <w:vAlign w:val="center"/>
          </w:tcPr>
          <w:p w14:paraId="5F3795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45.5700 </w:t>
            </w:r>
          </w:p>
        </w:tc>
        <w:tc>
          <w:tcPr>
            <w:tcW w:w="1394" w:type="dxa"/>
            <w:tcBorders>
              <w:tl2br w:val="nil"/>
              <w:tr2bl w:val="nil"/>
            </w:tcBorders>
            <w:shd w:val="clear" w:color="auto" w:fill="auto"/>
            <w:vAlign w:val="center"/>
          </w:tcPr>
          <w:p w14:paraId="0FEF97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72.1040 </w:t>
            </w:r>
          </w:p>
        </w:tc>
        <w:tc>
          <w:tcPr>
            <w:tcW w:w="1079" w:type="dxa"/>
            <w:tcBorders>
              <w:tl2br w:val="nil"/>
              <w:tr2bl w:val="nil"/>
            </w:tcBorders>
            <w:shd w:val="clear" w:color="auto" w:fill="auto"/>
            <w:vAlign w:val="center"/>
          </w:tcPr>
          <w:p w14:paraId="355855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46DAC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45.5700 </w:t>
            </w:r>
          </w:p>
        </w:tc>
        <w:tc>
          <w:tcPr>
            <w:tcW w:w="1353" w:type="dxa"/>
            <w:tcBorders>
              <w:tl2br w:val="nil"/>
              <w:tr2bl w:val="nil"/>
            </w:tcBorders>
            <w:shd w:val="clear" w:color="auto" w:fill="auto"/>
            <w:vAlign w:val="center"/>
          </w:tcPr>
          <w:p w14:paraId="5385A2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72.1040 </w:t>
            </w:r>
          </w:p>
        </w:tc>
      </w:tr>
      <w:tr w14:paraId="0DFD1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F1897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4130 </w:t>
            </w:r>
          </w:p>
        </w:tc>
        <w:tc>
          <w:tcPr>
            <w:tcW w:w="1443" w:type="dxa"/>
            <w:tcBorders>
              <w:tl2br w:val="nil"/>
              <w:tr2bl w:val="nil"/>
            </w:tcBorders>
            <w:shd w:val="clear" w:color="auto" w:fill="auto"/>
            <w:vAlign w:val="center"/>
          </w:tcPr>
          <w:p w14:paraId="019703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45.6560 </w:t>
            </w:r>
          </w:p>
        </w:tc>
        <w:tc>
          <w:tcPr>
            <w:tcW w:w="1394" w:type="dxa"/>
            <w:tcBorders>
              <w:tl2br w:val="nil"/>
              <w:tr2bl w:val="nil"/>
            </w:tcBorders>
            <w:shd w:val="clear" w:color="auto" w:fill="auto"/>
            <w:vAlign w:val="center"/>
          </w:tcPr>
          <w:p w14:paraId="2644DD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71.7980 </w:t>
            </w:r>
          </w:p>
        </w:tc>
        <w:tc>
          <w:tcPr>
            <w:tcW w:w="1079" w:type="dxa"/>
            <w:tcBorders>
              <w:tl2br w:val="nil"/>
              <w:tr2bl w:val="nil"/>
            </w:tcBorders>
            <w:shd w:val="clear" w:color="auto" w:fill="auto"/>
            <w:vAlign w:val="center"/>
          </w:tcPr>
          <w:p w14:paraId="052205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FA290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45.6560 </w:t>
            </w:r>
          </w:p>
        </w:tc>
        <w:tc>
          <w:tcPr>
            <w:tcW w:w="1353" w:type="dxa"/>
            <w:tcBorders>
              <w:tl2br w:val="nil"/>
              <w:tr2bl w:val="nil"/>
            </w:tcBorders>
            <w:shd w:val="clear" w:color="auto" w:fill="auto"/>
            <w:vAlign w:val="center"/>
          </w:tcPr>
          <w:p w14:paraId="485D3E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71.7980 </w:t>
            </w:r>
          </w:p>
        </w:tc>
      </w:tr>
      <w:tr w14:paraId="076A3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70FCB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4140 </w:t>
            </w:r>
          </w:p>
        </w:tc>
        <w:tc>
          <w:tcPr>
            <w:tcW w:w="1443" w:type="dxa"/>
            <w:tcBorders>
              <w:tl2br w:val="nil"/>
              <w:tr2bl w:val="nil"/>
            </w:tcBorders>
            <w:shd w:val="clear" w:color="auto" w:fill="auto"/>
            <w:vAlign w:val="center"/>
          </w:tcPr>
          <w:p w14:paraId="291BBF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45.7410 </w:t>
            </w:r>
          </w:p>
        </w:tc>
        <w:tc>
          <w:tcPr>
            <w:tcW w:w="1394" w:type="dxa"/>
            <w:tcBorders>
              <w:tl2br w:val="nil"/>
              <w:tr2bl w:val="nil"/>
            </w:tcBorders>
            <w:shd w:val="clear" w:color="auto" w:fill="auto"/>
            <w:vAlign w:val="center"/>
          </w:tcPr>
          <w:p w14:paraId="6E5E32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71.4930 </w:t>
            </w:r>
          </w:p>
        </w:tc>
        <w:tc>
          <w:tcPr>
            <w:tcW w:w="1079" w:type="dxa"/>
            <w:tcBorders>
              <w:tl2br w:val="nil"/>
              <w:tr2bl w:val="nil"/>
            </w:tcBorders>
            <w:shd w:val="clear" w:color="auto" w:fill="auto"/>
            <w:vAlign w:val="center"/>
          </w:tcPr>
          <w:p w14:paraId="3E19BC6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09C2E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45.7410 </w:t>
            </w:r>
          </w:p>
        </w:tc>
        <w:tc>
          <w:tcPr>
            <w:tcW w:w="1353" w:type="dxa"/>
            <w:tcBorders>
              <w:tl2br w:val="nil"/>
              <w:tr2bl w:val="nil"/>
            </w:tcBorders>
            <w:shd w:val="clear" w:color="auto" w:fill="auto"/>
            <w:vAlign w:val="center"/>
          </w:tcPr>
          <w:p w14:paraId="61BE4F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71.4930 </w:t>
            </w:r>
          </w:p>
        </w:tc>
      </w:tr>
      <w:tr w14:paraId="1426D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79C3F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4150 </w:t>
            </w:r>
          </w:p>
        </w:tc>
        <w:tc>
          <w:tcPr>
            <w:tcW w:w="1443" w:type="dxa"/>
            <w:tcBorders>
              <w:tl2br w:val="nil"/>
              <w:tr2bl w:val="nil"/>
            </w:tcBorders>
            <w:shd w:val="clear" w:color="auto" w:fill="auto"/>
            <w:vAlign w:val="center"/>
          </w:tcPr>
          <w:p w14:paraId="7F6EB9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45.8270 </w:t>
            </w:r>
          </w:p>
        </w:tc>
        <w:tc>
          <w:tcPr>
            <w:tcW w:w="1394" w:type="dxa"/>
            <w:tcBorders>
              <w:tl2br w:val="nil"/>
              <w:tr2bl w:val="nil"/>
            </w:tcBorders>
            <w:shd w:val="clear" w:color="auto" w:fill="auto"/>
            <w:vAlign w:val="center"/>
          </w:tcPr>
          <w:p w14:paraId="10E8F0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71.1900 </w:t>
            </w:r>
          </w:p>
        </w:tc>
        <w:tc>
          <w:tcPr>
            <w:tcW w:w="1079" w:type="dxa"/>
            <w:tcBorders>
              <w:tl2br w:val="nil"/>
              <w:tr2bl w:val="nil"/>
            </w:tcBorders>
            <w:shd w:val="clear" w:color="auto" w:fill="auto"/>
            <w:vAlign w:val="center"/>
          </w:tcPr>
          <w:p w14:paraId="296596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049D4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45.8270 </w:t>
            </w:r>
          </w:p>
        </w:tc>
        <w:tc>
          <w:tcPr>
            <w:tcW w:w="1353" w:type="dxa"/>
            <w:tcBorders>
              <w:tl2br w:val="nil"/>
              <w:tr2bl w:val="nil"/>
            </w:tcBorders>
            <w:shd w:val="clear" w:color="auto" w:fill="auto"/>
            <w:vAlign w:val="center"/>
          </w:tcPr>
          <w:p w14:paraId="76759D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71.1900 </w:t>
            </w:r>
          </w:p>
        </w:tc>
      </w:tr>
      <w:tr w14:paraId="2822C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95841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4160 </w:t>
            </w:r>
          </w:p>
        </w:tc>
        <w:tc>
          <w:tcPr>
            <w:tcW w:w="1443" w:type="dxa"/>
            <w:tcBorders>
              <w:tl2br w:val="nil"/>
              <w:tr2bl w:val="nil"/>
            </w:tcBorders>
            <w:shd w:val="clear" w:color="auto" w:fill="auto"/>
            <w:vAlign w:val="center"/>
          </w:tcPr>
          <w:p w14:paraId="361E9F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45.9130 </w:t>
            </w:r>
          </w:p>
        </w:tc>
        <w:tc>
          <w:tcPr>
            <w:tcW w:w="1394" w:type="dxa"/>
            <w:tcBorders>
              <w:tl2br w:val="nil"/>
              <w:tr2bl w:val="nil"/>
            </w:tcBorders>
            <w:shd w:val="clear" w:color="auto" w:fill="auto"/>
            <w:vAlign w:val="center"/>
          </w:tcPr>
          <w:p w14:paraId="701D6F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70.8900 </w:t>
            </w:r>
          </w:p>
        </w:tc>
        <w:tc>
          <w:tcPr>
            <w:tcW w:w="1079" w:type="dxa"/>
            <w:tcBorders>
              <w:tl2br w:val="nil"/>
              <w:tr2bl w:val="nil"/>
            </w:tcBorders>
            <w:shd w:val="clear" w:color="auto" w:fill="auto"/>
            <w:vAlign w:val="center"/>
          </w:tcPr>
          <w:p w14:paraId="328900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DA2E3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45.9130 </w:t>
            </w:r>
          </w:p>
        </w:tc>
        <w:tc>
          <w:tcPr>
            <w:tcW w:w="1353" w:type="dxa"/>
            <w:tcBorders>
              <w:tl2br w:val="nil"/>
              <w:tr2bl w:val="nil"/>
            </w:tcBorders>
            <w:shd w:val="clear" w:color="auto" w:fill="auto"/>
            <w:vAlign w:val="center"/>
          </w:tcPr>
          <w:p w14:paraId="7D12F5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70.8900 </w:t>
            </w:r>
          </w:p>
        </w:tc>
      </w:tr>
      <w:tr w14:paraId="4DF10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D8C9E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4170 </w:t>
            </w:r>
          </w:p>
        </w:tc>
        <w:tc>
          <w:tcPr>
            <w:tcW w:w="1443" w:type="dxa"/>
            <w:tcBorders>
              <w:tl2br w:val="nil"/>
              <w:tr2bl w:val="nil"/>
            </w:tcBorders>
            <w:shd w:val="clear" w:color="auto" w:fill="auto"/>
            <w:vAlign w:val="center"/>
          </w:tcPr>
          <w:p w14:paraId="7B58F8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45.9990 </w:t>
            </w:r>
          </w:p>
        </w:tc>
        <w:tc>
          <w:tcPr>
            <w:tcW w:w="1394" w:type="dxa"/>
            <w:tcBorders>
              <w:tl2br w:val="nil"/>
              <w:tr2bl w:val="nil"/>
            </w:tcBorders>
            <w:shd w:val="clear" w:color="auto" w:fill="auto"/>
            <w:vAlign w:val="center"/>
          </w:tcPr>
          <w:p w14:paraId="6594E7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70.5910 </w:t>
            </w:r>
          </w:p>
        </w:tc>
        <w:tc>
          <w:tcPr>
            <w:tcW w:w="1079" w:type="dxa"/>
            <w:tcBorders>
              <w:tl2br w:val="nil"/>
              <w:tr2bl w:val="nil"/>
            </w:tcBorders>
            <w:shd w:val="clear" w:color="auto" w:fill="auto"/>
            <w:vAlign w:val="center"/>
          </w:tcPr>
          <w:p w14:paraId="7F8C2E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0D3DB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45.9990 </w:t>
            </w:r>
          </w:p>
        </w:tc>
        <w:tc>
          <w:tcPr>
            <w:tcW w:w="1353" w:type="dxa"/>
            <w:tcBorders>
              <w:tl2br w:val="nil"/>
              <w:tr2bl w:val="nil"/>
            </w:tcBorders>
            <w:shd w:val="clear" w:color="auto" w:fill="auto"/>
            <w:vAlign w:val="center"/>
          </w:tcPr>
          <w:p w14:paraId="6CB00C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70.5910 </w:t>
            </w:r>
          </w:p>
        </w:tc>
      </w:tr>
      <w:tr w14:paraId="2F644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558B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4180 </w:t>
            </w:r>
          </w:p>
        </w:tc>
        <w:tc>
          <w:tcPr>
            <w:tcW w:w="1443" w:type="dxa"/>
            <w:tcBorders>
              <w:tl2br w:val="nil"/>
              <w:tr2bl w:val="nil"/>
            </w:tcBorders>
            <w:shd w:val="clear" w:color="auto" w:fill="auto"/>
            <w:vAlign w:val="center"/>
          </w:tcPr>
          <w:p w14:paraId="224388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46.0840 </w:t>
            </w:r>
          </w:p>
        </w:tc>
        <w:tc>
          <w:tcPr>
            <w:tcW w:w="1394" w:type="dxa"/>
            <w:tcBorders>
              <w:tl2br w:val="nil"/>
              <w:tr2bl w:val="nil"/>
            </w:tcBorders>
            <w:shd w:val="clear" w:color="auto" w:fill="auto"/>
            <w:vAlign w:val="center"/>
          </w:tcPr>
          <w:p w14:paraId="1206DD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70.2940 </w:t>
            </w:r>
          </w:p>
        </w:tc>
        <w:tc>
          <w:tcPr>
            <w:tcW w:w="1079" w:type="dxa"/>
            <w:tcBorders>
              <w:tl2br w:val="nil"/>
              <w:tr2bl w:val="nil"/>
            </w:tcBorders>
            <w:shd w:val="clear" w:color="auto" w:fill="auto"/>
            <w:vAlign w:val="center"/>
          </w:tcPr>
          <w:p w14:paraId="3927C1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AD68A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46.0840 </w:t>
            </w:r>
          </w:p>
        </w:tc>
        <w:tc>
          <w:tcPr>
            <w:tcW w:w="1353" w:type="dxa"/>
            <w:tcBorders>
              <w:tl2br w:val="nil"/>
              <w:tr2bl w:val="nil"/>
            </w:tcBorders>
            <w:shd w:val="clear" w:color="auto" w:fill="auto"/>
            <w:vAlign w:val="center"/>
          </w:tcPr>
          <w:p w14:paraId="6A76B2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70.2940 </w:t>
            </w:r>
          </w:p>
        </w:tc>
      </w:tr>
      <w:tr w14:paraId="6D932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6250B1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4190 </w:t>
            </w:r>
          </w:p>
        </w:tc>
        <w:tc>
          <w:tcPr>
            <w:tcW w:w="1443" w:type="dxa"/>
            <w:tcBorders>
              <w:tl2br w:val="nil"/>
              <w:tr2bl w:val="nil"/>
            </w:tcBorders>
            <w:shd w:val="clear" w:color="auto" w:fill="auto"/>
            <w:vAlign w:val="center"/>
          </w:tcPr>
          <w:p w14:paraId="61EF4D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46.1700 </w:t>
            </w:r>
          </w:p>
        </w:tc>
        <w:tc>
          <w:tcPr>
            <w:tcW w:w="1394" w:type="dxa"/>
            <w:tcBorders>
              <w:tl2br w:val="nil"/>
              <w:tr2bl w:val="nil"/>
            </w:tcBorders>
            <w:shd w:val="clear" w:color="auto" w:fill="auto"/>
            <w:vAlign w:val="center"/>
          </w:tcPr>
          <w:p w14:paraId="3443614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69.9980 </w:t>
            </w:r>
          </w:p>
        </w:tc>
        <w:tc>
          <w:tcPr>
            <w:tcW w:w="1079" w:type="dxa"/>
            <w:tcBorders>
              <w:tl2br w:val="nil"/>
              <w:tr2bl w:val="nil"/>
            </w:tcBorders>
            <w:shd w:val="clear" w:color="auto" w:fill="auto"/>
            <w:vAlign w:val="center"/>
          </w:tcPr>
          <w:p w14:paraId="4BBD6F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F4C9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46.1700 </w:t>
            </w:r>
          </w:p>
        </w:tc>
        <w:tc>
          <w:tcPr>
            <w:tcW w:w="1353" w:type="dxa"/>
            <w:tcBorders>
              <w:tl2br w:val="nil"/>
              <w:tr2bl w:val="nil"/>
            </w:tcBorders>
            <w:shd w:val="clear" w:color="auto" w:fill="auto"/>
            <w:vAlign w:val="center"/>
          </w:tcPr>
          <w:p w14:paraId="757A3C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69.9980 </w:t>
            </w:r>
          </w:p>
        </w:tc>
      </w:tr>
      <w:tr w14:paraId="2ED265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E2420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4200 </w:t>
            </w:r>
          </w:p>
        </w:tc>
        <w:tc>
          <w:tcPr>
            <w:tcW w:w="1443" w:type="dxa"/>
            <w:tcBorders>
              <w:tl2br w:val="nil"/>
              <w:tr2bl w:val="nil"/>
            </w:tcBorders>
            <w:shd w:val="clear" w:color="auto" w:fill="auto"/>
            <w:vAlign w:val="center"/>
          </w:tcPr>
          <w:p w14:paraId="546AFD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46.2560 </w:t>
            </w:r>
          </w:p>
        </w:tc>
        <w:tc>
          <w:tcPr>
            <w:tcW w:w="1394" w:type="dxa"/>
            <w:tcBorders>
              <w:tl2br w:val="nil"/>
              <w:tr2bl w:val="nil"/>
            </w:tcBorders>
            <w:shd w:val="clear" w:color="auto" w:fill="auto"/>
            <w:vAlign w:val="center"/>
          </w:tcPr>
          <w:p w14:paraId="4007E3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69.7050 </w:t>
            </w:r>
          </w:p>
        </w:tc>
        <w:tc>
          <w:tcPr>
            <w:tcW w:w="1079" w:type="dxa"/>
            <w:tcBorders>
              <w:tl2br w:val="nil"/>
              <w:tr2bl w:val="nil"/>
            </w:tcBorders>
            <w:shd w:val="clear" w:color="auto" w:fill="auto"/>
            <w:vAlign w:val="center"/>
          </w:tcPr>
          <w:p w14:paraId="2DF8A1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58F55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46.2560 </w:t>
            </w:r>
          </w:p>
        </w:tc>
        <w:tc>
          <w:tcPr>
            <w:tcW w:w="1353" w:type="dxa"/>
            <w:tcBorders>
              <w:tl2br w:val="nil"/>
              <w:tr2bl w:val="nil"/>
            </w:tcBorders>
            <w:shd w:val="clear" w:color="auto" w:fill="auto"/>
            <w:vAlign w:val="center"/>
          </w:tcPr>
          <w:p w14:paraId="3649FE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69.7050 </w:t>
            </w:r>
          </w:p>
        </w:tc>
      </w:tr>
      <w:tr w14:paraId="4A3983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8B52A1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4210 </w:t>
            </w:r>
          </w:p>
        </w:tc>
        <w:tc>
          <w:tcPr>
            <w:tcW w:w="1443" w:type="dxa"/>
            <w:tcBorders>
              <w:tl2br w:val="nil"/>
              <w:tr2bl w:val="nil"/>
            </w:tcBorders>
            <w:shd w:val="clear" w:color="auto" w:fill="auto"/>
            <w:vAlign w:val="center"/>
          </w:tcPr>
          <w:p w14:paraId="2E5369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46.3410 </w:t>
            </w:r>
          </w:p>
        </w:tc>
        <w:tc>
          <w:tcPr>
            <w:tcW w:w="1394" w:type="dxa"/>
            <w:tcBorders>
              <w:tl2br w:val="nil"/>
              <w:tr2bl w:val="nil"/>
            </w:tcBorders>
            <w:shd w:val="clear" w:color="auto" w:fill="auto"/>
            <w:vAlign w:val="center"/>
          </w:tcPr>
          <w:p w14:paraId="6CA3DC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69.4140 </w:t>
            </w:r>
          </w:p>
        </w:tc>
        <w:tc>
          <w:tcPr>
            <w:tcW w:w="1079" w:type="dxa"/>
            <w:tcBorders>
              <w:tl2br w:val="nil"/>
              <w:tr2bl w:val="nil"/>
            </w:tcBorders>
            <w:shd w:val="clear" w:color="auto" w:fill="auto"/>
            <w:vAlign w:val="center"/>
          </w:tcPr>
          <w:p w14:paraId="580FC4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BBE19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46.3410 </w:t>
            </w:r>
          </w:p>
        </w:tc>
        <w:tc>
          <w:tcPr>
            <w:tcW w:w="1353" w:type="dxa"/>
            <w:tcBorders>
              <w:tl2br w:val="nil"/>
              <w:tr2bl w:val="nil"/>
            </w:tcBorders>
            <w:shd w:val="clear" w:color="auto" w:fill="auto"/>
            <w:vAlign w:val="center"/>
          </w:tcPr>
          <w:p w14:paraId="13D487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69.4140 </w:t>
            </w:r>
          </w:p>
        </w:tc>
      </w:tr>
      <w:tr w14:paraId="619AE4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D465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4220 </w:t>
            </w:r>
          </w:p>
        </w:tc>
        <w:tc>
          <w:tcPr>
            <w:tcW w:w="1443" w:type="dxa"/>
            <w:tcBorders>
              <w:tl2br w:val="nil"/>
              <w:tr2bl w:val="nil"/>
            </w:tcBorders>
            <w:shd w:val="clear" w:color="auto" w:fill="auto"/>
            <w:vAlign w:val="center"/>
          </w:tcPr>
          <w:p w14:paraId="05CBC5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46.4270 </w:t>
            </w:r>
          </w:p>
        </w:tc>
        <w:tc>
          <w:tcPr>
            <w:tcW w:w="1394" w:type="dxa"/>
            <w:tcBorders>
              <w:tl2br w:val="nil"/>
              <w:tr2bl w:val="nil"/>
            </w:tcBorders>
            <w:shd w:val="clear" w:color="auto" w:fill="auto"/>
            <w:vAlign w:val="center"/>
          </w:tcPr>
          <w:p w14:paraId="6452BA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69.1240 </w:t>
            </w:r>
          </w:p>
        </w:tc>
        <w:tc>
          <w:tcPr>
            <w:tcW w:w="1079" w:type="dxa"/>
            <w:tcBorders>
              <w:tl2br w:val="nil"/>
              <w:tr2bl w:val="nil"/>
            </w:tcBorders>
            <w:shd w:val="clear" w:color="auto" w:fill="auto"/>
            <w:vAlign w:val="center"/>
          </w:tcPr>
          <w:p w14:paraId="15A4A4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799CA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46.4270 </w:t>
            </w:r>
          </w:p>
        </w:tc>
        <w:tc>
          <w:tcPr>
            <w:tcW w:w="1353" w:type="dxa"/>
            <w:tcBorders>
              <w:tl2br w:val="nil"/>
              <w:tr2bl w:val="nil"/>
            </w:tcBorders>
            <w:shd w:val="clear" w:color="auto" w:fill="auto"/>
            <w:vAlign w:val="center"/>
          </w:tcPr>
          <w:p w14:paraId="250690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69.1240 </w:t>
            </w:r>
          </w:p>
        </w:tc>
      </w:tr>
      <w:tr w14:paraId="51CAB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7F2B3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4230 </w:t>
            </w:r>
          </w:p>
        </w:tc>
        <w:tc>
          <w:tcPr>
            <w:tcW w:w="1443" w:type="dxa"/>
            <w:tcBorders>
              <w:tl2br w:val="nil"/>
              <w:tr2bl w:val="nil"/>
            </w:tcBorders>
            <w:shd w:val="clear" w:color="auto" w:fill="auto"/>
            <w:vAlign w:val="center"/>
          </w:tcPr>
          <w:p w14:paraId="2B2C32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46.5120 </w:t>
            </w:r>
          </w:p>
        </w:tc>
        <w:tc>
          <w:tcPr>
            <w:tcW w:w="1394" w:type="dxa"/>
            <w:tcBorders>
              <w:tl2br w:val="nil"/>
              <w:tr2bl w:val="nil"/>
            </w:tcBorders>
            <w:shd w:val="clear" w:color="auto" w:fill="auto"/>
            <w:vAlign w:val="center"/>
          </w:tcPr>
          <w:p w14:paraId="0A1843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68.8360 </w:t>
            </w:r>
          </w:p>
        </w:tc>
        <w:tc>
          <w:tcPr>
            <w:tcW w:w="1079" w:type="dxa"/>
            <w:tcBorders>
              <w:tl2br w:val="nil"/>
              <w:tr2bl w:val="nil"/>
            </w:tcBorders>
            <w:shd w:val="clear" w:color="auto" w:fill="auto"/>
            <w:vAlign w:val="center"/>
          </w:tcPr>
          <w:p w14:paraId="7EAA59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86B2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46.5120 </w:t>
            </w:r>
          </w:p>
        </w:tc>
        <w:tc>
          <w:tcPr>
            <w:tcW w:w="1353" w:type="dxa"/>
            <w:tcBorders>
              <w:tl2br w:val="nil"/>
              <w:tr2bl w:val="nil"/>
            </w:tcBorders>
            <w:shd w:val="clear" w:color="auto" w:fill="auto"/>
            <w:vAlign w:val="center"/>
          </w:tcPr>
          <w:p w14:paraId="21E67C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68.8360 </w:t>
            </w:r>
          </w:p>
        </w:tc>
      </w:tr>
      <w:tr w14:paraId="41198A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3118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4240 </w:t>
            </w:r>
          </w:p>
        </w:tc>
        <w:tc>
          <w:tcPr>
            <w:tcW w:w="1443" w:type="dxa"/>
            <w:tcBorders>
              <w:tl2br w:val="nil"/>
              <w:tr2bl w:val="nil"/>
            </w:tcBorders>
            <w:shd w:val="clear" w:color="auto" w:fill="auto"/>
            <w:vAlign w:val="center"/>
          </w:tcPr>
          <w:p w14:paraId="0B219D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46.5980 </w:t>
            </w:r>
          </w:p>
        </w:tc>
        <w:tc>
          <w:tcPr>
            <w:tcW w:w="1394" w:type="dxa"/>
            <w:tcBorders>
              <w:tl2br w:val="nil"/>
              <w:tr2bl w:val="nil"/>
            </w:tcBorders>
            <w:shd w:val="clear" w:color="auto" w:fill="auto"/>
            <w:vAlign w:val="center"/>
          </w:tcPr>
          <w:p w14:paraId="5A4FCB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68.5500 </w:t>
            </w:r>
          </w:p>
        </w:tc>
        <w:tc>
          <w:tcPr>
            <w:tcW w:w="1079" w:type="dxa"/>
            <w:tcBorders>
              <w:tl2br w:val="nil"/>
              <w:tr2bl w:val="nil"/>
            </w:tcBorders>
            <w:shd w:val="clear" w:color="auto" w:fill="auto"/>
            <w:vAlign w:val="center"/>
          </w:tcPr>
          <w:p w14:paraId="480CE0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71AA7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46.5980 </w:t>
            </w:r>
          </w:p>
        </w:tc>
        <w:tc>
          <w:tcPr>
            <w:tcW w:w="1353" w:type="dxa"/>
            <w:tcBorders>
              <w:tl2br w:val="nil"/>
              <w:tr2bl w:val="nil"/>
            </w:tcBorders>
            <w:shd w:val="clear" w:color="auto" w:fill="auto"/>
            <w:vAlign w:val="center"/>
          </w:tcPr>
          <w:p w14:paraId="43A64F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68.5500 </w:t>
            </w:r>
          </w:p>
        </w:tc>
      </w:tr>
      <w:tr w14:paraId="694A3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4F63C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4250 </w:t>
            </w:r>
          </w:p>
        </w:tc>
        <w:tc>
          <w:tcPr>
            <w:tcW w:w="1443" w:type="dxa"/>
            <w:tcBorders>
              <w:tl2br w:val="nil"/>
              <w:tr2bl w:val="nil"/>
            </w:tcBorders>
            <w:shd w:val="clear" w:color="auto" w:fill="auto"/>
            <w:vAlign w:val="center"/>
          </w:tcPr>
          <w:p w14:paraId="616E6B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46.6830 </w:t>
            </w:r>
          </w:p>
        </w:tc>
        <w:tc>
          <w:tcPr>
            <w:tcW w:w="1394" w:type="dxa"/>
            <w:tcBorders>
              <w:tl2br w:val="nil"/>
              <w:tr2bl w:val="nil"/>
            </w:tcBorders>
            <w:shd w:val="clear" w:color="auto" w:fill="auto"/>
            <w:vAlign w:val="center"/>
          </w:tcPr>
          <w:p w14:paraId="109314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68.2660 </w:t>
            </w:r>
          </w:p>
        </w:tc>
        <w:tc>
          <w:tcPr>
            <w:tcW w:w="1079" w:type="dxa"/>
            <w:tcBorders>
              <w:tl2br w:val="nil"/>
              <w:tr2bl w:val="nil"/>
            </w:tcBorders>
            <w:shd w:val="clear" w:color="auto" w:fill="auto"/>
            <w:vAlign w:val="center"/>
          </w:tcPr>
          <w:p w14:paraId="36CB8E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26F5C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46.6830 </w:t>
            </w:r>
          </w:p>
        </w:tc>
        <w:tc>
          <w:tcPr>
            <w:tcW w:w="1353" w:type="dxa"/>
            <w:tcBorders>
              <w:tl2br w:val="nil"/>
              <w:tr2bl w:val="nil"/>
            </w:tcBorders>
            <w:shd w:val="clear" w:color="auto" w:fill="auto"/>
            <w:vAlign w:val="center"/>
          </w:tcPr>
          <w:p w14:paraId="190909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68.2660 </w:t>
            </w:r>
          </w:p>
        </w:tc>
      </w:tr>
      <w:tr w14:paraId="49F3A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4E56C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4260 </w:t>
            </w:r>
          </w:p>
        </w:tc>
        <w:tc>
          <w:tcPr>
            <w:tcW w:w="1443" w:type="dxa"/>
            <w:tcBorders>
              <w:tl2br w:val="nil"/>
              <w:tr2bl w:val="nil"/>
            </w:tcBorders>
            <w:shd w:val="clear" w:color="auto" w:fill="auto"/>
            <w:vAlign w:val="center"/>
          </w:tcPr>
          <w:p w14:paraId="39B322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46.7690 </w:t>
            </w:r>
          </w:p>
        </w:tc>
        <w:tc>
          <w:tcPr>
            <w:tcW w:w="1394" w:type="dxa"/>
            <w:tcBorders>
              <w:tl2br w:val="nil"/>
              <w:tr2bl w:val="nil"/>
            </w:tcBorders>
            <w:shd w:val="clear" w:color="auto" w:fill="auto"/>
            <w:vAlign w:val="center"/>
          </w:tcPr>
          <w:p w14:paraId="4195A8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67.9840 </w:t>
            </w:r>
          </w:p>
        </w:tc>
        <w:tc>
          <w:tcPr>
            <w:tcW w:w="1079" w:type="dxa"/>
            <w:tcBorders>
              <w:tl2br w:val="nil"/>
              <w:tr2bl w:val="nil"/>
            </w:tcBorders>
            <w:shd w:val="clear" w:color="auto" w:fill="auto"/>
            <w:vAlign w:val="center"/>
          </w:tcPr>
          <w:p w14:paraId="3375FE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2D69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46.7690 </w:t>
            </w:r>
          </w:p>
        </w:tc>
        <w:tc>
          <w:tcPr>
            <w:tcW w:w="1353" w:type="dxa"/>
            <w:tcBorders>
              <w:tl2br w:val="nil"/>
              <w:tr2bl w:val="nil"/>
            </w:tcBorders>
            <w:shd w:val="clear" w:color="auto" w:fill="auto"/>
            <w:vAlign w:val="center"/>
          </w:tcPr>
          <w:p w14:paraId="0A9093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67.9840 </w:t>
            </w:r>
          </w:p>
        </w:tc>
      </w:tr>
      <w:tr w14:paraId="6C050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B923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4270 </w:t>
            </w:r>
          </w:p>
        </w:tc>
        <w:tc>
          <w:tcPr>
            <w:tcW w:w="1443" w:type="dxa"/>
            <w:tcBorders>
              <w:tl2br w:val="nil"/>
              <w:tr2bl w:val="nil"/>
            </w:tcBorders>
            <w:shd w:val="clear" w:color="auto" w:fill="auto"/>
            <w:vAlign w:val="center"/>
          </w:tcPr>
          <w:p w14:paraId="7A1ED1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46.8540 </w:t>
            </w:r>
          </w:p>
        </w:tc>
        <w:tc>
          <w:tcPr>
            <w:tcW w:w="1394" w:type="dxa"/>
            <w:tcBorders>
              <w:tl2br w:val="nil"/>
              <w:tr2bl w:val="nil"/>
            </w:tcBorders>
            <w:shd w:val="clear" w:color="auto" w:fill="auto"/>
            <w:vAlign w:val="center"/>
          </w:tcPr>
          <w:p w14:paraId="570443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67.7030 </w:t>
            </w:r>
          </w:p>
        </w:tc>
        <w:tc>
          <w:tcPr>
            <w:tcW w:w="1079" w:type="dxa"/>
            <w:tcBorders>
              <w:tl2br w:val="nil"/>
              <w:tr2bl w:val="nil"/>
            </w:tcBorders>
            <w:shd w:val="clear" w:color="auto" w:fill="auto"/>
            <w:vAlign w:val="center"/>
          </w:tcPr>
          <w:p w14:paraId="0E3401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66746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46.8540 </w:t>
            </w:r>
          </w:p>
        </w:tc>
        <w:tc>
          <w:tcPr>
            <w:tcW w:w="1353" w:type="dxa"/>
            <w:tcBorders>
              <w:tl2br w:val="nil"/>
              <w:tr2bl w:val="nil"/>
            </w:tcBorders>
            <w:shd w:val="clear" w:color="auto" w:fill="auto"/>
            <w:vAlign w:val="center"/>
          </w:tcPr>
          <w:p w14:paraId="435CF0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67.7030 </w:t>
            </w:r>
          </w:p>
        </w:tc>
      </w:tr>
      <w:tr w14:paraId="1ECEE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2E2A8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4280 </w:t>
            </w:r>
          </w:p>
        </w:tc>
        <w:tc>
          <w:tcPr>
            <w:tcW w:w="1443" w:type="dxa"/>
            <w:tcBorders>
              <w:tl2br w:val="nil"/>
              <w:tr2bl w:val="nil"/>
            </w:tcBorders>
            <w:shd w:val="clear" w:color="auto" w:fill="auto"/>
            <w:vAlign w:val="center"/>
          </w:tcPr>
          <w:p w14:paraId="670982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46.9390 </w:t>
            </w:r>
          </w:p>
        </w:tc>
        <w:tc>
          <w:tcPr>
            <w:tcW w:w="1394" w:type="dxa"/>
            <w:tcBorders>
              <w:tl2br w:val="nil"/>
              <w:tr2bl w:val="nil"/>
            </w:tcBorders>
            <w:shd w:val="clear" w:color="auto" w:fill="auto"/>
            <w:vAlign w:val="center"/>
          </w:tcPr>
          <w:p w14:paraId="7881AC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67.4240 </w:t>
            </w:r>
          </w:p>
        </w:tc>
        <w:tc>
          <w:tcPr>
            <w:tcW w:w="1079" w:type="dxa"/>
            <w:tcBorders>
              <w:tl2br w:val="nil"/>
              <w:tr2bl w:val="nil"/>
            </w:tcBorders>
            <w:shd w:val="clear" w:color="auto" w:fill="auto"/>
            <w:vAlign w:val="center"/>
          </w:tcPr>
          <w:p w14:paraId="7ED152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92791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46.9390 </w:t>
            </w:r>
          </w:p>
        </w:tc>
        <w:tc>
          <w:tcPr>
            <w:tcW w:w="1353" w:type="dxa"/>
            <w:tcBorders>
              <w:tl2br w:val="nil"/>
              <w:tr2bl w:val="nil"/>
            </w:tcBorders>
            <w:shd w:val="clear" w:color="auto" w:fill="auto"/>
            <w:vAlign w:val="center"/>
          </w:tcPr>
          <w:p w14:paraId="004393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67.4240 </w:t>
            </w:r>
          </w:p>
        </w:tc>
      </w:tr>
      <w:tr w14:paraId="73004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65DAE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4290 </w:t>
            </w:r>
          </w:p>
        </w:tc>
        <w:tc>
          <w:tcPr>
            <w:tcW w:w="1443" w:type="dxa"/>
            <w:tcBorders>
              <w:tl2br w:val="nil"/>
              <w:tr2bl w:val="nil"/>
            </w:tcBorders>
            <w:shd w:val="clear" w:color="auto" w:fill="auto"/>
            <w:vAlign w:val="center"/>
          </w:tcPr>
          <w:p w14:paraId="565E76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47.0240 </w:t>
            </w:r>
          </w:p>
        </w:tc>
        <w:tc>
          <w:tcPr>
            <w:tcW w:w="1394" w:type="dxa"/>
            <w:tcBorders>
              <w:tl2br w:val="nil"/>
              <w:tr2bl w:val="nil"/>
            </w:tcBorders>
            <w:shd w:val="clear" w:color="auto" w:fill="auto"/>
            <w:vAlign w:val="center"/>
          </w:tcPr>
          <w:p w14:paraId="7A504A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67.1470 </w:t>
            </w:r>
          </w:p>
        </w:tc>
        <w:tc>
          <w:tcPr>
            <w:tcW w:w="1079" w:type="dxa"/>
            <w:tcBorders>
              <w:tl2br w:val="nil"/>
              <w:tr2bl w:val="nil"/>
            </w:tcBorders>
            <w:shd w:val="clear" w:color="auto" w:fill="auto"/>
            <w:vAlign w:val="center"/>
          </w:tcPr>
          <w:p w14:paraId="3C4E26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6CA33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47.0240 </w:t>
            </w:r>
          </w:p>
        </w:tc>
        <w:tc>
          <w:tcPr>
            <w:tcW w:w="1353" w:type="dxa"/>
            <w:tcBorders>
              <w:tl2br w:val="nil"/>
              <w:tr2bl w:val="nil"/>
            </w:tcBorders>
            <w:shd w:val="clear" w:color="auto" w:fill="auto"/>
            <w:vAlign w:val="center"/>
          </w:tcPr>
          <w:p w14:paraId="1F3BED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67.1470 </w:t>
            </w:r>
          </w:p>
        </w:tc>
      </w:tr>
      <w:tr w14:paraId="47A74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A546F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4300 </w:t>
            </w:r>
          </w:p>
        </w:tc>
        <w:tc>
          <w:tcPr>
            <w:tcW w:w="1443" w:type="dxa"/>
            <w:tcBorders>
              <w:tl2br w:val="nil"/>
              <w:tr2bl w:val="nil"/>
            </w:tcBorders>
            <w:shd w:val="clear" w:color="auto" w:fill="auto"/>
            <w:vAlign w:val="center"/>
          </w:tcPr>
          <w:p w14:paraId="440550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47.1100 </w:t>
            </w:r>
          </w:p>
        </w:tc>
        <w:tc>
          <w:tcPr>
            <w:tcW w:w="1394" w:type="dxa"/>
            <w:tcBorders>
              <w:tl2br w:val="nil"/>
              <w:tr2bl w:val="nil"/>
            </w:tcBorders>
            <w:shd w:val="clear" w:color="auto" w:fill="auto"/>
            <w:vAlign w:val="center"/>
          </w:tcPr>
          <w:p w14:paraId="6BF9C3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66.8720 </w:t>
            </w:r>
          </w:p>
        </w:tc>
        <w:tc>
          <w:tcPr>
            <w:tcW w:w="1079" w:type="dxa"/>
            <w:tcBorders>
              <w:tl2br w:val="nil"/>
              <w:tr2bl w:val="nil"/>
            </w:tcBorders>
            <w:shd w:val="clear" w:color="auto" w:fill="auto"/>
            <w:vAlign w:val="center"/>
          </w:tcPr>
          <w:p w14:paraId="4F8BDE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8B2EF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47.1100 </w:t>
            </w:r>
          </w:p>
        </w:tc>
        <w:tc>
          <w:tcPr>
            <w:tcW w:w="1353" w:type="dxa"/>
            <w:tcBorders>
              <w:tl2br w:val="nil"/>
              <w:tr2bl w:val="nil"/>
            </w:tcBorders>
            <w:shd w:val="clear" w:color="auto" w:fill="auto"/>
            <w:vAlign w:val="center"/>
          </w:tcPr>
          <w:p w14:paraId="4BCBEE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66.8720 </w:t>
            </w:r>
          </w:p>
        </w:tc>
      </w:tr>
      <w:tr w14:paraId="333A80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243E1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4310 </w:t>
            </w:r>
          </w:p>
        </w:tc>
        <w:tc>
          <w:tcPr>
            <w:tcW w:w="1443" w:type="dxa"/>
            <w:tcBorders>
              <w:tl2br w:val="nil"/>
              <w:tr2bl w:val="nil"/>
            </w:tcBorders>
            <w:shd w:val="clear" w:color="auto" w:fill="auto"/>
            <w:vAlign w:val="center"/>
          </w:tcPr>
          <w:p w14:paraId="3E03A9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47.1950 </w:t>
            </w:r>
          </w:p>
        </w:tc>
        <w:tc>
          <w:tcPr>
            <w:tcW w:w="1394" w:type="dxa"/>
            <w:tcBorders>
              <w:tl2br w:val="nil"/>
              <w:tr2bl w:val="nil"/>
            </w:tcBorders>
            <w:shd w:val="clear" w:color="auto" w:fill="auto"/>
            <w:vAlign w:val="center"/>
          </w:tcPr>
          <w:p w14:paraId="5D9DCB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66.5980 </w:t>
            </w:r>
          </w:p>
        </w:tc>
        <w:tc>
          <w:tcPr>
            <w:tcW w:w="1079" w:type="dxa"/>
            <w:tcBorders>
              <w:tl2br w:val="nil"/>
              <w:tr2bl w:val="nil"/>
            </w:tcBorders>
            <w:shd w:val="clear" w:color="auto" w:fill="auto"/>
            <w:vAlign w:val="center"/>
          </w:tcPr>
          <w:p w14:paraId="1E9674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3AE4B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47.1950 </w:t>
            </w:r>
          </w:p>
        </w:tc>
        <w:tc>
          <w:tcPr>
            <w:tcW w:w="1353" w:type="dxa"/>
            <w:tcBorders>
              <w:tl2br w:val="nil"/>
              <w:tr2bl w:val="nil"/>
            </w:tcBorders>
            <w:shd w:val="clear" w:color="auto" w:fill="auto"/>
            <w:vAlign w:val="center"/>
          </w:tcPr>
          <w:p w14:paraId="7EF1D7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66.5980 </w:t>
            </w:r>
          </w:p>
        </w:tc>
      </w:tr>
      <w:tr w14:paraId="40F08C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DB8B2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4320 </w:t>
            </w:r>
          </w:p>
        </w:tc>
        <w:tc>
          <w:tcPr>
            <w:tcW w:w="1443" w:type="dxa"/>
            <w:tcBorders>
              <w:tl2br w:val="nil"/>
              <w:tr2bl w:val="nil"/>
            </w:tcBorders>
            <w:shd w:val="clear" w:color="auto" w:fill="auto"/>
            <w:vAlign w:val="center"/>
          </w:tcPr>
          <w:p w14:paraId="437961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47.2800 </w:t>
            </w:r>
          </w:p>
        </w:tc>
        <w:tc>
          <w:tcPr>
            <w:tcW w:w="1394" w:type="dxa"/>
            <w:tcBorders>
              <w:tl2br w:val="nil"/>
              <w:tr2bl w:val="nil"/>
            </w:tcBorders>
            <w:shd w:val="clear" w:color="auto" w:fill="auto"/>
            <w:vAlign w:val="center"/>
          </w:tcPr>
          <w:p w14:paraId="3944FA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66.3260 </w:t>
            </w:r>
          </w:p>
        </w:tc>
        <w:tc>
          <w:tcPr>
            <w:tcW w:w="1079" w:type="dxa"/>
            <w:tcBorders>
              <w:tl2br w:val="nil"/>
              <w:tr2bl w:val="nil"/>
            </w:tcBorders>
            <w:shd w:val="clear" w:color="auto" w:fill="auto"/>
            <w:vAlign w:val="center"/>
          </w:tcPr>
          <w:p w14:paraId="2CFE81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BCBE1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47.2800 </w:t>
            </w:r>
          </w:p>
        </w:tc>
        <w:tc>
          <w:tcPr>
            <w:tcW w:w="1353" w:type="dxa"/>
            <w:tcBorders>
              <w:tl2br w:val="nil"/>
              <w:tr2bl w:val="nil"/>
            </w:tcBorders>
            <w:shd w:val="clear" w:color="auto" w:fill="auto"/>
            <w:vAlign w:val="center"/>
          </w:tcPr>
          <w:p w14:paraId="1EE03C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66.3260 </w:t>
            </w:r>
          </w:p>
        </w:tc>
      </w:tr>
      <w:tr w14:paraId="5020F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9CAB8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4330 </w:t>
            </w:r>
          </w:p>
        </w:tc>
        <w:tc>
          <w:tcPr>
            <w:tcW w:w="1443" w:type="dxa"/>
            <w:tcBorders>
              <w:tl2br w:val="nil"/>
              <w:tr2bl w:val="nil"/>
            </w:tcBorders>
            <w:shd w:val="clear" w:color="auto" w:fill="auto"/>
            <w:vAlign w:val="center"/>
          </w:tcPr>
          <w:p w14:paraId="587B10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47.3650 </w:t>
            </w:r>
          </w:p>
        </w:tc>
        <w:tc>
          <w:tcPr>
            <w:tcW w:w="1394" w:type="dxa"/>
            <w:tcBorders>
              <w:tl2br w:val="nil"/>
              <w:tr2bl w:val="nil"/>
            </w:tcBorders>
            <w:shd w:val="clear" w:color="auto" w:fill="auto"/>
            <w:vAlign w:val="center"/>
          </w:tcPr>
          <w:p w14:paraId="48AD7D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66.0560 </w:t>
            </w:r>
          </w:p>
        </w:tc>
        <w:tc>
          <w:tcPr>
            <w:tcW w:w="1079" w:type="dxa"/>
            <w:tcBorders>
              <w:tl2br w:val="nil"/>
              <w:tr2bl w:val="nil"/>
            </w:tcBorders>
            <w:shd w:val="clear" w:color="auto" w:fill="auto"/>
            <w:vAlign w:val="center"/>
          </w:tcPr>
          <w:p w14:paraId="66375E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1B29F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47.3650 </w:t>
            </w:r>
          </w:p>
        </w:tc>
        <w:tc>
          <w:tcPr>
            <w:tcW w:w="1353" w:type="dxa"/>
            <w:tcBorders>
              <w:tl2br w:val="nil"/>
              <w:tr2bl w:val="nil"/>
            </w:tcBorders>
            <w:shd w:val="clear" w:color="auto" w:fill="auto"/>
            <w:vAlign w:val="center"/>
          </w:tcPr>
          <w:p w14:paraId="76EFB5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66.0560 </w:t>
            </w:r>
          </w:p>
        </w:tc>
      </w:tr>
      <w:tr w14:paraId="1C6CE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BFF08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4340 </w:t>
            </w:r>
          </w:p>
        </w:tc>
        <w:tc>
          <w:tcPr>
            <w:tcW w:w="1443" w:type="dxa"/>
            <w:tcBorders>
              <w:tl2br w:val="nil"/>
              <w:tr2bl w:val="nil"/>
            </w:tcBorders>
            <w:shd w:val="clear" w:color="auto" w:fill="auto"/>
            <w:vAlign w:val="center"/>
          </w:tcPr>
          <w:p w14:paraId="3550AD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47.4500 </w:t>
            </w:r>
          </w:p>
        </w:tc>
        <w:tc>
          <w:tcPr>
            <w:tcW w:w="1394" w:type="dxa"/>
            <w:tcBorders>
              <w:tl2br w:val="nil"/>
              <w:tr2bl w:val="nil"/>
            </w:tcBorders>
            <w:shd w:val="clear" w:color="auto" w:fill="auto"/>
            <w:vAlign w:val="center"/>
          </w:tcPr>
          <w:p w14:paraId="3164CB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65.7880 </w:t>
            </w:r>
          </w:p>
        </w:tc>
        <w:tc>
          <w:tcPr>
            <w:tcW w:w="1079" w:type="dxa"/>
            <w:tcBorders>
              <w:tl2br w:val="nil"/>
              <w:tr2bl w:val="nil"/>
            </w:tcBorders>
            <w:shd w:val="clear" w:color="auto" w:fill="auto"/>
            <w:vAlign w:val="center"/>
          </w:tcPr>
          <w:p w14:paraId="47C93C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AB6254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47.4500 </w:t>
            </w:r>
          </w:p>
        </w:tc>
        <w:tc>
          <w:tcPr>
            <w:tcW w:w="1353" w:type="dxa"/>
            <w:tcBorders>
              <w:tl2br w:val="nil"/>
              <w:tr2bl w:val="nil"/>
            </w:tcBorders>
            <w:shd w:val="clear" w:color="auto" w:fill="auto"/>
            <w:vAlign w:val="center"/>
          </w:tcPr>
          <w:p w14:paraId="1784F7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65.7880 </w:t>
            </w:r>
          </w:p>
        </w:tc>
      </w:tr>
      <w:tr w14:paraId="46789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D6D9B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4350 </w:t>
            </w:r>
          </w:p>
        </w:tc>
        <w:tc>
          <w:tcPr>
            <w:tcW w:w="1443" w:type="dxa"/>
            <w:tcBorders>
              <w:tl2br w:val="nil"/>
              <w:tr2bl w:val="nil"/>
            </w:tcBorders>
            <w:shd w:val="clear" w:color="auto" w:fill="auto"/>
            <w:vAlign w:val="center"/>
          </w:tcPr>
          <w:p w14:paraId="0074DC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47.5350 </w:t>
            </w:r>
          </w:p>
        </w:tc>
        <w:tc>
          <w:tcPr>
            <w:tcW w:w="1394" w:type="dxa"/>
            <w:tcBorders>
              <w:tl2br w:val="nil"/>
              <w:tr2bl w:val="nil"/>
            </w:tcBorders>
            <w:shd w:val="clear" w:color="auto" w:fill="auto"/>
            <w:vAlign w:val="center"/>
          </w:tcPr>
          <w:p w14:paraId="0203DC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65.5210 </w:t>
            </w:r>
          </w:p>
        </w:tc>
        <w:tc>
          <w:tcPr>
            <w:tcW w:w="1079" w:type="dxa"/>
            <w:tcBorders>
              <w:tl2br w:val="nil"/>
              <w:tr2bl w:val="nil"/>
            </w:tcBorders>
            <w:shd w:val="clear" w:color="auto" w:fill="auto"/>
            <w:vAlign w:val="center"/>
          </w:tcPr>
          <w:p w14:paraId="4E44C6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51355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47.5350 </w:t>
            </w:r>
          </w:p>
        </w:tc>
        <w:tc>
          <w:tcPr>
            <w:tcW w:w="1353" w:type="dxa"/>
            <w:tcBorders>
              <w:tl2br w:val="nil"/>
              <w:tr2bl w:val="nil"/>
            </w:tcBorders>
            <w:shd w:val="clear" w:color="auto" w:fill="auto"/>
            <w:vAlign w:val="center"/>
          </w:tcPr>
          <w:p w14:paraId="36309F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65.5210 </w:t>
            </w:r>
          </w:p>
        </w:tc>
      </w:tr>
      <w:tr w14:paraId="253A14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3AFC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4360 </w:t>
            </w:r>
          </w:p>
        </w:tc>
        <w:tc>
          <w:tcPr>
            <w:tcW w:w="1443" w:type="dxa"/>
            <w:tcBorders>
              <w:tl2br w:val="nil"/>
              <w:tr2bl w:val="nil"/>
            </w:tcBorders>
            <w:shd w:val="clear" w:color="auto" w:fill="auto"/>
            <w:vAlign w:val="center"/>
          </w:tcPr>
          <w:p w14:paraId="7F49D9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47.6200 </w:t>
            </w:r>
          </w:p>
        </w:tc>
        <w:tc>
          <w:tcPr>
            <w:tcW w:w="1394" w:type="dxa"/>
            <w:tcBorders>
              <w:tl2br w:val="nil"/>
              <w:tr2bl w:val="nil"/>
            </w:tcBorders>
            <w:shd w:val="clear" w:color="auto" w:fill="auto"/>
            <w:vAlign w:val="center"/>
          </w:tcPr>
          <w:p w14:paraId="155F26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65.2560 </w:t>
            </w:r>
          </w:p>
        </w:tc>
        <w:tc>
          <w:tcPr>
            <w:tcW w:w="1079" w:type="dxa"/>
            <w:tcBorders>
              <w:tl2br w:val="nil"/>
              <w:tr2bl w:val="nil"/>
            </w:tcBorders>
            <w:shd w:val="clear" w:color="auto" w:fill="auto"/>
            <w:vAlign w:val="center"/>
          </w:tcPr>
          <w:p w14:paraId="6E9F72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710E2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47.6200 </w:t>
            </w:r>
          </w:p>
        </w:tc>
        <w:tc>
          <w:tcPr>
            <w:tcW w:w="1353" w:type="dxa"/>
            <w:tcBorders>
              <w:tl2br w:val="nil"/>
              <w:tr2bl w:val="nil"/>
            </w:tcBorders>
            <w:shd w:val="clear" w:color="auto" w:fill="auto"/>
            <w:vAlign w:val="center"/>
          </w:tcPr>
          <w:p w14:paraId="08B967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65.2560 </w:t>
            </w:r>
          </w:p>
        </w:tc>
      </w:tr>
      <w:tr w14:paraId="163E7B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1B4B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4370 </w:t>
            </w:r>
          </w:p>
        </w:tc>
        <w:tc>
          <w:tcPr>
            <w:tcW w:w="1443" w:type="dxa"/>
            <w:tcBorders>
              <w:tl2br w:val="nil"/>
              <w:tr2bl w:val="nil"/>
            </w:tcBorders>
            <w:shd w:val="clear" w:color="auto" w:fill="auto"/>
            <w:vAlign w:val="center"/>
          </w:tcPr>
          <w:p w14:paraId="34803C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47.7050 </w:t>
            </w:r>
          </w:p>
        </w:tc>
        <w:tc>
          <w:tcPr>
            <w:tcW w:w="1394" w:type="dxa"/>
            <w:tcBorders>
              <w:tl2br w:val="nil"/>
              <w:tr2bl w:val="nil"/>
            </w:tcBorders>
            <w:shd w:val="clear" w:color="auto" w:fill="auto"/>
            <w:vAlign w:val="center"/>
          </w:tcPr>
          <w:p w14:paraId="497D00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64.9920 </w:t>
            </w:r>
          </w:p>
        </w:tc>
        <w:tc>
          <w:tcPr>
            <w:tcW w:w="1079" w:type="dxa"/>
            <w:tcBorders>
              <w:tl2br w:val="nil"/>
              <w:tr2bl w:val="nil"/>
            </w:tcBorders>
            <w:shd w:val="clear" w:color="auto" w:fill="auto"/>
            <w:vAlign w:val="center"/>
          </w:tcPr>
          <w:p w14:paraId="32C96C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E44A6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47.7050 </w:t>
            </w:r>
          </w:p>
        </w:tc>
        <w:tc>
          <w:tcPr>
            <w:tcW w:w="1353" w:type="dxa"/>
            <w:tcBorders>
              <w:tl2br w:val="nil"/>
              <w:tr2bl w:val="nil"/>
            </w:tcBorders>
            <w:shd w:val="clear" w:color="auto" w:fill="auto"/>
            <w:vAlign w:val="center"/>
          </w:tcPr>
          <w:p w14:paraId="3F919B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64.9920 </w:t>
            </w:r>
          </w:p>
        </w:tc>
      </w:tr>
      <w:tr w14:paraId="42830F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9308F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4380 </w:t>
            </w:r>
          </w:p>
        </w:tc>
        <w:tc>
          <w:tcPr>
            <w:tcW w:w="1443" w:type="dxa"/>
            <w:tcBorders>
              <w:tl2br w:val="nil"/>
              <w:tr2bl w:val="nil"/>
            </w:tcBorders>
            <w:shd w:val="clear" w:color="auto" w:fill="auto"/>
            <w:vAlign w:val="center"/>
          </w:tcPr>
          <w:p w14:paraId="7F7652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47.7900 </w:t>
            </w:r>
          </w:p>
        </w:tc>
        <w:tc>
          <w:tcPr>
            <w:tcW w:w="1394" w:type="dxa"/>
            <w:tcBorders>
              <w:tl2br w:val="nil"/>
              <w:tr2bl w:val="nil"/>
            </w:tcBorders>
            <w:shd w:val="clear" w:color="auto" w:fill="auto"/>
            <w:vAlign w:val="center"/>
          </w:tcPr>
          <w:p w14:paraId="39FACB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64.7310 </w:t>
            </w:r>
          </w:p>
        </w:tc>
        <w:tc>
          <w:tcPr>
            <w:tcW w:w="1079" w:type="dxa"/>
            <w:tcBorders>
              <w:tl2br w:val="nil"/>
              <w:tr2bl w:val="nil"/>
            </w:tcBorders>
            <w:shd w:val="clear" w:color="auto" w:fill="auto"/>
            <w:vAlign w:val="center"/>
          </w:tcPr>
          <w:p w14:paraId="77254D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3EBD2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47.7900 </w:t>
            </w:r>
          </w:p>
        </w:tc>
        <w:tc>
          <w:tcPr>
            <w:tcW w:w="1353" w:type="dxa"/>
            <w:tcBorders>
              <w:tl2br w:val="nil"/>
              <w:tr2bl w:val="nil"/>
            </w:tcBorders>
            <w:shd w:val="clear" w:color="auto" w:fill="auto"/>
            <w:vAlign w:val="center"/>
          </w:tcPr>
          <w:p w14:paraId="4A621F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64.7310 </w:t>
            </w:r>
          </w:p>
        </w:tc>
      </w:tr>
      <w:tr w14:paraId="3C75C6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79A94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4390 </w:t>
            </w:r>
          </w:p>
        </w:tc>
        <w:tc>
          <w:tcPr>
            <w:tcW w:w="1443" w:type="dxa"/>
            <w:tcBorders>
              <w:tl2br w:val="nil"/>
              <w:tr2bl w:val="nil"/>
            </w:tcBorders>
            <w:shd w:val="clear" w:color="auto" w:fill="auto"/>
            <w:vAlign w:val="center"/>
          </w:tcPr>
          <w:p w14:paraId="5FD1E8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47.8750 </w:t>
            </w:r>
          </w:p>
        </w:tc>
        <w:tc>
          <w:tcPr>
            <w:tcW w:w="1394" w:type="dxa"/>
            <w:tcBorders>
              <w:tl2br w:val="nil"/>
              <w:tr2bl w:val="nil"/>
            </w:tcBorders>
            <w:shd w:val="clear" w:color="auto" w:fill="auto"/>
            <w:vAlign w:val="center"/>
          </w:tcPr>
          <w:p w14:paraId="5AB329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64.4700 </w:t>
            </w:r>
          </w:p>
        </w:tc>
        <w:tc>
          <w:tcPr>
            <w:tcW w:w="1079" w:type="dxa"/>
            <w:tcBorders>
              <w:tl2br w:val="nil"/>
              <w:tr2bl w:val="nil"/>
            </w:tcBorders>
            <w:shd w:val="clear" w:color="auto" w:fill="auto"/>
            <w:vAlign w:val="center"/>
          </w:tcPr>
          <w:p w14:paraId="4A9EAF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5DDFF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47.8750 </w:t>
            </w:r>
          </w:p>
        </w:tc>
        <w:tc>
          <w:tcPr>
            <w:tcW w:w="1353" w:type="dxa"/>
            <w:tcBorders>
              <w:tl2br w:val="nil"/>
              <w:tr2bl w:val="nil"/>
            </w:tcBorders>
            <w:shd w:val="clear" w:color="auto" w:fill="auto"/>
            <w:vAlign w:val="center"/>
          </w:tcPr>
          <w:p w14:paraId="257943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64.4700 </w:t>
            </w:r>
          </w:p>
        </w:tc>
      </w:tr>
      <w:tr w14:paraId="5A67B2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BF493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4400 </w:t>
            </w:r>
          </w:p>
        </w:tc>
        <w:tc>
          <w:tcPr>
            <w:tcW w:w="1443" w:type="dxa"/>
            <w:tcBorders>
              <w:tl2br w:val="nil"/>
              <w:tr2bl w:val="nil"/>
            </w:tcBorders>
            <w:shd w:val="clear" w:color="auto" w:fill="auto"/>
            <w:vAlign w:val="center"/>
          </w:tcPr>
          <w:p w14:paraId="09E3C4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47.9600 </w:t>
            </w:r>
          </w:p>
        </w:tc>
        <w:tc>
          <w:tcPr>
            <w:tcW w:w="1394" w:type="dxa"/>
            <w:tcBorders>
              <w:tl2br w:val="nil"/>
              <w:tr2bl w:val="nil"/>
            </w:tcBorders>
            <w:shd w:val="clear" w:color="auto" w:fill="auto"/>
            <w:vAlign w:val="center"/>
          </w:tcPr>
          <w:p w14:paraId="33D6BA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64.2120 </w:t>
            </w:r>
          </w:p>
        </w:tc>
        <w:tc>
          <w:tcPr>
            <w:tcW w:w="1079" w:type="dxa"/>
            <w:tcBorders>
              <w:tl2br w:val="nil"/>
              <w:tr2bl w:val="nil"/>
            </w:tcBorders>
            <w:shd w:val="clear" w:color="auto" w:fill="auto"/>
            <w:vAlign w:val="center"/>
          </w:tcPr>
          <w:p w14:paraId="4ED5F9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887F9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47.9600 </w:t>
            </w:r>
          </w:p>
        </w:tc>
        <w:tc>
          <w:tcPr>
            <w:tcW w:w="1353" w:type="dxa"/>
            <w:tcBorders>
              <w:tl2br w:val="nil"/>
              <w:tr2bl w:val="nil"/>
            </w:tcBorders>
            <w:shd w:val="clear" w:color="auto" w:fill="auto"/>
            <w:vAlign w:val="center"/>
          </w:tcPr>
          <w:p w14:paraId="7E7C50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64.2120 </w:t>
            </w:r>
          </w:p>
        </w:tc>
      </w:tr>
      <w:tr w14:paraId="58347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55ACA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4410 </w:t>
            </w:r>
          </w:p>
        </w:tc>
        <w:tc>
          <w:tcPr>
            <w:tcW w:w="1443" w:type="dxa"/>
            <w:tcBorders>
              <w:tl2br w:val="nil"/>
              <w:tr2bl w:val="nil"/>
            </w:tcBorders>
            <w:shd w:val="clear" w:color="auto" w:fill="auto"/>
            <w:vAlign w:val="center"/>
          </w:tcPr>
          <w:p w14:paraId="79D1C6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48.0440 </w:t>
            </w:r>
          </w:p>
        </w:tc>
        <w:tc>
          <w:tcPr>
            <w:tcW w:w="1394" w:type="dxa"/>
            <w:tcBorders>
              <w:tl2br w:val="nil"/>
              <w:tr2bl w:val="nil"/>
            </w:tcBorders>
            <w:shd w:val="clear" w:color="auto" w:fill="auto"/>
            <w:vAlign w:val="center"/>
          </w:tcPr>
          <w:p w14:paraId="020F2D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63.9550 </w:t>
            </w:r>
          </w:p>
        </w:tc>
        <w:tc>
          <w:tcPr>
            <w:tcW w:w="1079" w:type="dxa"/>
            <w:tcBorders>
              <w:tl2br w:val="nil"/>
              <w:tr2bl w:val="nil"/>
            </w:tcBorders>
            <w:shd w:val="clear" w:color="auto" w:fill="auto"/>
            <w:vAlign w:val="center"/>
          </w:tcPr>
          <w:p w14:paraId="5E32C2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499EA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48.0440 </w:t>
            </w:r>
          </w:p>
        </w:tc>
        <w:tc>
          <w:tcPr>
            <w:tcW w:w="1353" w:type="dxa"/>
            <w:tcBorders>
              <w:tl2br w:val="nil"/>
              <w:tr2bl w:val="nil"/>
            </w:tcBorders>
            <w:shd w:val="clear" w:color="auto" w:fill="auto"/>
            <w:vAlign w:val="center"/>
          </w:tcPr>
          <w:p w14:paraId="49D5F3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63.9550 </w:t>
            </w:r>
          </w:p>
        </w:tc>
      </w:tr>
      <w:tr w14:paraId="09200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A91DA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4420 </w:t>
            </w:r>
          </w:p>
        </w:tc>
        <w:tc>
          <w:tcPr>
            <w:tcW w:w="1443" w:type="dxa"/>
            <w:tcBorders>
              <w:tl2br w:val="nil"/>
              <w:tr2bl w:val="nil"/>
            </w:tcBorders>
            <w:shd w:val="clear" w:color="auto" w:fill="auto"/>
            <w:vAlign w:val="center"/>
          </w:tcPr>
          <w:p w14:paraId="5EA169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48.1290 </w:t>
            </w:r>
          </w:p>
        </w:tc>
        <w:tc>
          <w:tcPr>
            <w:tcW w:w="1394" w:type="dxa"/>
            <w:tcBorders>
              <w:tl2br w:val="nil"/>
              <w:tr2bl w:val="nil"/>
            </w:tcBorders>
            <w:shd w:val="clear" w:color="auto" w:fill="auto"/>
            <w:vAlign w:val="center"/>
          </w:tcPr>
          <w:p w14:paraId="5B3DBA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63.6990 </w:t>
            </w:r>
          </w:p>
        </w:tc>
        <w:tc>
          <w:tcPr>
            <w:tcW w:w="1079" w:type="dxa"/>
            <w:tcBorders>
              <w:tl2br w:val="nil"/>
              <w:tr2bl w:val="nil"/>
            </w:tcBorders>
            <w:shd w:val="clear" w:color="auto" w:fill="auto"/>
            <w:vAlign w:val="center"/>
          </w:tcPr>
          <w:p w14:paraId="4A4692B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4D2B5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48.1290 </w:t>
            </w:r>
          </w:p>
        </w:tc>
        <w:tc>
          <w:tcPr>
            <w:tcW w:w="1353" w:type="dxa"/>
            <w:tcBorders>
              <w:tl2br w:val="nil"/>
              <w:tr2bl w:val="nil"/>
            </w:tcBorders>
            <w:shd w:val="clear" w:color="auto" w:fill="auto"/>
            <w:vAlign w:val="center"/>
          </w:tcPr>
          <w:p w14:paraId="768EAE6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63.6990 </w:t>
            </w:r>
          </w:p>
        </w:tc>
      </w:tr>
      <w:tr w14:paraId="625D2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7E7D5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4430 </w:t>
            </w:r>
          </w:p>
        </w:tc>
        <w:tc>
          <w:tcPr>
            <w:tcW w:w="1443" w:type="dxa"/>
            <w:tcBorders>
              <w:tl2br w:val="nil"/>
              <w:tr2bl w:val="nil"/>
            </w:tcBorders>
            <w:shd w:val="clear" w:color="auto" w:fill="auto"/>
            <w:vAlign w:val="center"/>
          </w:tcPr>
          <w:p w14:paraId="5DC90D0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48.2140 </w:t>
            </w:r>
          </w:p>
        </w:tc>
        <w:tc>
          <w:tcPr>
            <w:tcW w:w="1394" w:type="dxa"/>
            <w:tcBorders>
              <w:tl2br w:val="nil"/>
              <w:tr2bl w:val="nil"/>
            </w:tcBorders>
            <w:shd w:val="clear" w:color="auto" w:fill="auto"/>
            <w:vAlign w:val="center"/>
          </w:tcPr>
          <w:p w14:paraId="1D7885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63.4460 </w:t>
            </w:r>
          </w:p>
        </w:tc>
        <w:tc>
          <w:tcPr>
            <w:tcW w:w="1079" w:type="dxa"/>
            <w:tcBorders>
              <w:tl2br w:val="nil"/>
              <w:tr2bl w:val="nil"/>
            </w:tcBorders>
            <w:shd w:val="clear" w:color="auto" w:fill="auto"/>
            <w:vAlign w:val="center"/>
          </w:tcPr>
          <w:p w14:paraId="7AFB78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2041F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48.2140 </w:t>
            </w:r>
          </w:p>
        </w:tc>
        <w:tc>
          <w:tcPr>
            <w:tcW w:w="1353" w:type="dxa"/>
            <w:tcBorders>
              <w:tl2br w:val="nil"/>
              <w:tr2bl w:val="nil"/>
            </w:tcBorders>
            <w:shd w:val="clear" w:color="auto" w:fill="auto"/>
            <w:vAlign w:val="center"/>
          </w:tcPr>
          <w:p w14:paraId="3FC3BA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63.4460 </w:t>
            </w:r>
          </w:p>
        </w:tc>
      </w:tr>
      <w:tr w14:paraId="00EE0D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D4331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4440 </w:t>
            </w:r>
          </w:p>
        </w:tc>
        <w:tc>
          <w:tcPr>
            <w:tcW w:w="1443" w:type="dxa"/>
            <w:tcBorders>
              <w:tl2br w:val="nil"/>
              <w:tr2bl w:val="nil"/>
            </w:tcBorders>
            <w:shd w:val="clear" w:color="auto" w:fill="auto"/>
            <w:vAlign w:val="center"/>
          </w:tcPr>
          <w:p w14:paraId="70D83E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48.2990 </w:t>
            </w:r>
          </w:p>
        </w:tc>
        <w:tc>
          <w:tcPr>
            <w:tcW w:w="1394" w:type="dxa"/>
            <w:tcBorders>
              <w:tl2br w:val="nil"/>
              <w:tr2bl w:val="nil"/>
            </w:tcBorders>
            <w:shd w:val="clear" w:color="auto" w:fill="auto"/>
            <w:vAlign w:val="center"/>
          </w:tcPr>
          <w:p w14:paraId="51AFE0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63.1930 </w:t>
            </w:r>
          </w:p>
        </w:tc>
        <w:tc>
          <w:tcPr>
            <w:tcW w:w="1079" w:type="dxa"/>
            <w:tcBorders>
              <w:tl2br w:val="nil"/>
              <w:tr2bl w:val="nil"/>
            </w:tcBorders>
            <w:shd w:val="clear" w:color="auto" w:fill="auto"/>
            <w:vAlign w:val="center"/>
          </w:tcPr>
          <w:p w14:paraId="12EF74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19194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48.2990 </w:t>
            </w:r>
          </w:p>
        </w:tc>
        <w:tc>
          <w:tcPr>
            <w:tcW w:w="1353" w:type="dxa"/>
            <w:tcBorders>
              <w:tl2br w:val="nil"/>
              <w:tr2bl w:val="nil"/>
            </w:tcBorders>
            <w:shd w:val="clear" w:color="auto" w:fill="auto"/>
            <w:vAlign w:val="center"/>
          </w:tcPr>
          <w:p w14:paraId="305E5C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63.1930 </w:t>
            </w:r>
          </w:p>
        </w:tc>
      </w:tr>
      <w:tr w14:paraId="37FE8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2D663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4450 </w:t>
            </w:r>
          </w:p>
        </w:tc>
        <w:tc>
          <w:tcPr>
            <w:tcW w:w="1443" w:type="dxa"/>
            <w:tcBorders>
              <w:tl2br w:val="nil"/>
              <w:tr2bl w:val="nil"/>
            </w:tcBorders>
            <w:shd w:val="clear" w:color="auto" w:fill="auto"/>
            <w:vAlign w:val="center"/>
          </w:tcPr>
          <w:p w14:paraId="14CDCA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48.3830 </w:t>
            </w:r>
          </w:p>
        </w:tc>
        <w:tc>
          <w:tcPr>
            <w:tcW w:w="1394" w:type="dxa"/>
            <w:tcBorders>
              <w:tl2br w:val="nil"/>
              <w:tr2bl w:val="nil"/>
            </w:tcBorders>
            <w:shd w:val="clear" w:color="auto" w:fill="auto"/>
            <w:vAlign w:val="center"/>
          </w:tcPr>
          <w:p w14:paraId="292ACC6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62.9430 </w:t>
            </w:r>
          </w:p>
        </w:tc>
        <w:tc>
          <w:tcPr>
            <w:tcW w:w="1079" w:type="dxa"/>
            <w:tcBorders>
              <w:tl2br w:val="nil"/>
              <w:tr2bl w:val="nil"/>
            </w:tcBorders>
            <w:shd w:val="clear" w:color="auto" w:fill="auto"/>
            <w:vAlign w:val="center"/>
          </w:tcPr>
          <w:p w14:paraId="5544AD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63D95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48.3830 </w:t>
            </w:r>
          </w:p>
        </w:tc>
        <w:tc>
          <w:tcPr>
            <w:tcW w:w="1353" w:type="dxa"/>
            <w:tcBorders>
              <w:tl2br w:val="nil"/>
              <w:tr2bl w:val="nil"/>
            </w:tcBorders>
            <w:shd w:val="clear" w:color="auto" w:fill="auto"/>
            <w:vAlign w:val="center"/>
          </w:tcPr>
          <w:p w14:paraId="7796DD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62.9430 </w:t>
            </w:r>
          </w:p>
        </w:tc>
      </w:tr>
      <w:tr w14:paraId="0CBA6F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98648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4460 </w:t>
            </w:r>
          </w:p>
        </w:tc>
        <w:tc>
          <w:tcPr>
            <w:tcW w:w="1443" w:type="dxa"/>
            <w:tcBorders>
              <w:tl2br w:val="nil"/>
              <w:tr2bl w:val="nil"/>
            </w:tcBorders>
            <w:shd w:val="clear" w:color="auto" w:fill="auto"/>
            <w:vAlign w:val="center"/>
          </w:tcPr>
          <w:p w14:paraId="689429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48.4680 </w:t>
            </w:r>
          </w:p>
        </w:tc>
        <w:tc>
          <w:tcPr>
            <w:tcW w:w="1394" w:type="dxa"/>
            <w:tcBorders>
              <w:tl2br w:val="nil"/>
              <w:tr2bl w:val="nil"/>
            </w:tcBorders>
            <w:shd w:val="clear" w:color="auto" w:fill="auto"/>
            <w:vAlign w:val="center"/>
          </w:tcPr>
          <w:p w14:paraId="1BFBDF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62.6940 </w:t>
            </w:r>
          </w:p>
        </w:tc>
        <w:tc>
          <w:tcPr>
            <w:tcW w:w="1079" w:type="dxa"/>
            <w:tcBorders>
              <w:tl2br w:val="nil"/>
              <w:tr2bl w:val="nil"/>
            </w:tcBorders>
            <w:shd w:val="clear" w:color="auto" w:fill="auto"/>
            <w:vAlign w:val="center"/>
          </w:tcPr>
          <w:p w14:paraId="7CBBE1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43A88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48.4680 </w:t>
            </w:r>
          </w:p>
        </w:tc>
        <w:tc>
          <w:tcPr>
            <w:tcW w:w="1353" w:type="dxa"/>
            <w:tcBorders>
              <w:tl2br w:val="nil"/>
              <w:tr2bl w:val="nil"/>
            </w:tcBorders>
            <w:shd w:val="clear" w:color="auto" w:fill="auto"/>
            <w:vAlign w:val="center"/>
          </w:tcPr>
          <w:p w14:paraId="478541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62.6940 </w:t>
            </w:r>
          </w:p>
        </w:tc>
      </w:tr>
      <w:tr w14:paraId="07D73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B614A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4470 </w:t>
            </w:r>
          </w:p>
        </w:tc>
        <w:tc>
          <w:tcPr>
            <w:tcW w:w="1443" w:type="dxa"/>
            <w:tcBorders>
              <w:tl2br w:val="nil"/>
              <w:tr2bl w:val="nil"/>
            </w:tcBorders>
            <w:shd w:val="clear" w:color="auto" w:fill="auto"/>
            <w:vAlign w:val="center"/>
          </w:tcPr>
          <w:p w14:paraId="5BD79C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48.5520 </w:t>
            </w:r>
          </w:p>
        </w:tc>
        <w:tc>
          <w:tcPr>
            <w:tcW w:w="1394" w:type="dxa"/>
            <w:tcBorders>
              <w:tl2br w:val="nil"/>
              <w:tr2bl w:val="nil"/>
            </w:tcBorders>
            <w:shd w:val="clear" w:color="auto" w:fill="auto"/>
            <w:vAlign w:val="center"/>
          </w:tcPr>
          <w:p w14:paraId="1DD3F77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62.4460 </w:t>
            </w:r>
          </w:p>
        </w:tc>
        <w:tc>
          <w:tcPr>
            <w:tcW w:w="1079" w:type="dxa"/>
            <w:tcBorders>
              <w:tl2br w:val="nil"/>
              <w:tr2bl w:val="nil"/>
            </w:tcBorders>
            <w:shd w:val="clear" w:color="auto" w:fill="auto"/>
            <w:vAlign w:val="center"/>
          </w:tcPr>
          <w:p w14:paraId="539986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6BAE2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48.5520 </w:t>
            </w:r>
          </w:p>
        </w:tc>
        <w:tc>
          <w:tcPr>
            <w:tcW w:w="1353" w:type="dxa"/>
            <w:tcBorders>
              <w:tl2br w:val="nil"/>
              <w:tr2bl w:val="nil"/>
            </w:tcBorders>
            <w:shd w:val="clear" w:color="auto" w:fill="auto"/>
            <w:vAlign w:val="center"/>
          </w:tcPr>
          <w:p w14:paraId="21C838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62.4460 </w:t>
            </w:r>
          </w:p>
        </w:tc>
      </w:tr>
      <w:tr w14:paraId="55DC3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07FF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4480 </w:t>
            </w:r>
          </w:p>
        </w:tc>
        <w:tc>
          <w:tcPr>
            <w:tcW w:w="1443" w:type="dxa"/>
            <w:tcBorders>
              <w:tl2br w:val="nil"/>
              <w:tr2bl w:val="nil"/>
            </w:tcBorders>
            <w:shd w:val="clear" w:color="auto" w:fill="auto"/>
            <w:vAlign w:val="center"/>
          </w:tcPr>
          <w:p w14:paraId="682282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48.6370 </w:t>
            </w:r>
          </w:p>
        </w:tc>
        <w:tc>
          <w:tcPr>
            <w:tcW w:w="1394" w:type="dxa"/>
            <w:tcBorders>
              <w:tl2br w:val="nil"/>
              <w:tr2bl w:val="nil"/>
            </w:tcBorders>
            <w:shd w:val="clear" w:color="auto" w:fill="auto"/>
            <w:vAlign w:val="center"/>
          </w:tcPr>
          <w:p w14:paraId="5CCD8F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62.2000 </w:t>
            </w:r>
          </w:p>
        </w:tc>
        <w:tc>
          <w:tcPr>
            <w:tcW w:w="1079" w:type="dxa"/>
            <w:tcBorders>
              <w:tl2br w:val="nil"/>
              <w:tr2bl w:val="nil"/>
            </w:tcBorders>
            <w:shd w:val="clear" w:color="auto" w:fill="auto"/>
            <w:vAlign w:val="center"/>
          </w:tcPr>
          <w:p w14:paraId="55AD19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BBD31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48.6370 </w:t>
            </w:r>
          </w:p>
        </w:tc>
        <w:tc>
          <w:tcPr>
            <w:tcW w:w="1353" w:type="dxa"/>
            <w:tcBorders>
              <w:tl2br w:val="nil"/>
              <w:tr2bl w:val="nil"/>
            </w:tcBorders>
            <w:shd w:val="clear" w:color="auto" w:fill="auto"/>
            <w:vAlign w:val="center"/>
          </w:tcPr>
          <w:p w14:paraId="498809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62.2000 </w:t>
            </w:r>
          </w:p>
        </w:tc>
      </w:tr>
      <w:tr w14:paraId="2094B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98925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4490 </w:t>
            </w:r>
          </w:p>
        </w:tc>
        <w:tc>
          <w:tcPr>
            <w:tcW w:w="1443" w:type="dxa"/>
            <w:tcBorders>
              <w:tl2br w:val="nil"/>
              <w:tr2bl w:val="nil"/>
            </w:tcBorders>
            <w:shd w:val="clear" w:color="auto" w:fill="auto"/>
            <w:vAlign w:val="center"/>
          </w:tcPr>
          <w:p w14:paraId="2076ED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48.7210 </w:t>
            </w:r>
          </w:p>
        </w:tc>
        <w:tc>
          <w:tcPr>
            <w:tcW w:w="1394" w:type="dxa"/>
            <w:tcBorders>
              <w:tl2br w:val="nil"/>
              <w:tr2bl w:val="nil"/>
            </w:tcBorders>
            <w:shd w:val="clear" w:color="auto" w:fill="auto"/>
            <w:vAlign w:val="center"/>
          </w:tcPr>
          <w:p w14:paraId="5F7DB6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61.9560 </w:t>
            </w:r>
          </w:p>
        </w:tc>
        <w:tc>
          <w:tcPr>
            <w:tcW w:w="1079" w:type="dxa"/>
            <w:tcBorders>
              <w:tl2br w:val="nil"/>
              <w:tr2bl w:val="nil"/>
            </w:tcBorders>
            <w:shd w:val="clear" w:color="auto" w:fill="auto"/>
            <w:vAlign w:val="center"/>
          </w:tcPr>
          <w:p w14:paraId="71D32E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7B195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48.7210 </w:t>
            </w:r>
          </w:p>
        </w:tc>
        <w:tc>
          <w:tcPr>
            <w:tcW w:w="1353" w:type="dxa"/>
            <w:tcBorders>
              <w:tl2br w:val="nil"/>
              <w:tr2bl w:val="nil"/>
            </w:tcBorders>
            <w:shd w:val="clear" w:color="auto" w:fill="auto"/>
            <w:vAlign w:val="center"/>
          </w:tcPr>
          <w:p w14:paraId="4B2C89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61.9560 </w:t>
            </w:r>
          </w:p>
        </w:tc>
      </w:tr>
      <w:tr w14:paraId="1CD5E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B44EC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4500 </w:t>
            </w:r>
          </w:p>
        </w:tc>
        <w:tc>
          <w:tcPr>
            <w:tcW w:w="1443" w:type="dxa"/>
            <w:tcBorders>
              <w:tl2br w:val="nil"/>
              <w:tr2bl w:val="nil"/>
            </w:tcBorders>
            <w:shd w:val="clear" w:color="auto" w:fill="auto"/>
            <w:vAlign w:val="center"/>
          </w:tcPr>
          <w:p w14:paraId="79579A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48.8060 </w:t>
            </w:r>
          </w:p>
        </w:tc>
        <w:tc>
          <w:tcPr>
            <w:tcW w:w="1394" w:type="dxa"/>
            <w:tcBorders>
              <w:tl2br w:val="nil"/>
              <w:tr2bl w:val="nil"/>
            </w:tcBorders>
            <w:shd w:val="clear" w:color="auto" w:fill="auto"/>
            <w:vAlign w:val="center"/>
          </w:tcPr>
          <w:p w14:paraId="0E2100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61.7130 </w:t>
            </w:r>
          </w:p>
        </w:tc>
        <w:tc>
          <w:tcPr>
            <w:tcW w:w="1079" w:type="dxa"/>
            <w:tcBorders>
              <w:tl2br w:val="nil"/>
              <w:tr2bl w:val="nil"/>
            </w:tcBorders>
            <w:shd w:val="clear" w:color="auto" w:fill="auto"/>
            <w:vAlign w:val="center"/>
          </w:tcPr>
          <w:p w14:paraId="0392DC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AF062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48.8060 </w:t>
            </w:r>
          </w:p>
        </w:tc>
        <w:tc>
          <w:tcPr>
            <w:tcW w:w="1353" w:type="dxa"/>
            <w:tcBorders>
              <w:tl2br w:val="nil"/>
              <w:tr2bl w:val="nil"/>
            </w:tcBorders>
            <w:shd w:val="clear" w:color="auto" w:fill="auto"/>
            <w:vAlign w:val="center"/>
          </w:tcPr>
          <w:p w14:paraId="170D62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61.7130 </w:t>
            </w:r>
          </w:p>
        </w:tc>
      </w:tr>
      <w:tr w14:paraId="5328A9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7EEF4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4510 </w:t>
            </w:r>
          </w:p>
        </w:tc>
        <w:tc>
          <w:tcPr>
            <w:tcW w:w="1443" w:type="dxa"/>
            <w:tcBorders>
              <w:tl2br w:val="nil"/>
              <w:tr2bl w:val="nil"/>
            </w:tcBorders>
            <w:shd w:val="clear" w:color="auto" w:fill="auto"/>
            <w:vAlign w:val="center"/>
          </w:tcPr>
          <w:p w14:paraId="0AFE91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48.8900 </w:t>
            </w:r>
          </w:p>
        </w:tc>
        <w:tc>
          <w:tcPr>
            <w:tcW w:w="1394" w:type="dxa"/>
            <w:tcBorders>
              <w:tl2br w:val="nil"/>
              <w:tr2bl w:val="nil"/>
            </w:tcBorders>
            <w:shd w:val="clear" w:color="auto" w:fill="auto"/>
            <w:vAlign w:val="center"/>
          </w:tcPr>
          <w:p w14:paraId="0C0928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61.4710 </w:t>
            </w:r>
          </w:p>
        </w:tc>
        <w:tc>
          <w:tcPr>
            <w:tcW w:w="1079" w:type="dxa"/>
            <w:tcBorders>
              <w:tl2br w:val="nil"/>
              <w:tr2bl w:val="nil"/>
            </w:tcBorders>
            <w:shd w:val="clear" w:color="auto" w:fill="auto"/>
            <w:vAlign w:val="center"/>
          </w:tcPr>
          <w:p w14:paraId="77CE6D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59E31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48.8900 </w:t>
            </w:r>
          </w:p>
        </w:tc>
        <w:tc>
          <w:tcPr>
            <w:tcW w:w="1353" w:type="dxa"/>
            <w:tcBorders>
              <w:tl2br w:val="nil"/>
              <w:tr2bl w:val="nil"/>
            </w:tcBorders>
            <w:shd w:val="clear" w:color="auto" w:fill="auto"/>
            <w:vAlign w:val="center"/>
          </w:tcPr>
          <w:p w14:paraId="5F8567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61.4710 </w:t>
            </w:r>
          </w:p>
        </w:tc>
      </w:tr>
      <w:tr w14:paraId="098876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F44FF6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4520 </w:t>
            </w:r>
          </w:p>
        </w:tc>
        <w:tc>
          <w:tcPr>
            <w:tcW w:w="1443" w:type="dxa"/>
            <w:tcBorders>
              <w:tl2br w:val="nil"/>
              <w:tr2bl w:val="nil"/>
            </w:tcBorders>
            <w:shd w:val="clear" w:color="auto" w:fill="auto"/>
            <w:vAlign w:val="center"/>
          </w:tcPr>
          <w:p w14:paraId="6A1CB7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48.9750 </w:t>
            </w:r>
          </w:p>
        </w:tc>
        <w:tc>
          <w:tcPr>
            <w:tcW w:w="1394" w:type="dxa"/>
            <w:tcBorders>
              <w:tl2br w:val="nil"/>
              <w:tr2bl w:val="nil"/>
            </w:tcBorders>
            <w:shd w:val="clear" w:color="auto" w:fill="auto"/>
            <w:vAlign w:val="center"/>
          </w:tcPr>
          <w:p w14:paraId="316486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61.2310 </w:t>
            </w:r>
          </w:p>
        </w:tc>
        <w:tc>
          <w:tcPr>
            <w:tcW w:w="1079" w:type="dxa"/>
            <w:tcBorders>
              <w:tl2br w:val="nil"/>
              <w:tr2bl w:val="nil"/>
            </w:tcBorders>
            <w:shd w:val="clear" w:color="auto" w:fill="auto"/>
            <w:vAlign w:val="center"/>
          </w:tcPr>
          <w:p w14:paraId="642564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D4382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48.9750 </w:t>
            </w:r>
          </w:p>
        </w:tc>
        <w:tc>
          <w:tcPr>
            <w:tcW w:w="1353" w:type="dxa"/>
            <w:tcBorders>
              <w:tl2br w:val="nil"/>
              <w:tr2bl w:val="nil"/>
            </w:tcBorders>
            <w:shd w:val="clear" w:color="auto" w:fill="auto"/>
            <w:vAlign w:val="center"/>
          </w:tcPr>
          <w:p w14:paraId="67A103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61.2310 </w:t>
            </w:r>
          </w:p>
        </w:tc>
      </w:tr>
      <w:tr w14:paraId="578FA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43196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4530 </w:t>
            </w:r>
          </w:p>
        </w:tc>
        <w:tc>
          <w:tcPr>
            <w:tcW w:w="1443" w:type="dxa"/>
            <w:tcBorders>
              <w:tl2br w:val="nil"/>
              <w:tr2bl w:val="nil"/>
            </w:tcBorders>
            <w:shd w:val="clear" w:color="auto" w:fill="auto"/>
            <w:vAlign w:val="center"/>
          </w:tcPr>
          <w:p w14:paraId="5B4989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49.0590 </w:t>
            </w:r>
          </w:p>
        </w:tc>
        <w:tc>
          <w:tcPr>
            <w:tcW w:w="1394" w:type="dxa"/>
            <w:tcBorders>
              <w:tl2br w:val="nil"/>
              <w:tr2bl w:val="nil"/>
            </w:tcBorders>
            <w:shd w:val="clear" w:color="auto" w:fill="auto"/>
            <w:vAlign w:val="center"/>
          </w:tcPr>
          <w:p w14:paraId="573CBF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60.9930 </w:t>
            </w:r>
          </w:p>
        </w:tc>
        <w:tc>
          <w:tcPr>
            <w:tcW w:w="1079" w:type="dxa"/>
            <w:tcBorders>
              <w:tl2br w:val="nil"/>
              <w:tr2bl w:val="nil"/>
            </w:tcBorders>
            <w:shd w:val="clear" w:color="auto" w:fill="auto"/>
            <w:vAlign w:val="center"/>
          </w:tcPr>
          <w:p w14:paraId="1E0D59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8661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49.0590 </w:t>
            </w:r>
          </w:p>
        </w:tc>
        <w:tc>
          <w:tcPr>
            <w:tcW w:w="1353" w:type="dxa"/>
            <w:tcBorders>
              <w:tl2br w:val="nil"/>
              <w:tr2bl w:val="nil"/>
            </w:tcBorders>
            <w:shd w:val="clear" w:color="auto" w:fill="auto"/>
            <w:vAlign w:val="center"/>
          </w:tcPr>
          <w:p w14:paraId="14E250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60.9930 </w:t>
            </w:r>
          </w:p>
        </w:tc>
      </w:tr>
      <w:tr w14:paraId="2BA0C6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AA74B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4540 </w:t>
            </w:r>
          </w:p>
        </w:tc>
        <w:tc>
          <w:tcPr>
            <w:tcW w:w="1443" w:type="dxa"/>
            <w:tcBorders>
              <w:tl2br w:val="nil"/>
              <w:tr2bl w:val="nil"/>
            </w:tcBorders>
            <w:shd w:val="clear" w:color="auto" w:fill="auto"/>
            <w:vAlign w:val="center"/>
          </w:tcPr>
          <w:p w14:paraId="44A5AA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49.1430 </w:t>
            </w:r>
          </w:p>
        </w:tc>
        <w:tc>
          <w:tcPr>
            <w:tcW w:w="1394" w:type="dxa"/>
            <w:tcBorders>
              <w:tl2br w:val="nil"/>
              <w:tr2bl w:val="nil"/>
            </w:tcBorders>
            <w:shd w:val="clear" w:color="auto" w:fill="auto"/>
            <w:vAlign w:val="center"/>
          </w:tcPr>
          <w:p w14:paraId="0465D6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60.7560 </w:t>
            </w:r>
          </w:p>
        </w:tc>
        <w:tc>
          <w:tcPr>
            <w:tcW w:w="1079" w:type="dxa"/>
            <w:tcBorders>
              <w:tl2br w:val="nil"/>
              <w:tr2bl w:val="nil"/>
            </w:tcBorders>
            <w:shd w:val="clear" w:color="auto" w:fill="auto"/>
            <w:vAlign w:val="center"/>
          </w:tcPr>
          <w:p w14:paraId="301516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8ACE8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49.1430 </w:t>
            </w:r>
          </w:p>
        </w:tc>
        <w:tc>
          <w:tcPr>
            <w:tcW w:w="1353" w:type="dxa"/>
            <w:tcBorders>
              <w:tl2br w:val="nil"/>
              <w:tr2bl w:val="nil"/>
            </w:tcBorders>
            <w:shd w:val="clear" w:color="auto" w:fill="auto"/>
            <w:vAlign w:val="center"/>
          </w:tcPr>
          <w:p w14:paraId="57E4B2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60.7560 </w:t>
            </w:r>
          </w:p>
        </w:tc>
      </w:tr>
      <w:tr w14:paraId="5CC7A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8AA3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4550 </w:t>
            </w:r>
          </w:p>
        </w:tc>
        <w:tc>
          <w:tcPr>
            <w:tcW w:w="1443" w:type="dxa"/>
            <w:tcBorders>
              <w:tl2br w:val="nil"/>
              <w:tr2bl w:val="nil"/>
            </w:tcBorders>
            <w:shd w:val="clear" w:color="auto" w:fill="auto"/>
            <w:vAlign w:val="center"/>
          </w:tcPr>
          <w:p w14:paraId="24137D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49.2280 </w:t>
            </w:r>
          </w:p>
        </w:tc>
        <w:tc>
          <w:tcPr>
            <w:tcW w:w="1394" w:type="dxa"/>
            <w:tcBorders>
              <w:tl2br w:val="nil"/>
              <w:tr2bl w:val="nil"/>
            </w:tcBorders>
            <w:shd w:val="clear" w:color="auto" w:fill="auto"/>
            <w:vAlign w:val="center"/>
          </w:tcPr>
          <w:p w14:paraId="3EB88E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60.5200 </w:t>
            </w:r>
          </w:p>
        </w:tc>
        <w:tc>
          <w:tcPr>
            <w:tcW w:w="1079" w:type="dxa"/>
            <w:tcBorders>
              <w:tl2br w:val="nil"/>
              <w:tr2bl w:val="nil"/>
            </w:tcBorders>
            <w:shd w:val="clear" w:color="auto" w:fill="auto"/>
            <w:vAlign w:val="center"/>
          </w:tcPr>
          <w:p w14:paraId="67F0B4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B8DAD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49.2280 </w:t>
            </w:r>
          </w:p>
        </w:tc>
        <w:tc>
          <w:tcPr>
            <w:tcW w:w="1353" w:type="dxa"/>
            <w:tcBorders>
              <w:tl2br w:val="nil"/>
              <w:tr2bl w:val="nil"/>
            </w:tcBorders>
            <w:shd w:val="clear" w:color="auto" w:fill="auto"/>
            <w:vAlign w:val="center"/>
          </w:tcPr>
          <w:p w14:paraId="20A82A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60.5200 </w:t>
            </w:r>
          </w:p>
        </w:tc>
      </w:tr>
      <w:tr w14:paraId="40BC9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9F1F1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4560 </w:t>
            </w:r>
          </w:p>
        </w:tc>
        <w:tc>
          <w:tcPr>
            <w:tcW w:w="1443" w:type="dxa"/>
            <w:tcBorders>
              <w:tl2br w:val="nil"/>
              <w:tr2bl w:val="nil"/>
            </w:tcBorders>
            <w:shd w:val="clear" w:color="auto" w:fill="auto"/>
            <w:vAlign w:val="center"/>
          </w:tcPr>
          <w:p w14:paraId="6E592A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49.3120 </w:t>
            </w:r>
          </w:p>
        </w:tc>
        <w:tc>
          <w:tcPr>
            <w:tcW w:w="1394" w:type="dxa"/>
            <w:tcBorders>
              <w:tl2br w:val="nil"/>
              <w:tr2bl w:val="nil"/>
            </w:tcBorders>
            <w:shd w:val="clear" w:color="auto" w:fill="auto"/>
            <w:vAlign w:val="center"/>
          </w:tcPr>
          <w:p w14:paraId="105BAE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60.2860 </w:t>
            </w:r>
          </w:p>
        </w:tc>
        <w:tc>
          <w:tcPr>
            <w:tcW w:w="1079" w:type="dxa"/>
            <w:tcBorders>
              <w:tl2br w:val="nil"/>
              <w:tr2bl w:val="nil"/>
            </w:tcBorders>
            <w:shd w:val="clear" w:color="auto" w:fill="auto"/>
            <w:vAlign w:val="center"/>
          </w:tcPr>
          <w:p w14:paraId="0FBBF3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2B0B0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49.3120 </w:t>
            </w:r>
          </w:p>
        </w:tc>
        <w:tc>
          <w:tcPr>
            <w:tcW w:w="1353" w:type="dxa"/>
            <w:tcBorders>
              <w:tl2br w:val="nil"/>
              <w:tr2bl w:val="nil"/>
            </w:tcBorders>
            <w:shd w:val="clear" w:color="auto" w:fill="auto"/>
            <w:vAlign w:val="center"/>
          </w:tcPr>
          <w:p w14:paraId="4056E4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60.2860 </w:t>
            </w:r>
          </w:p>
        </w:tc>
      </w:tr>
      <w:tr w14:paraId="0E6A13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A34D8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4570 </w:t>
            </w:r>
          </w:p>
        </w:tc>
        <w:tc>
          <w:tcPr>
            <w:tcW w:w="1443" w:type="dxa"/>
            <w:tcBorders>
              <w:tl2br w:val="nil"/>
              <w:tr2bl w:val="nil"/>
            </w:tcBorders>
            <w:shd w:val="clear" w:color="auto" w:fill="auto"/>
            <w:vAlign w:val="center"/>
          </w:tcPr>
          <w:p w14:paraId="124BD7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49.3960 </w:t>
            </w:r>
          </w:p>
        </w:tc>
        <w:tc>
          <w:tcPr>
            <w:tcW w:w="1394" w:type="dxa"/>
            <w:tcBorders>
              <w:tl2br w:val="nil"/>
              <w:tr2bl w:val="nil"/>
            </w:tcBorders>
            <w:shd w:val="clear" w:color="auto" w:fill="auto"/>
            <w:vAlign w:val="center"/>
          </w:tcPr>
          <w:p w14:paraId="65978E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60.0530 </w:t>
            </w:r>
          </w:p>
        </w:tc>
        <w:tc>
          <w:tcPr>
            <w:tcW w:w="1079" w:type="dxa"/>
            <w:tcBorders>
              <w:tl2br w:val="nil"/>
              <w:tr2bl w:val="nil"/>
            </w:tcBorders>
            <w:shd w:val="clear" w:color="auto" w:fill="auto"/>
            <w:vAlign w:val="center"/>
          </w:tcPr>
          <w:p w14:paraId="23EF6E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F7863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49.3960 </w:t>
            </w:r>
          </w:p>
        </w:tc>
        <w:tc>
          <w:tcPr>
            <w:tcW w:w="1353" w:type="dxa"/>
            <w:tcBorders>
              <w:tl2br w:val="nil"/>
              <w:tr2bl w:val="nil"/>
            </w:tcBorders>
            <w:shd w:val="clear" w:color="auto" w:fill="auto"/>
            <w:vAlign w:val="center"/>
          </w:tcPr>
          <w:p w14:paraId="2356AE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60.0530 </w:t>
            </w:r>
          </w:p>
        </w:tc>
      </w:tr>
      <w:tr w14:paraId="15A19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D4D50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4580 </w:t>
            </w:r>
          </w:p>
        </w:tc>
        <w:tc>
          <w:tcPr>
            <w:tcW w:w="1443" w:type="dxa"/>
            <w:tcBorders>
              <w:tl2br w:val="nil"/>
              <w:tr2bl w:val="nil"/>
            </w:tcBorders>
            <w:shd w:val="clear" w:color="auto" w:fill="auto"/>
            <w:vAlign w:val="center"/>
          </w:tcPr>
          <w:p w14:paraId="3913151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49.4800 </w:t>
            </w:r>
          </w:p>
        </w:tc>
        <w:tc>
          <w:tcPr>
            <w:tcW w:w="1394" w:type="dxa"/>
            <w:tcBorders>
              <w:tl2br w:val="nil"/>
              <w:tr2bl w:val="nil"/>
            </w:tcBorders>
            <w:shd w:val="clear" w:color="auto" w:fill="auto"/>
            <w:vAlign w:val="center"/>
          </w:tcPr>
          <w:p w14:paraId="193829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59.8220 </w:t>
            </w:r>
          </w:p>
        </w:tc>
        <w:tc>
          <w:tcPr>
            <w:tcW w:w="1079" w:type="dxa"/>
            <w:tcBorders>
              <w:tl2br w:val="nil"/>
              <w:tr2bl w:val="nil"/>
            </w:tcBorders>
            <w:shd w:val="clear" w:color="auto" w:fill="auto"/>
            <w:vAlign w:val="center"/>
          </w:tcPr>
          <w:p w14:paraId="4C250B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90075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49.4800 </w:t>
            </w:r>
          </w:p>
        </w:tc>
        <w:tc>
          <w:tcPr>
            <w:tcW w:w="1353" w:type="dxa"/>
            <w:tcBorders>
              <w:tl2br w:val="nil"/>
              <w:tr2bl w:val="nil"/>
            </w:tcBorders>
            <w:shd w:val="clear" w:color="auto" w:fill="auto"/>
            <w:vAlign w:val="center"/>
          </w:tcPr>
          <w:p w14:paraId="2148E9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59.8220 </w:t>
            </w:r>
          </w:p>
        </w:tc>
      </w:tr>
      <w:tr w14:paraId="3B16B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B66D88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4590 </w:t>
            </w:r>
          </w:p>
        </w:tc>
        <w:tc>
          <w:tcPr>
            <w:tcW w:w="1443" w:type="dxa"/>
            <w:tcBorders>
              <w:tl2br w:val="nil"/>
              <w:tr2bl w:val="nil"/>
            </w:tcBorders>
            <w:shd w:val="clear" w:color="auto" w:fill="auto"/>
            <w:vAlign w:val="center"/>
          </w:tcPr>
          <w:p w14:paraId="252946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49.5640 </w:t>
            </w:r>
          </w:p>
        </w:tc>
        <w:tc>
          <w:tcPr>
            <w:tcW w:w="1394" w:type="dxa"/>
            <w:tcBorders>
              <w:tl2br w:val="nil"/>
              <w:tr2bl w:val="nil"/>
            </w:tcBorders>
            <w:shd w:val="clear" w:color="auto" w:fill="auto"/>
            <w:vAlign w:val="center"/>
          </w:tcPr>
          <w:p w14:paraId="1B38C7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59.5920 </w:t>
            </w:r>
          </w:p>
        </w:tc>
        <w:tc>
          <w:tcPr>
            <w:tcW w:w="1079" w:type="dxa"/>
            <w:tcBorders>
              <w:tl2br w:val="nil"/>
              <w:tr2bl w:val="nil"/>
            </w:tcBorders>
            <w:shd w:val="clear" w:color="auto" w:fill="auto"/>
            <w:vAlign w:val="center"/>
          </w:tcPr>
          <w:p w14:paraId="58E55B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80DE1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49.5640 </w:t>
            </w:r>
          </w:p>
        </w:tc>
        <w:tc>
          <w:tcPr>
            <w:tcW w:w="1353" w:type="dxa"/>
            <w:tcBorders>
              <w:tl2br w:val="nil"/>
              <w:tr2bl w:val="nil"/>
            </w:tcBorders>
            <w:shd w:val="clear" w:color="auto" w:fill="auto"/>
            <w:vAlign w:val="center"/>
          </w:tcPr>
          <w:p w14:paraId="4806E2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59.5920 </w:t>
            </w:r>
          </w:p>
        </w:tc>
      </w:tr>
      <w:tr w14:paraId="1383CA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B05F1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4600 </w:t>
            </w:r>
          </w:p>
        </w:tc>
        <w:tc>
          <w:tcPr>
            <w:tcW w:w="1443" w:type="dxa"/>
            <w:tcBorders>
              <w:tl2br w:val="nil"/>
              <w:tr2bl w:val="nil"/>
            </w:tcBorders>
            <w:shd w:val="clear" w:color="auto" w:fill="auto"/>
            <w:vAlign w:val="center"/>
          </w:tcPr>
          <w:p w14:paraId="183294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49.6480 </w:t>
            </w:r>
          </w:p>
        </w:tc>
        <w:tc>
          <w:tcPr>
            <w:tcW w:w="1394" w:type="dxa"/>
            <w:tcBorders>
              <w:tl2br w:val="nil"/>
              <w:tr2bl w:val="nil"/>
            </w:tcBorders>
            <w:shd w:val="clear" w:color="auto" w:fill="auto"/>
            <w:vAlign w:val="center"/>
          </w:tcPr>
          <w:p w14:paraId="069862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59.3630 </w:t>
            </w:r>
          </w:p>
        </w:tc>
        <w:tc>
          <w:tcPr>
            <w:tcW w:w="1079" w:type="dxa"/>
            <w:tcBorders>
              <w:tl2br w:val="nil"/>
              <w:tr2bl w:val="nil"/>
            </w:tcBorders>
            <w:shd w:val="clear" w:color="auto" w:fill="auto"/>
            <w:vAlign w:val="center"/>
          </w:tcPr>
          <w:p w14:paraId="0C57C9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C2C2D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49.6480 </w:t>
            </w:r>
          </w:p>
        </w:tc>
        <w:tc>
          <w:tcPr>
            <w:tcW w:w="1353" w:type="dxa"/>
            <w:tcBorders>
              <w:tl2br w:val="nil"/>
              <w:tr2bl w:val="nil"/>
            </w:tcBorders>
            <w:shd w:val="clear" w:color="auto" w:fill="auto"/>
            <w:vAlign w:val="center"/>
          </w:tcPr>
          <w:p w14:paraId="42B737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59.3630 </w:t>
            </w:r>
          </w:p>
        </w:tc>
      </w:tr>
      <w:tr w14:paraId="001B2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F2BFE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4610 </w:t>
            </w:r>
          </w:p>
        </w:tc>
        <w:tc>
          <w:tcPr>
            <w:tcW w:w="1443" w:type="dxa"/>
            <w:tcBorders>
              <w:tl2br w:val="nil"/>
              <w:tr2bl w:val="nil"/>
            </w:tcBorders>
            <w:shd w:val="clear" w:color="auto" w:fill="auto"/>
            <w:vAlign w:val="center"/>
          </w:tcPr>
          <w:p w14:paraId="75FFFE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49.7320 </w:t>
            </w:r>
          </w:p>
        </w:tc>
        <w:tc>
          <w:tcPr>
            <w:tcW w:w="1394" w:type="dxa"/>
            <w:tcBorders>
              <w:tl2br w:val="nil"/>
              <w:tr2bl w:val="nil"/>
            </w:tcBorders>
            <w:shd w:val="clear" w:color="auto" w:fill="auto"/>
            <w:vAlign w:val="center"/>
          </w:tcPr>
          <w:p w14:paraId="03AD27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59.1360 </w:t>
            </w:r>
          </w:p>
        </w:tc>
        <w:tc>
          <w:tcPr>
            <w:tcW w:w="1079" w:type="dxa"/>
            <w:tcBorders>
              <w:tl2br w:val="nil"/>
              <w:tr2bl w:val="nil"/>
            </w:tcBorders>
            <w:shd w:val="clear" w:color="auto" w:fill="auto"/>
            <w:vAlign w:val="center"/>
          </w:tcPr>
          <w:p w14:paraId="08CD5A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FC5FD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49.7320 </w:t>
            </w:r>
          </w:p>
        </w:tc>
        <w:tc>
          <w:tcPr>
            <w:tcW w:w="1353" w:type="dxa"/>
            <w:tcBorders>
              <w:tl2br w:val="nil"/>
              <w:tr2bl w:val="nil"/>
            </w:tcBorders>
            <w:shd w:val="clear" w:color="auto" w:fill="auto"/>
            <w:vAlign w:val="center"/>
          </w:tcPr>
          <w:p w14:paraId="423D30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59.1360 </w:t>
            </w:r>
          </w:p>
        </w:tc>
      </w:tr>
      <w:tr w14:paraId="1C391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A920C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4620 </w:t>
            </w:r>
          </w:p>
        </w:tc>
        <w:tc>
          <w:tcPr>
            <w:tcW w:w="1443" w:type="dxa"/>
            <w:tcBorders>
              <w:tl2br w:val="nil"/>
              <w:tr2bl w:val="nil"/>
            </w:tcBorders>
            <w:shd w:val="clear" w:color="auto" w:fill="auto"/>
            <w:vAlign w:val="center"/>
          </w:tcPr>
          <w:p w14:paraId="2267A0D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49.8160 </w:t>
            </w:r>
          </w:p>
        </w:tc>
        <w:tc>
          <w:tcPr>
            <w:tcW w:w="1394" w:type="dxa"/>
            <w:tcBorders>
              <w:tl2br w:val="nil"/>
              <w:tr2bl w:val="nil"/>
            </w:tcBorders>
            <w:shd w:val="clear" w:color="auto" w:fill="auto"/>
            <w:vAlign w:val="center"/>
          </w:tcPr>
          <w:p w14:paraId="4283FE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58.9100 </w:t>
            </w:r>
          </w:p>
        </w:tc>
        <w:tc>
          <w:tcPr>
            <w:tcW w:w="1079" w:type="dxa"/>
            <w:tcBorders>
              <w:tl2br w:val="nil"/>
              <w:tr2bl w:val="nil"/>
            </w:tcBorders>
            <w:shd w:val="clear" w:color="auto" w:fill="auto"/>
            <w:vAlign w:val="center"/>
          </w:tcPr>
          <w:p w14:paraId="30C393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CEE1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49.8160 </w:t>
            </w:r>
          </w:p>
        </w:tc>
        <w:tc>
          <w:tcPr>
            <w:tcW w:w="1353" w:type="dxa"/>
            <w:tcBorders>
              <w:tl2br w:val="nil"/>
              <w:tr2bl w:val="nil"/>
            </w:tcBorders>
            <w:shd w:val="clear" w:color="auto" w:fill="auto"/>
            <w:vAlign w:val="center"/>
          </w:tcPr>
          <w:p w14:paraId="4AF8A7D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58.9100 </w:t>
            </w:r>
          </w:p>
        </w:tc>
      </w:tr>
      <w:tr w14:paraId="46A5A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34787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4630 </w:t>
            </w:r>
          </w:p>
        </w:tc>
        <w:tc>
          <w:tcPr>
            <w:tcW w:w="1443" w:type="dxa"/>
            <w:tcBorders>
              <w:tl2br w:val="nil"/>
              <w:tr2bl w:val="nil"/>
            </w:tcBorders>
            <w:shd w:val="clear" w:color="auto" w:fill="auto"/>
            <w:vAlign w:val="center"/>
          </w:tcPr>
          <w:p w14:paraId="155403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49.9000 </w:t>
            </w:r>
          </w:p>
        </w:tc>
        <w:tc>
          <w:tcPr>
            <w:tcW w:w="1394" w:type="dxa"/>
            <w:tcBorders>
              <w:tl2br w:val="nil"/>
              <w:tr2bl w:val="nil"/>
            </w:tcBorders>
            <w:shd w:val="clear" w:color="auto" w:fill="auto"/>
            <w:vAlign w:val="center"/>
          </w:tcPr>
          <w:p w14:paraId="654360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58.6860 </w:t>
            </w:r>
          </w:p>
        </w:tc>
        <w:tc>
          <w:tcPr>
            <w:tcW w:w="1079" w:type="dxa"/>
            <w:tcBorders>
              <w:tl2br w:val="nil"/>
              <w:tr2bl w:val="nil"/>
            </w:tcBorders>
            <w:shd w:val="clear" w:color="auto" w:fill="auto"/>
            <w:vAlign w:val="center"/>
          </w:tcPr>
          <w:p w14:paraId="13F729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7AD3A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49.9000 </w:t>
            </w:r>
          </w:p>
        </w:tc>
        <w:tc>
          <w:tcPr>
            <w:tcW w:w="1353" w:type="dxa"/>
            <w:tcBorders>
              <w:tl2br w:val="nil"/>
              <w:tr2bl w:val="nil"/>
            </w:tcBorders>
            <w:shd w:val="clear" w:color="auto" w:fill="auto"/>
            <w:vAlign w:val="center"/>
          </w:tcPr>
          <w:p w14:paraId="63F6AE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58.6860 </w:t>
            </w:r>
          </w:p>
        </w:tc>
      </w:tr>
      <w:tr w14:paraId="4338DF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9E464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4640 </w:t>
            </w:r>
          </w:p>
        </w:tc>
        <w:tc>
          <w:tcPr>
            <w:tcW w:w="1443" w:type="dxa"/>
            <w:tcBorders>
              <w:tl2br w:val="nil"/>
              <w:tr2bl w:val="nil"/>
            </w:tcBorders>
            <w:shd w:val="clear" w:color="auto" w:fill="auto"/>
            <w:vAlign w:val="center"/>
          </w:tcPr>
          <w:p w14:paraId="1AB430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49.9840 </w:t>
            </w:r>
          </w:p>
        </w:tc>
        <w:tc>
          <w:tcPr>
            <w:tcW w:w="1394" w:type="dxa"/>
            <w:tcBorders>
              <w:tl2br w:val="nil"/>
              <w:tr2bl w:val="nil"/>
            </w:tcBorders>
            <w:shd w:val="clear" w:color="auto" w:fill="auto"/>
            <w:vAlign w:val="center"/>
          </w:tcPr>
          <w:p w14:paraId="400254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58.4630 </w:t>
            </w:r>
          </w:p>
        </w:tc>
        <w:tc>
          <w:tcPr>
            <w:tcW w:w="1079" w:type="dxa"/>
            <w:tcBorders>
              <w:tl2br w:val="nil"/>
              <w:tr2bl w:val="nil"/>
            </w:tcBorders>
            <w:shd w:val="clear" w:color="auto" w:fill="auto"/>
            <w:vAlign w:val="center"/>
          </w:tcPr>
          <w:p w14:paraId="114FAB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6631C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49.9840 </w:t>
            </w:r>
          </w:p>
        </w:tc>
        <w:tc>
          <w:tcPr>
            <w:tcW w:w="1353" w:type="dxa"/>
            <w:tcBorders>
              <w:tl2br w:val="nil"/>
              <w:tr2bl w:val="nil"/>
            </w:tcBorders>
            <w:shd w:val="clear" w:color="auto" w:fill="auto"/>
            <w:vAlign w:val="center"/>
          </w:tcPr>
          <w:p w14:paraId="08500F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58.4630 </w:t>
            </w:r>
          </w:p>
        </w:tc>
      </w:tr>
      <w:tr w14:paraId="64C5A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6F952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4650 </w:t>
            </w:r>
          </w:p>
        </w:tc>
        <w:tc>
          <w:tcPr>
            <w:tcW w:w="1443" w:type="dxa"/>
            <w:tcBorders>
              <w:tl2br w:val="nil"/>
              <w:tr2bl w:val="nil"/>
            </w:tcBorders>
            <w:shd w:val="clear" w:color="auto" w:fill="auto"/>
            <w:vAlign w:val="center"/>
          </w:tcPr>
          <w:p w14:paraId="2F818B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50.0680 </w:t>
            </w:r>
          </w:p>
        </w:tc>
        <w:tc>
          <w:tcPr>
            <w:tcW w:w="1394" w:type="dxa"/>
            <w:tcBorders>
              <w:tl2br w:val="nil"/>
              <w:tr2bl w:val="nil"/>
            </w:tcBorders>
            <w:shd w:val="clear" w:color="auto" w:fill="auto"/>
            <w:vAlign w:val="center"/>
          </w:tcPr>
          <w:p w14:paraId="64DDC3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58.2410 </w:t>
            </w:r>
          </w:p>
        </w:tc>
        <w:tc>
          <w:tcPr>
            <w:tcW w:w="1079" w:type="dxa"/>
            <w:tcBorders>
              <w:tl2br w:val="nil"/>
              <w:tr2bl w:val="nil"/>
            </w:tcBorders>
            <w:shd w:val="clear" w:color="auto" w:fill="auto"/>
            <w:vAlign w:val="center"/>
          </w:tcPr>
          <w:p w14:paraId="3F2320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FB7912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50.0680 </w:t>
            </w:r>
          </w:p>
        </w:tc>
        <w:tc>
          <w:tcPr>
            <w:tcW w:w="1353" w:type="dxa"/>
            <w:tcBorders>
              <w:tl2br w:val="nil"/>
              <w:tr2bl w:val="nil"/>
            </w:tcBorders>
            <w:shd w:val="clear" w:color="auto" w:fill="auto"/>
            <w:vAlign w:val="center"/>
          </w:tcPr>
          <w:p w14:paraId="529531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58.2410 </w:t>
            </w:r>
          </w:p>
        </w:tc>
      </w:tr>
      <w:tr w14:paraId="2E9EC2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3BA912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4660 </w:t>
            </w:r>
          </w:p>
        </w:tc>
        <w:tc>
          <w:tcPr>
            <w:tcW w:w="1443" w:type="dxa"/>
            <w:tcBorders>
              <w:tl2br w:val="nil"/>
              <w:tr2bl w:val="nil"/>
            </w:tcBorders>
            <w:shd w:val="clear" w:color="auto" w:fill="auto"/>
            <w:vAlign w:val="center"/>
          </w:tcPr>
          <w:p w14:paraId="04AF9E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50.1520 </w:t>
            </w:r>
          </w:p>
        </w:tc>
        <w:tc>
          <w:tcPr>
            <w:tcW w:w="1394" w:type="dxa"/>
            <w:tcBorders>
              <w:tl2br w:val="nil"/>
              <w:tr2bl w:val="nil"/>
            </w:tcBorders>
            <w:shd w:val="clear" w:color="auto" w:fill="auto"/>
            <w:vAlign w:val="center"/>
          </w:tcPr>
          <w:p w14:paraId="3E69B3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58.0200 </w:t>
            </w:r>
          </w:p>
        </w:tc>
        <w:tc>
          <w:tcPr>
            <w:tcW w:w="1079" w:type="dxa"/>
            <w:tcBorders>
              <w:tl2br w:val="nil"/>
              <w:tr2bl w:val="nil"/>
            </w:tcBorders>
            <w:shd w:val="clear" w:color="auto" w:fill="auto"/>
            <w:vAlign w:val="center"/>
          </w:tcPr>
          <w:p w14:paraId="2C5456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FADAA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50.1520 </w:t>
            </w:r>
          </w:p>
        </w:tc>
        <w:tc>
          <w:tcPr>
            <w:tcW w:w="1353" w:type="dxa"/>
            <w:tcBorders>
              <w:tl2br w:val="nil"/>
              <w:tr2bl w:val="nil"/>
            </w:tcBorders>
            <w:shd w:val="clear" w:color="auto" w:fill="auto"/>
            <w:vAlign w:val="center"/>
          </w:tcPr>
          <w:p w14:paraId="712FA0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58.0200 </w:t>
            </w:r>
          </w:p>
        </w:tc>
      </w:tr>
      <w:tr w14:paraId="73B47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08612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4670 </w:t>
            </w:r>
          </w:p>
        </w:tc>
        <w:tc>
          <w:tcPr>
            <w:tcW w:w="1443" w:type="dxa"/>
            <w:tcBorders>
              <w:tl2br w:val="nil"/>
              <w:tr2bl w:val="nil"/>
            </w:tcBorders>
            <w:shd w:val="clear" w:color="auto" w:fill="auto"/>
            <w:vAlign w:val="center"/>
          </w:tcPr>
          <w:p w14:paraId="587C50F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50.2360 </w:t>
            </w:r>
          </w:p>
        </w:tc>
        <w:tc>
          <w:tcPr>
            <w:tcW w:w="1394" w:type="dxa"/>
            <w:tcBorders>
              <w:tl2br w:val="nil"/>
              <w:tr2bl w:val="nil"/>
            </w:tcBorders>
            <w:shd w:val="clear" w:color="auto" w:fill="auto"/>
            <w:vAlign w:val="center"/>
          </w:tcPr>
          <w:p w14:paraId="732F51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57.8010 </w:t>
            </w:r>
          </w:p>
        </w:tc>
        <w:tc>
          <w:tcPr>
            <w:tcW w:w="1079" w:type="dxa"/>
            <w:tcBorders>
              <w:tl2br w:val="nil"/>
              <w:tr2bl w:val="nil"/>
            </w:tcBorders>
            <w:shd w:val="clear" w:color="auto" w:fill="auto"/>
            <w:vAlign w:val="center"/>
          </w:tcPr>
          <w:p w14:paraId="6DAB7E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09DA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50.2360 </w:t>
            </w:r>
          </w:p>
        </w:tc>
        <w:tc>
          <w:tcPr>
            <w:tcW w:w="1353" w:type="dxa"/>
            <w:tcBorders>
              <w:tl2br w:val="nil"/>
              <w:tr2bl w:val="nil"/>
            </w:tcBorders>
            <w:shd w:val="clear" w:color="auto" w:fill="auto"/>
            <w:vAlign w:val="center"/>
          </w:tcPr>
          <w:p w14:paraId="32023B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57.8010 </w:t>
            </w:r>
          </w:p>
        </w:tc>
      </w:tr>
      <w:tr w14:paraId="5D63A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4208A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4680 </w:t>
            </w:r>
          </w:p>
        </w:tc>
        <w:tc>
          <w:tcPr>
            <w:tcW w:w="1443" w:type="dxa"/>
            <w:tcBorders>
              <w:tl2br w:val="nil"/>
              <w:tr2bl w:val="nil"/>
            </w:tcBorders>
            <w:shd w:val="clear" w:color="auto" w:fill="auto"/>
            <w:vAlign w:val="center"/>
          </w:tcPr>
          <w:p w14:paraId="6A186A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50.3200 </w:t>
            </w:r>
          </w:p>
        </w:tc>
        <w:tc>
          <w:tcPr>
            <w:tcW w:w="1394" w:type="dxa"/>
            <w:tcBorders>
              <w:tl2br w:val="nil"/>
              <w:tr2bl w:val="nil"/>
            </w:tcBorders>
            <w:shd w:val="clear" w:color="auto" w:fill="auto"/>
            <w:vAlign w:val="center"/>
          </w:tcPr>
          <w:p w14:paraId="015854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57.5830 </w:t>
            </w:r>
          </w:p>
        </w:tc>
        <w:tc>
          <w:tcPr>
            <w:tcW w:w="1079" w:type="dxa"/>
            <w:tcBorders>
              <w:tl2br w:val="nil"/>
              <w:tr2bl w:val="nil"/>
            </w:tcBorders>
            <w:shd w:val="clear" w:color="auto" w:fill="auto"/>
            <w:vAlign w:val="center"/>
          </w:tcPr>
          <w:p w14:paraId="0F779A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9FDA5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50.3200 </w:t>
            </w:r>
          </w:p>
        </w:tc>
        <w:tc>
          <w:tcPr>
            <w:tcW w:w="1353" w:type="dxa"/>
            <w:tcBorders>
              <w:tl2br w:val="nil"/>
              <w:tr2bl w:val="nil"/>
            </w:tcBorders>
            <w:shd w:val="clear" w:color="auto" w:fill="auto"/>
            <w:vAlign w:val="center"/>
          </w:tcPr>
          <w:p w14:paraId="40D9F6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57.5830 </w:t>
            </w:r>
          </w:p>
        </w:tc>
      </w:tr>
      <w:tr w14:paraId="569216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46509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4690 </w:t>
            </w:r>
          </w:p>
        </w:tc>
        <w:tc>
          <w:tcPr>
            <w:tcW w:w="1443" w:type="dxa"/>
            <w:tcBorders>
              <w:tl2br w:val="nil"/>
              <w:tr2bl w:val="nil"/>
            </w:tcBorders>
            <w:shd w:val="clear" w:color="auto" w:fill="auto"/>
            <w:vAlign w:val="center"/>
          </w:tcPr>
          <w:p w14:paraId="3092F6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50.4040 </w:t>
            </w:r>
          </w:p>
        </w:tc>
        <w:tc>
          <w:tcPr>
            <w:tcW w:w="1394" w:type="dxa"/>
            <w:tcBorders>
              <w:tl2br w:val="nil"/>
              <w:tr2bl w:val="nil"/>
            </w:tcBorders>
            <w:shd w:val="clear" w:color="auto" w:fill="auto"/>
            <w:vAlign w:val="center"/>
          </w:tcPr>
          <w:p w14:paraId="19818E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57.3670 </w:t>
            </w:r>
          </w:p>
        </w:tc>
        <w:tc>
          <w:tcPr>
            <w:tcW w:w="1079" w:type="dxa"/>
            <w:tcBorders>
              <w:tl2br w:val="nil"/>
              <w:tr2bl w:val="nil"/>
            </w:tcBorders>
            <w:shd w:val="clear" w:color="auto" w:fill="auto"/>
            <w:vAlign w:val="center"/>
          </w:tcPr>
          <w:p w14:paraId="2D7A50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358F7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50.4040 </w:t>
            </w:r>
          </w:p>
        </w:tc>
        <w:tc>
          <w:tcPr>
            <w:tcW w:w="1353" w:type="dxa"/>
            <w:tcBorders>
              <w:tl2br w:val="nil"/>
              <w:tr2bl w:val="nil"/>
            </w:tcBorders>
            <w:shd w:val="clear" w:color="auto" w:fill="auto"/>
            <w:vAlign w:val="center"/>
          </w:tcPr>
          <w:p w14:paraId="0FA11D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57.3670 </w:t>
            </w:r>
          </w:p>
        </w:tc>
      </w:tr>
      <w:tr w14:paraId="17F15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6A5902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4700 </w:t>
            </w:r>
          </w:p>
        </w:tc>
        <w:tc>
          <w:tcPr>
            <w:tcW w:w="1443" w:type="dxa"/>
            <w:tcBorders>
              <w:tl2br w:val="nil"/>
              <w:tr2bl w:val="nil"/>
            </w:tcBorders>
            <w:shd w:val="clear" w:color="auto" w:fill="auto"/>
            <w:vAlign w:val="center"/>
          </w:tcPr>
          <w:p w14:paraId="6021F8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50.4870 </w:t>
            </w:r>
          </w:p>
        </w:tc>
        <w:tc>
          <w:tcPr>
            <w:tcW w:w="1394" w:type="dxa"/>
            <w:tcBorders>
              <w:tl2br w:val="nil"/>
              <w:tr2bl w:val="nil"/>
            </w:tcBorders>
            <w:shd w:val="clear" w:color="auto" w:fill="auto"/>
            <w:vAlign w:val="center"/>
          </w:tcPr>
          <w:p w14:paraId="3C993C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57.1510 </w:t>
            </w:r>
          </w:p>
        </w:tc>
        <w:tc>
          <w:tcPr>
            <w:tcW w:w="1079" w:type="dxa"/>
            <w:tcBorders>
              <w:tl2br w:val="nil"/>
              <w:tr2bl w:val="nil"/>
            </w:tcBorders>
            <w:shd w:val="clear" w:color="auto" w:fill="auto"/>
            <w:vAlign w:val="center"/>
          </w:tcPr>
          <w:p w14:paraId="05464E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B0C0B0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50.4870 </w:t>
            </w:r>
          </w:p>
        </w:tc>
        <w:tc>
          <w:tcPr>
            <w:tcW w:w="1353" w:type="dxa"/>
            <w:tcBorders>
              <w:tl2br w:val="nil"/>
              <w:tr2bl w:val="nil"/>
            </w:tcBorders>
            <w:shd w:val="clear" w:color="auto" w:fill="auto"/>
            <w:vAlign w:val="center"/>
          </w:tcPr>
          <w:p w14:paraId="799143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57.1510 </w:t>
            </w:r>
          </w:p>
        </w:tc>
      </w:tr>
      <w:tr w14:paraId="38491E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10254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4710 </w:t>
            </w:r>
          </w:p>
        </w:tc>
        <w:tc>
          <w:tcPr>
            <w:tcW w:w="1443" w:type="dxa"/>
            <w:tcBorders>
              <w:tl2br w:val="nil"/>
              <w:tr2bl w:val="nil"/>
            </w:tcBorders>
            <w:shd w:val="clear" w:color="auto" w:fill="auto"/>
            <w:vAlign w:val="center"/>
          </w:tcPr>
          <w:p w14:paraId="21D4AD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50.5710 </w:t>
            </w:r>
          </w:p>
        </w:tc>
        <w:tc>
          <w:tcPr>
            <w:tcW w:w="1394" w:type="dxa"/>
            <w:tcBorders>
              <w:tl2br w:val="nil"/>
              <w:tr2bl w:val="nil"/>
            </w:tcBorders>
            <w:shd w:val="clear" w:color="auto" w:fill="auto"/>
            <w:vAlign w:val="center"/>
          </w:tcPr>
          <w:p w14:paraId="6BA423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56.9370 </w:t>
            </w:r>
          </w:p>
        </w:tc>
        <w:tc>
          <w:tcPr>
            <w:tcW w:w="1079" w:type="dxa"/>
            <w:tcBorders>
              <w:tl2br w:val="nil"/>
              <w:tr2bl w:val="nil"/>
            </w:tcBorders>
            <w:shd w:val="clear" w:color="auto" w:fill="auto"/>
            <w:vAlign w:val="center"/>
          </w:tcPr>
          <w:p w14:paraId="29028C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99BFE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50.5710 </w:t>
            </w:r>
          </w:p>
        </w:tc>
        <w:tc>
          <w:tcPr>
            <w:tcW w:w="1353" w:type="dxa"/>
            <w:tcBorders>
              <w:tl2br w:val="nil"/>
              <w:tr2bl w:val="nil"/>
            </w:tcBorders>
            <w:shd w:val="clear" w:color="auto" w:fill="auto"/>
            <w:vAlign w:val="center"/>
          </w:tcPr>
          <w:p w14:paraId="18DD08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56.9370 </w:t>
            </w:r>
          </w:p>
        </w:tc>
      </w:tr>
      <w:tr w14:paraId="5851C5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1CFA3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4720 </w:t>
            </w:r>
          </w:p>
        </w:tc>
        <w:tc>
          <w:tcPr>
            <w:tcW w:w="1443" w:type="dxa"/>
            <w:tcBorders>
              <w:tl2br w:val="nil"/>
              <w:tr2bl w:val="nil"/>
            </w:tcBorders>
            <w:shd w:val="clear" w:color="auto" w:fill="auto"/>
            <w:vAlign w:val="center"/>
          </w:tcPr>
          <w:p w14:paraId="21DCE1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50.6550 </w:t>
            </w:r>
          </w:p>
        </w:tc>
        <w:tc>
          <w:tcPr>
            <w:tcW w:w="1394" w:type="dxa"/>
            <w:tcBorders>
              <w:tl2br w:val="nil"/>
              <w:tr2bl w:val="nil"/>
            </w:tcBorders>
            <w:shd w:val="clear" w:color="auto" w:fill="auto"/>
            <w:vAlign w:val="center"/>
          </w:tcPr>
          <w:p w14:paraId="4FB01D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56.7240 </w:t>
            </w:r>
          </w:p>
        </w:tc>
        <w:tc>
          <w:tcPr>
            <w:tcW w:w="1079" w:type="dxa"/>
            <w:tcBorders>
              <w:tl2br w:val="nil"/>
              <w:tr2bl w:val="nil"/>
            </w:tcBorders>
            <w:shd w:val="clear" w:color="auto" w:fill="auto"/>
            <w:vAlign w:val="center"/>
          </w:tcPr>
          <w:p w14:paraId="4E30B3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CA5BA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50.6550 </w:t>
            </w:r>
          </w:p>
        </w:tc>
        <w:tc>
          <w:tcPr>
            <w:tcW w:w="1353" w:type="dxa"/>
            <w:tcBorders>
              <w:tl2br w:val="nil"/>
              <w:tr2bl w:val="nil"/>
            </w:tcBorders>
            <w:shd w:val="clear" w:color="auto" w:fill="auto"/>
            <w:vAlign w:val="center"/>
          </w:tcPr>
          <w:p w14:paraId="2CDB0D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56.7240 </w:t>
            </w:r>
          </w:p>
        </w:tc>
      </w:tr>
      <w:tr w14:paraId="420EDE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0C0A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4730 </w:t>
            </w:r>
          </w:p>
        </w:tc>
        <w:tc>
          <w:tcPr>
            <w:tcW w:w="1443" w:type="dxa"/>
            <w:tcBorders>
              <w:tl2br w:val="nil"/>
              <w:tr2bl w:val="nil"/>
            </w:tcBorders>
            <w:shd w:val="clear" w:color="auto" w:fill="auto"/>
            <w:vAlign w:val="center"/>
          </w:tcPr>
          <w:p w14:paraId="06E88BF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50.7380 </w:t>
            </w:r>
          </w:p>
        </w:tc>
        <w:tc>
          <w:tcPr>
            <w:tcW w:w="1394" w:type="dxa"/>
            <w:tcBorders>
              <w:tl2br w:val="nil"/>
              <w:tr2bl w:val="nil"/>
            </w:tcBorders>
            <w:shd w:val="clear" w:color="auto" w:fill="auto"/>
            <w:vAlign w:val="center"/>
          </w:tcPr>
          <w:p w14:paraId="21152B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56.5110 </w:t>
            </w:r>
          </w:p>
        </w:tc>
        <w:tc>
          <w:tcPr>
            <w:tcW w:w="1079" w:type="dxa"/>
            <w:tcBorders>
              <w:tl2br w:val="nil"/>
              <w:tr2bl w:val="nil"/>
            </w:tcBorders>
            <w:shd w:val="clear" w:color="auto" w:fill="auto"/>
            <w:vAlign w:val="center"/>
          </w:tcPr>
          <w:p w14:paraId="7C3CC2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C1890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50.7380 </w:t>
            </w:r>
          </w:p>
        </w:tc>
        <w:tc>
          <w:tcPr>
            <w:tcW w:w="1353" w:type="dxa"/>
            <w:tcBorders>
              <w:tl2br w:val="nil"/>
              <w:tr2bl w:val="nil"/>
            </w:tcBorders>
            <w:shd w:val="clear" w:color="auto" w:fill="auto"/>
            <w:vAlign w:val="center"/>
          </w:tcPr>
          <w:p w14:paraId="1C002D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56.5110 </w:t>
            </w:r>
          </w:p>
        </w:tc>
      </w:tr>
      <w:tr w14:paraId="70CE61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268A24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4740 </w:t>
            </w:r>
          </w:p>
        </w:tc>
        <w:tc>
          <w:tcPr>
            <w:tcW w:w="1443" w:type="dxa"/>
            <w:tcBorders>
              <w:tl2br w:val="nil"/>
              <w:tr2bl w:val="nil"/>
            </w:tcBorders>
            <w:shd w:val="clear" w:color="auto" w:fill="auto"/>
            <w:vAlign w:val="center"/>
          </w:tcPr>
          <w:p w14:paraId="1071AE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50.8220 </w:t>
            </w:r>
          </w:p>
        </w:tc>
        <w:tc>
          <w:tcPr>
            <w:tcW w:w="1394" w:type="dxa"/>
            <w:tcBorders>
              <w:tl2br w:val="nil"/>
              <w:tr2bl w:val="nil"/>
            </w:tcBorders>
            <w:shd w:val="clear" w:color="auto" w:fill="auto"/>
            <w:vAlign w:val="center"/>
          </w:tcPr>
          <w:p w14:paraId="123E39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56.2950 </w:t>
            </w:r>
          </w:p>
        </w:tc>
        <w:tc>
          <w:tcPr>
            <w:tcW w:w="1079" w:type="dxa"/>
            <w:tcBorders>
              <w:tl2br w:val="nil"/>
              <w:tr2bl w:val="nil"/>
            </w:tcBorders>
            <w:shd w:val="clear" w:color="auto" w:fill="auto"/>
            <w:vAlign w:val="center"/>
          </w:tcPr>
          <w:p w14:paraId="51A24C8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AD9A4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50.8220 </w:t>
            </w:r>
          </w:p>
        </w:tc>
        <w:tc>
          <w:tcPr>
            <w:tcW w:w="1353" w:type="dxa"/>
            <w:tcBorders>
              <w:tl2br w:val="nil"/>
              <w:tr2bl w:val="nil"/>
            </w:tcBorders>
            <w:shd w:val="clear" w:color="auto" w:fill="auto"/>
            <w:vAlign w:val="center"/>
          </w:tcPr>
          <w:p w14:paraId="72A770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56.2950 </w:t>
            </w:r>
          </w:p>
        </w:tc>
      </w:tr>
      <w:tr w14:paraId="6BCA5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7DCF4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4750 </w:t>
            </w:r>
          </w:p>
        </w:tc>
        <w:tc>
          <w:tcPr>
            <w:tcW w:w="1443" w:type="dxa"/>
            <w:tcBorders>
              <w:tl2br w:val="nil"/>
              <w:tr2bl w:val="nil"/>
            </w:tcBorders>
            <w:shd w:val="clear" w:color="auto" w:fill="auto"/>
            <w:vAlign w:val="center"/>
          </w:tcPr>
          <w:p w14:paraId="17EF79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50.9060 </w:t>
            </w:r>
          </w:p>
        </w:tc>
        <w:tc>
          <w:tcPr>
            <w:tcW w:w="1394" w:type="dxa"/>
            <w:tcBorders>
              <w:tl2br w:val="nil"/>
              <w:tr2bl w:val="nil"/>
            </w:tcBorders>
            <w:shd w:val="clear" w:color="auto" w:fill="auto"/>
            <w:vAlign w:val="center"/>
          </w:tcPr>
          <w:p w14:paraId="4FC3E2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56.0800 </w:t>
            </w:r>
          </w:p>
        </w:tc>
        <w:tc>
          <w:tcPr>
            <w:tcW w:w="1079" w:type="dxa"/>
            <w:tcBorders>
              <w:tl2br w:val="nil"/>
              <w:tr2bl w:val="nil"/>
            </w:tcBorders>
            <w:shd w:val="clear" w:color="auto" w:fill="auto"/>
            <w:vAlign w:val="center"/>
          </w:tcPr>
          <w:p w14:paraId="74FD94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5A9DC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50.9060 </w:t>
            </w:r>
          </w:p>
        </w:tc>
        <w:tc>
          <w:tcPr>
            <w:tcW w:w="1353" w:type="dxa"/>
            <w:tcBorders>
              <w:tl2br w:val="nil"/>
              <w:tr2bl w:val="nil"/>
            </w:tcBorders>
            <w:shd w:val="clear" w:color="auto" w:fill="auto"/>
            <w:vAlign w:val="center"/>
          </w:tcPr>
          <w:p w14:paraId="71B299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56.0800 </w:t>
            </w:r>
          </w:p>
        </w:tc>
      </w:tr>
      <w:tr w14:paraId="0334A9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A0403F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4760 </w:t>
            </w:r>
          </w:p>
        </w:tc>
        <w:tc>
          <w:tcPr>
            <w:tcW w:w="1443" w:type="dxa"/>
            <w:tcBorders>
              <w:tl2br w:val="nil"/>
              <w:tr2bl w:val="nil"/>
            </w:tcBorders>
            <w:shd w:val="clear" w:color="auto" w:fill="auto"/>
            <w:vAlign w:val="center"/>
          </w:tcPr>
          <w:p w14:paraId="5A7E68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50.9890 </w:t>
            </w:r>
          </w:p>
        </w:tc>
        <w:tc>
          <w:tcPr>
            <w:tcW w:w="1394" w:type="dxa"/>
            <w:tcBorders>
              <w:tl2br w:val="nil"/>
              <w:tr2bl w:val="nil"/>
            </w:tcBorders>
            <w:shd w:val="clear" w:color="auto" w:fill="auto"/>
            <w:vAlign w:val="center"/>
          </w:tcPr>
          <w:p w14:paraId="024348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55.8660 </w:t>
            </w:r>
          </w:p>
        </w:tc>
        <w:tc>
          <w:tcPr>
            <w:tcW w:w="1079" w:type="dxa"/>
            <w:tcBorders>
              <w:tl2br w:val="nil"/>
              <w:tr2bl w:val="nil"/>
            </w:tcBorders>
            <w:shd w:val="clear" w:color="auto" w:fill="auto"/>
            <w:vAlign w:val="center"/>
          </w:tcPr>
          <w:p w14:paraId="574299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0D3B9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50.9890 </w:t>
            </w:r>
          </w:p>
        </w:tc>
        <w:tc>
          <w:tcPr>
            <w:tcW w:w="1353" w:type="dxa"/>
            <w:tcBorders>
              <w:tl2br w:val="nil"/>
              <w:tr2bl w:val="nil"/>
            </w:tcBorders>
            <w:shd w:val="clear" w:color="auto" w:fill="auto"/>
            <w:vAlign w:val="center"/>
          </w:tcPr>
          <w:p w14:paraId="0E713F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55.8660 </w:t>
            </w:r>
          </w:p>
        </w:tc>
      </w:tr>
      <w:tr w14:paraId="721BF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51969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4770 </w:t>
            </w:r>
          </w:p>
        </w:tc>
        <w:tc>
          <w:tcPr>
            <w:tcW w:w="1443" w:type="dxa"/>
            <w:tcBorders>
              <w:tl2br w:val="nil"/>
              <w:tr2bl w:val="nil"/>
            </w:tcBorders>
            <w:shd w:val="clear" w:color="auto" w:fill="auto"/>
            <w:vAlign w:val="center"/>
          </w:tcPr>
          <w:p w14:paraId="5F8F88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51.0730 </w:t>
            </w:r>
          </w:p>
        </w:tc>
        <w:tc>
          <w:tcPr>
            <w:tcW w:w="1394" w:type="dxa"/>
            <w:tcBorders>
              <w:tl2br w:val="nil"/>
              <w:tr2bl w:val="nil"/>
            </w:tcBorders>
            <w:shd w:val="clear" w:color="auto" w:fill="auto"/>
            <w:vAlign w:val="center"/>
          </w:tcPr>
          <w:p w14:paraId="362B383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55.6540 </w:t>
            </w:r>
          </w:p>
        </w:tc>
        <w:tc>
          <w:tcPr>
            <w:tcW w:w="1079" w:type="dxa"/>
            <w:tcBorders>
              <w:tl2br w:val="nil"/>
              <w:tr2bl w:val="nil"/>
            </w:tcBorders>
            <w:shd w:val="clear" w:color="auto" w:fill="auto"/>
            <w:vAlign w:val="center"/>
          </w:tcPr>
          <w:p w14:paraId="7F9300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591F1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51.0730 </w:t>
            </w:r>
          </w:p>
        </w:tc>
        <w:tc>
          <w:tcPr>
            <w:tcW w:w="1353" w:type="dxa"/>
            <w:tcBorders>
              <w:tl2br w:val="nil"/>
              <w:tr2bl w:val="nil"/>
            </w:tcBorders>
            <w:shd w:val="clear" w:color="auto" w:fill="auto"/>
            <w:vAlign w:val="center"/>
          </w:tcPr>
          <w:p w14:paraId="0C4E1C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55.6540 </w:t>
            </w:r>
          </w:p>
        </w:tc>
      </w:tr>
      <w:tr w14:paraId="6536DE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A169A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4780 </w:t>
            </w:r>
          </w:p>
        </w:tc>
        <w:tc>
          <w:tcPr>
            <w:tcW w:w="1443" w:type="dxa"/>
            <w:tcBorders>
              <w:tl2br w:val="nil"/>
              <w:tr2bl w:val="nil"/>
            </w:tcBorders>
            <w:shd w:val="clear" w:color="auto" w:fill="auto"/>
            <w:vAlign w:val="center"/>
          </w:tcPr>
          <w:p w14:paraId="4D21585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51.1560 </w:t>
            </w:r>
          </w:p>
        </w:tc>
        <w:tc>
          <w:tcPr>
            <w:tcW w:w="1394" w:type="dxa"/>
            <w:tcBorders>
              <w:tl2br w:val="nil"/>
              <w:tr2bl w:val="nil"/>
            </w:tcBorders>
            <w:shd w:val="clear" w:color="auto" w:fill="auto"/>
            <w:vAlign w:val="center"/>
          </w:tcPr>
          <w:p w14:paraId="502F156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55.4420 </w:t>
            </w:r>
          </w:p>
        </w:tc>
        <w:tc>
          <w:tcPr>
            <w:tcW w:w="1079" w:type="dxa"/>
            <w:tcBorders>
              <w:tl2br w:val="nil"/>
              <w:tr2bl w:val="nil"/>
            </w:tcBorders>
            <w:shd w:val="clear" w:color="auto" w:fill="auto"/>
            <w:vAlign w:val="center"/>
          </w:tcPr>
          <w:p w14:paraId="6060821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3104E5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51.1560 </w:t>
            </w:r>
          </w:p>
        </w:tc>
        <w:tc>
          <w:tcPr>
            <w:tcW w:w="1353" w:type="dxa"/>
            <w:tcBorders>
              <w:tl2br w:val="nil"/>
              <w:tr2bl w:val="nil"/>
            </w:tcBorders>
            <w:shd w:val="clear" w:color="auto" w:fill="auto"/>
            <w:vAlign w:val="center"/>
          </w:tcPr>
          <w:p w14:paraId="1018BD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55.4420 </w:t>
            </w:r>
          </w:p>
        </w:tc>
      </w:tr>
      <w:tr w14:paraId="67183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9CC4E9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4790 </w:t>
            </w:r>
          </w:p>
        </w:tc>
        <w:tc>
          <w:tcPr>
            <w:tcW w:w="1443" w:type="dxa"/>
            <w:tcBorders>
              <w:tl2br w:val="nil"/>
              <w:tr2bl w:val="nil"/>
            </w:tcBorders>
            <w:shd w:val="clear" w:color="auto" w:fill="auto"/>
            <w:vAlign w:val="center"/>
          </w:tcPr>
          <w:p w14:paraId="401999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51.2400 </w:t>
            </w:r>
          </w:p>
        </w:tc>
        <w:tc>
          <w:tcPr>
            <w:tcW w:w="1394" w:type="dxa"/>
            <w:tcBorders>
              <w:tl2br w:val="nil"/>
              <w:tr2bl w:val="nil"/>
            </w:tcBorders>
            <w:shd w:val="clear" w:color="auto" w:fill="auto"/>
            <w:vAlign w:val="center"/>
          </w:tcPr>
          <w:p w14:paraId="3CB3B9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55.2320 </w:t>
            </w:r>
          </w:p>
        </w:tc>
        <w:tc>
          <w:tcPr>
            <w:tcW w:w="1079" w:type="dxa"/>
            <w:tcBorders>
              <w:tl2br w:val="nil"/>
              <w:tr2bl w:val="nil"/>
            </w:tcBorders>
            <w:shd w:val="clear" w:color="auto" w:fill="auto"/>
            <w:vAlign w:val="center"/>
          </w:tcPr>
          <w:p w14:paraId="73C881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6E2AF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51.2400 </w:t>
            </w:r>
          </w:p>
        </w:tc>
        <w:tc>
          <w:tcPr>
            <w:tcW w:w="1353" w:type="dxa"/>
            <w:tcBorders>
              <w:tl2br w:val="nil"/>
              <w:tr2bl w:val="nil"/>
            </w:tcBorders>
            <w:shd w:val="clear" w:color="auto" w:fill="auto"/>
            <w:vAlign w:val="center"/>
          </w:tcPr>
          <w:p w14:paraId="0287D7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55.2320 </w:t>
            </w:r>
          </w:p>
        </w:tc>
      </w:tr>
      <w:tr w14:paraId="155B7E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FD208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4800 </w:t>
            </w:r>
          </w:p>
        </w:tc>
        <w:tc>
          <w:tcPr>
            <w:tcW w:w="1443" w:type="dxa"/>
            <w:tcBorders>
              <w:tl2br w:val="nil"/>
              <w:tr2bl w:val="nil"/>
            </w:tcBorders>
            <w:shd w:val="clear" w:color="auto" w:fill="auto"/>
            <w:vAlign w:val="center"/>
          </w:tcPr>
          <w:p w14:paraId="33F149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51.3230 </w:t>
            </w:r>
          </w:p>
        </w:tc>
        <w:tc>
          <w:tcPr>
            <w:tcW w:w="1394" w:type="dxa"/>
            <w:tcBorders>
              <w:tl2br w:val="nil"/>
              <w:tr2bl w:val="nil"/>
            </w:tcBorders>
            <w:shd w:val="clear" w:color="auto" w:fill="auto"/>
            <w:vAlign w:val="center"/>
          </w:tcPr>
          <w:p w14:paraId="5CFAAF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55.0230 </w:t>
            </w:r>
          </w:p>
        </w:tc>
        <w:tc>
          <w:tcPr>
            <w:tcW w:w="1079" w:type="dxa"/>
            <w:tcBorders>
              <w:tl2br w:val="nil"/>
              <w:tr2bl w:val="nil"/>
            </w:tcBorders>
            <w:shd w:val="clear" w:color="auto" w:fill="auto"/>
            <w:vAlign w:val="center"/>
          </w:tcPr>
          <w:p w14:paraId="77CFA4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7979A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51.3230 </w:t>
            </w:r>
          </w:p>
        </w:tc>
        <w:tc>
          <w:tcPr>
            <w:tcW w:w="1353" w:type="dxa"/>
            <w:tcBorders>
              <w:tl2br w:val="nil"/>
              <w:tr2bl w:val="nil"/>
            </w:tcBorders>
            <w:shd w:val="clear" w:color="auto" w:fill="auto"/>
            <w:vAlign w:val="center"/>
          </w:tcPr>
          <w:p w14:paraId="448947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55.0230 </w:t>
            </w:r>
          </w:p>
        </w:tc>
      </w:tr>
      <w:tr w14:paraId="348988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7DFA5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4810 </w:t>
            </w:r>
          </w:p>
        </w:tc>
        <w:tc>
          <w:tcPr>
            <w:tcW w:w="1443" w:type="dxa"/>
            <w:tcBorders>
              <w:tl2br w:val="nil"/>
              <w:tr2bl w:val="nil"/>
            </w:tcBorders>
            <w:shd w:val="clear" w:color="auto" w:fill="auto"/>
            <w:vAlign w:val="center"/>
          </w:tcPr>
          <w:p w14:paraId="215D7C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51.4070 </w:t>
            </w:r>
          </w:p>
        </w:tc>
        <w:tc>
          <w:tcPr>
            <w:tcW w:w="1394" w:type="dxa"/>
            <w:tcBorders>
              <w:tl2br w:val="nil"/>
              <w:tr2bl w:val="nil"/>
            </w:tcBorders>
            <w:shd w:val="clear" w:color="auto" w:fill="auto"/>
            <w:vAlign w:val="center"/>
          </w:tcPr>
          <w:p w14:paraId="19556F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54.8160 </w:t>
            </w:r>
          </w:p>
        </w:tc>
        <w:tc>
          <w:tcPr>
            <w:tcW w:w="1079" w:type="dxa"/>
            <w:tcBorders>
              <w:tl2br w:val="nil"/>
              <w:tr2bl w:val="nil"/>
            </w:tcBorders>
            <w:shd w:val="clear" w:color="auto" w:fill="auto"/>
            <w:vAlign w:val="center"/>
          </w:tcPr>
          <w:p w14:paraId="5E3A40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2482CF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51.4070 </w:t>
            </w:r>
          </w:p>
        </w:tc>
        <w:tc>
          <w:tcPr>
            <w:tcW w:w="1353" w:type="dxa"/>
            <w:tcBorders>
              <w:tl2br w:val="nil"/>
              <w:tr2bl w:val="nil"/>
            </w:tcBorders>
            <w:shd w:val="clear" w:color="auto" w:fill="auto"/>
            <w:vAlign w:val="center"/>
          </w:tcPr>
          <w:p w14:paraId="70DA3D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54.8160 </w:t>
            </w:r>
          </w:p>
        </w:tc>
      </w:tr>
      <w:tr w14:paraId="657BC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39231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4820 </w:t>
            </w:r>
          </w:p>
        </w:tc>
        <w:tc>
          <w:tcPr>
            <w:tcW w:w="1443" w:type="dxa"/>
            <w:tcBorders>
              <w:tl2br w:val="nil"/>
              <w:tr2bl w:val="nil"/>
            </w:tcBorders>
            <w:shd w:val="clear" w:color="auto" w:fill="auto"/>
            <w:vAlign w:val="center"/>
          </w:tcPr>
          <w:p w14:paraId="510464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51.4900 </w:t>
            </w:r>
          </w:p>
        </w:tc>
        <w:tc>
          <w:tcPr>
            <w:tcW w:w="1394" w:type="dxa"/>
            <w:tcBorders>
              <w:tl2br w:val="nil"/>
              <w:tr2bl w:val="nil"/>
            </w:tcBorders>
            <w:shd w:val="clear" w:color="auto" w:fill="auto"/>
            <w:vAlign w:val="center"/>
          </w:tcPr>
          <w:p w14:paraId="5A3F73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54.6090 </w:t>
            </w:r>
          </w:p>
        </w:tc>
        <w:tc>
          <w:tcPr>
            <w:tcW w:w="1079" w:type="dxa"/>
            <w:tcBorders>
              <w:tl2br w:val="nil"/>
              <w:tr2bl w:val="nil"/>
            </w:tcBorders>
            <w:shd w:val="clear" w:color="auto" w:fill="auto"/>
            <w:vAlign w:val="center"/>
          </w:tcPr>
          <w:p w14:paraId="2829BD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145015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51.4900 </w:t>
            </w:r>
          </w:p>
        </w:tc>
        <w:tc>
          <w:tcPr>
            <w:tcW w:w="1353" w:type="dxa"/>
            <w:tcBorders>
              <w:tl2br w:val="nil"/>
              <w:tr2bl w:val="nil"/>
            </w:tcBorders>
            <w:shd w:val="clear" w:color="auto" w:fill="auto"/>
            <w:vAlign w:val="center"/>
          </w:tcPr>
          <w:p w14:paraId="542560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54.6090 </w:t>
            </w:r>
          </w:p>
        </w:tc>
      </w:tr>
      <w:tr w14:paraId="7C0612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6A953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4830 </w:t>
            </w:r>
          </w:p>
        </w:tc>
        <w:tc>
          <w:tcPr>
            <w:tcW w:w="1443" w:type="dxa"/>
            <w:tcBorders>
              <w:tl2br w:val="nil"/>
              <w:tr2bl w:val="nil"/>
            </w:tcBorders>
            <w:shd w:val="clear" w:color="auto" w:fill="auto"/>
            <w:vAlign w:val="center"/>
          </w:tcPr>
          <w:p w14:paraId="58250D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51.5740 </w:t>
            </w:r>
          </w:p>
        </w:tc>
        <w:tc>
          <w:tcPr>
            <w:tcW w:w="1394" w:type="dxa"/>
            <w:tcBorders>
              <w:tl2br w:val="nil"/>
              <w:tr2bl w:val="nil"/>
            </w:tcBorders>
            <w:shd w:val="clear" w:color="auto" w:fill="auto"/>
            <w:vAlign w:val="center"/>
          </w:tcPr>
          <w:p w14:paraId="1B8CCDA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54.4030 </w:t>
            </w:r>
          </w:p>
        </w:tc>
        <w:tc>
          <w:tcPr>
            <w:tcW w:w="1079" w:type="dxa"/>
            <w:tcBorders>
              <w:tl2br w:val="nil"/>
              <w:tr2bl w:val="nil"/>
            </w:tcBorders>
            <w:shd w:val="clear" w:color="auto" w:fill="auto"/>
            <w:vAlign w:val="center"/>
          </w:tcPr>
          <w:p w14:paraId="081EFD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AB9EE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51.5740 </w:t>
            </w:r>
          </w:p>
        </w:tc>
        <w:tc>
          <w:tcPr>
            <w:tcW w:w="1353" w:type="dxa"/>
            <w:tcBorders>
              <w:tl2br w:val="nil"/>
              <w:tr2bl w:val="nil"/>
            </w:tcBorders>
            <w:shd w:val="clear" w:color="auto" w:fill="auto"/>
            <w:vAlign w:val="center"/>
          </w:tcPr>
          <w:p w14:paraId="59DF1B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54.4030 </w:t>
            </w:r>
          </w:p>
        </w:tc>
      </w:tr>
      <w:tr w14:paraId="0E261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BA88F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4840 </w:t>
            </w:r>
          </w:p>
        </w:tc>
        <w:tc>
          <w:tcPr>
            <w:tcW w:w="1443" w:type="dxa"/>
            <w:tcBorders>
              <w:tl2br w:val="nil"/>
              <w:tr2bl w:val="nil"/>
            </w:tcBorders>
            <w:shd w:val="clear" w:color="auto" w:fill="auto"/>
            <w:vAlign w:val="center"/>
          </w:tcPr>
          <w:p w14:paraId="1CA8B6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51.6570 </w:t>
            </w:r>
          </w:p>
        </w:tc>
        <w:tc>
          <w:tcPr>
            <w:tcW w:w="1394" w:type="dxa"/>
            <w:tcBorders>
              <w:tl2br w:val="nil"/>
              <w:tr2bl w:val="nil"/>
            </w:tcBorders>
            <w:shd w:val="clear" w:color="auto" w:fill="auto"/>
            <w:vAlign w:val="center"/>
          </w:tcPr>
          <w:p w14:paraId="2D9280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54.1990 </w:t>
            </w:r>
          </w:p>
        </w:tc>
        <w:tc>
          <w:tcPr>
            <w:tcW w:w="1079" w:type="dxa"/>
            <w:tcBorders>
              <w:tl2br w:val="nil"/>
              <w:tr2bl w:val="nil"/>
            </w:tcBorders>
            <w:shd w:val="clear" w:color="auto" w:fill="auto"/>
            <w:vAlign w:val="center"/>
          </w:tcPr>
          <w:p w14:paraId="0C66F8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DFB73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51.6570 </w:t>
            </w:r>
          </w:p>
        </w:tc>
        <w:tc>
          <w:tcPr>
            <w:tcW w:w="1353" w:type="dxa"/>
            <w:tcBorders>
              <w:tl2br w:val="nil"/>
              <w:tr2bl w:val="nil"/>
            </w:tcBorders>
            <w:shd w:val="clear" w:color="auto" w:fill="auto"/>
            <w:vAlign w:val="center"/>
          </w:tcPr>
          <w:p w14:paraId="544494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54.1990 </w:t>
            </w:r>
          </w:p>
        </w:tc>
      </w:tr>
      <w:tr w14:paraId="22037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2229C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4850 </w:t>
            </w:r>
          </w:p>
        </w:tc>
        <w:tc>
          <w:tcPr>
            <w:tcW w:w="1443" w:type="dxa"/>
            <w:tcBorders>
              <w:tl2br w:val="nil"/>
              <w:tr2bl w:val="nil"/>
            </w:tcBorders>
            <w:shd w:val="clear" w:color="auto" w:fill="auto"/>
            <w:vAlign w:val="center"/>
          </w:tcPr>
          <w:p w14:paraId="210A0B8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51.7400 </w:t>
            </w:r>
          </w:p>
        </w:tc>
        <w:tc>
          <w:tcPr>
            <w:tcW w:w="1394" w:type="dxa"/>
            <w:tcBorders>
              <w:tl2br w:val="nil"/>
              <w:tr2bl w:val="nil"/>
            </w:tcBorders>
            <w:shd w:val="clear" w:color="auto" w:fill="auto"/>
            <w:vAlign w:val="center"/>
          </w:tcPr>
          <w:p w14:paraId="2581AD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53.9960 </w:t>
            </w:r>
          </w:p>
        </w:tc>
        <w:tc>
          <w:tcPr>
            <w:tcW w:w="1079" w:type="dxa"/>
            <w:tcBorders>
              <w:tl2br w:val="nil"/>
              <w:tr2bl w:val="nil"/>
            </w:tcBorders>
            <w:shd w:val="clear" w:color="auto" w:fill="auto"/>
            <w:vAlign w:val="center"/>
          </w:tcPr>
          <w:p w14:paraId="2EEE7E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07D07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51.7400 </w:t>
            </w:r>
          </w:p>
        </w:tc>
        <w:tc>
          <w:tcPr>
            <w:tcW w:w="1353" w:type="dxa"/>
            <w:tcBorders>
              <w:tl2br w:val="nil"/>
              <w:tr2bl w:val="nil"/>
            </w:tcBorders>
            <w:shd w:val="clear" w:color="auto" w:fill="auto"/>
            <w:vAlign w:val="center"/>
          </w:tcPr>
          <w:p w14:paraId="21DFD4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53.9960 </w:t>
            </w:r>
          </w:p>
        </w:tc>
      </w:tr>
      <w:tr w14:paraId="39A59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490EE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4860 </w:t>
            </w:r>
          </w:p>
        </w:tc>
        <w:tc>
          <w:tcPr>
            <w:tcW w:w="1443" w:type="dxa"/>
            <w:tcBorders>
              <w:tl2br w:val="nil"/>
              <w:tr2bl w:val="nil"/>
            </w:tcBorders>
            <w:shd w:val="clear" w:color="auto" w:fill="auto"/>
            <w:vAlign w:val="center"/>
          </w:tcPr>
          <w:p w14:paraId="550F2AA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51.8240 </w:t>
            </w:r>
          </w:p>
        </w:tc>
        <w:tc>
          <w:tcPr>
            <w:tcW w:w="1394" w:type="dxa"/>
            <w:tcBorders>
              <w:tl2br w:val="nil"/>
              <w:tr2bl w:val="nil"/>
            </w:tcBorders>
            <w:shd w:val="clear" w:color="auto" w:fill="auto"/>
            <w:vAlign w:val="center"/>
          </w:tcPr>
          <w:p w14:paraId="1E2E90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53.7940 </w:t>
            </w:r>
          </w:p>
        </w:tc>
        <w:tc>
          <w:tcPr>
            <w:tcW w:w="1079" w:type="dxa"/>
            <w:tcBorders>
              <w:tl2br w:val="nil"/>
              <w:tr2bl w:val="nil"/>
            </w:tcBorders>
            <w:shd w:val="clear" w:color="auto" w:fill="auto"/>
            <w:vAlign w:val="center"/>
          </w:tcPr>
          <w:p w14:paraId="0DF254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CD313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51.8240 </w:t>
            </w:r>
          </w:p>
        </w:tc>
        <w:tc>
          <w:tcPr>
            <w:tcW w:w="1353" w:type="dxa"/>
            <w:tcBorders>
              <w:tl2br w:val="nil"/>
              <w:tr2bl w:val="nil"/>
            </w:tcBorders>
            <w:shd w:val="clear" w:color="auto" w:fill="auto"/>
            <w:vAlign w:val="center"/>
          </w:tcPr>
          <w:p w14:paraId="01C89D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53.7940 </w:t>
            </w:r>
          </w:p>
        </w:tc>
      </w:tr>
      <w:tr w14:paraId="5496D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F1832C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4870 </w:t>
            </w:r>
          </w:p>
        </w:tc>
        <w:tc>
          <w:tcPr>
            <w:tcW w:w="1443" w:type="dxa"/>
            <w:tcBorders>
              <w:tl2br w:val="nil"/>
              <w:tr2bl w:val="nil"/>
            </w:tcBorders>
            <w:shd w:val="clear" w:color="auto" w:fill="auto"/>
            <w:vAlign w:val="center"/>
          </w:tcPr>
          <w:p w14:paraId="504456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51.9070 </w:t>
            </w:r>
          </w:p>
        </w:tc>
        <w:tc>
          <w:tcPr>
            <w:tcW w:w="1394" w:type="dxa"/>
            <w:tcBorders>
              <w:tl2br w:val="nil"/>
              <w:tr2bl w:val="nil"/>
            </w:tcBorders>
            <w:shd w:val="clear" w:color="auto" w:fill="auto"/>
            <w:vAlign w:val="center"/>
          </w:tcPr>
          <w:p w14:paraId="480BBD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53.5930 </w:t>
            </w:r>
          </w:p>
        </w:tc>
        <w:tc>
          <w:tcPr>
            <w:tcW w:w="1079" w:type="dxa"/>
            <w:tcBorders>
              <w:tl2br w:val="nil"/>
              <w:tr2bl w:val="nil"/>
            </w:tcBorders>
            <w:shd w:val="clear" w:color="auto" w:fill="auto"/>
            <w:vAlign w:val="center"/>
          </w:tcPr>
          <w:p w14:paraId="1F16E4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6F855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51.9070 </w:t>
            </w:r>
          </w:p>
        </w:tc>
        <w:tc>
          <w:tcPr>
            <w:tcW w:w="1353" w:type="dxa"/>
            <w:tcBorders>
              <w:tl2br w:val="nil"/>
              <w:tr2bl w:val="nil"/>
            </w:tcBorders>
            <w:shd w:val="clear" w:color="auto" w:fill="auto"/>
            <w:vAlign w:val="center"/>
          </w:tcPr>
          <w:p w14:paraId="56A6A3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53.5930 </w:t>
            </w:r>
          </w:p>
        </w:tc>
      </w:tr>
      <w:tr w14:paraId="13436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2169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4880 </w:t>
            </w:r>
          </w:p>
        </w:tc>
        <w:tc>
          <w:tcPr>
            <w:tcW w:w="1443" w:type="dxa"/>
            <w:tcBorders>
              <w:tl2br w:val="nil"/>
              <w:tr2bl w:val="nil"/>
            </w:tcBorders>
            <w:shd w:val="clear" w:color="auto" w:fill="auto"/>
            <w:vAlign w:val="center"/>
          </w:tcPr>
          <w:p w14:paraId="7B02AD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51.9900 </w:t>
            </w:r>
          </w:p>
        </w:tc>
        <w:tc>
          <w:tcPr>
            <w:tcW w:w="1394" w:type="dxa"/>
            <w:tcBorders>
              <w:tl2br w:val="nil"/>
              <w:tr2bl w:val="nil"/>
            </w:tcBorders>
            <w:shd w:val="clear" w:color="auto" w:fill="auto"/>
            <w:vAlign w:val="center"/>
          </w:tcPr>
          <w:p w14:paraId="66E86B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53.3930 </w:t>
            </w:r>
          </w:p>
        </w:tc>
        <w:tc>
          <w:tcPr>
            <w:tcW w:w="1079" w:type="dxa"/>
            <w:tcBorders>
              <w:tl2br w:val="nil"/>
              <w:tr2bl w:val="nil"/>
            </w:tcBorders>
            <w:shd w:val="clear" w:color="auto" w:fill="auto"/>
            <w:vAlign w:val="center"/>
          </w:tcPr>
          <w:p w14:paraId="571BAF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2AB9A3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51.9900 </w:t>
            </w:r>
          </w:p>
        </w:tc>
        <w:tc>
          <w:tcPr>
            <w:tcW w:w="1353" w:type="dxa"/>
            <w:tcBorders>
              <w:tl2br w:val="nil"/>
              <w:tr2bl w:val="nil"/>
            </w:tcBorders>
            <w:shd w:val="clear" w:color="auto" w:fill="auto"/>
            <w:vAlign w:val="center"/>
          </w:tcPr>
          <w:p w14:paraId="377716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53.3930 </w:t>
            </w:r>
          </w:p>
        </w:tc>
      </w:tr>
      <w:tr w14:paraId="6436A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952AF5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4890 </w:t>
            </w:r>
          </w:p>
        </w:tc>
        <w:tc>
          <w:tcPr>
            <w:tcW w:w="1443" w:type="dxa"/>
            <w:tcBorders>
              <w:tl2br w:val="nil"/>
              <w:tr2bl w:val="nil"/>
            </w:tcBorders>
            <w:shd w:val="clear" w:color="auto" w:fill="auto"/>
            <w:vAlign w:val="center"/>
          </w:tcPr>
          <w:p w14:paraId="0F8C8D7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52.0730 </w:t>
            </w:r>
          </w:p>
        </w:tc>
        <w:tc>
          <w:tcPr>
            <w:tcW w:w="1394" w:type="dxa"/>
            <w:tcBorders>
              <w:tl2br w:val="nil"/>
              <w:tr2bl w:val="nil"/>
            </w:tcBorders>
            <w:shd w:val="clear" w:color="auto" w:fill="auto"/>
            <w:vAlign w:val="center"/>
          </w:tcPr>
          <w:p w14:paraId="74FADC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53.1940 </w:t>
            </w:r>
          </w:p>
        </w:tc>
        <w:tc>
          <w:tcPr>
            <w:tcW w:w="1079" w:type="dxa"/>
            <w:tcBorders>
              <w:tl2br w:val="nil"/>
              <w:tr2bl w:val="nil"/>
            </w:tcBorders>
            <w:shd w:val="clear" w:color="auto" w:fill="auto"/>
            <w:vAlign w:val="center"/>
          </w:tcPr>
          <w:p w14:paraId="579FAD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C5B828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52.0730 </w:t>
            </w:r>
          </w:p>
        </w:tc>
        <w:tc>
          <w:tcPr>
            <w:tcW w:w="1353" w:type="dxa"/>
            <w:tcBorders>
              <w:tl2br w:val="nil"/>
              <w:tr2bl w:val="nil"/>
            </w:tcBorders>
            <w:shd w:val="clear" w:color="auto" w:fill="auto"/>
            <w:vAlign w:val="center"/>
          </w:tcPr>
          <w:p w14:paraId="3C4C13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53.1940 </w:t>
            </w:r>
          </w:p>
        </w:tc>
      </w:tr>
      <w:tr w14:paraId="2A50F9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C788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4900 </w:t>
            </w:r>
          </w:p>
        </w:tc>
        <w:tc>
          <w:tcPr>
            <w:tcW w:w="1443" w:type="dxa"/>
            <w:tcBorders>
              <w:tl2br w:val="nil"/>
              <w:tr2bl w:val="nil"/>
            </w:tcBorders>
            <w:shd w:val="clear" w:color="auto" w:fill="auto"/>
            <w:vAlign w:val="center"/>
          </w:tcPr>
          <w:p w14:paraId="138686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52.1560 </w:t>
            </w:r>
          </w:p>
        </w:tc>
        <w:tc>
          <w:tcPr>
            <w:tcW w:w="1394" w:type="dxa"/>
            <w:tcBorders>
              <w:tl2br w:val="nil"/>
              <w:tr2bl w:val="nil"/>
            </w:tcBorders>
            <w:shd w:val="clear" w:color="auto" w:fill="auto"/>
            <w:vAlign w:val="center"/>
          </w:tcPr>
          <w:p w14:paraId="22871B0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52.9970 </w:t>
            </w:r>
          </w:p>
        </w:tc>
        <w:tc>
          <w:tcPr>
            <w:tcW w:w="1079" w:type="dxa"/>
            <w:tcBorders>
              <w:tl2br w:val="nil"/>
              <w:tr2bl w:val="nil"/>
            </w:tcBorders>
            <w:shd w:val="clear" w:color="auto" w:fill="auto"/>
            <w:vAlign w:val="center"/>
          </w:tcPr>
          <w:p w14:paraId="4DA063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94FA1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52.1560 </w:t>
            </w:r>
          </w:p>
        </w:tc>
        <w:tc>
          <w:tcPr>
            <w:tcW w:w="1353" w:type="dxa"/>
            <w:tcBorders>
              <w:tl2br w:val="nil"/>
              <w:tr2bl w:val="nil"/>
            </w:tcBorders>
            <w:shd w:val="clear" w:color="auto" w:fill="auto"/>
            <w:vAlign w:val="center"/>
          </w:tcPr>
          <w:p w14:paraId="5CADF5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52.9970 </w:t>
            </w:r>
          </w:p>
        </w:tc>
      </w:tr>
      <w:tr w14:paraId="7B9E7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E7F1C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4910 </w:t>
            </w:r>
          </w:p>
        </w:tc>
        <w:tc>
          <w:tcPr>
            <w:tcW w:w="1443" w:type="dxa"/>
            <w:tcBorders>
              <w:tl2br w:val="nil"/>
              <w:tr2bl w:val="nil"/>
            </w:tcBorders>
            <w:shd w:val="clear" w:color="auto" w:fill="auto"/>
            <w:vAlign w:val="center"/>
          </w:tcPr>
          <w:p w14:paraId="1AC960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52.2390 </w:t>
            </w:r>
          </w:p>
        </w:tc>
        <w:tc>
          <w:tcPr>
            <w:tcW w:w="1394" w:type="dxa"/>
            <w:tcBorders>
              <w:tl2br w:val="nil"/>
              <w:tr2bl w:val="nil"/>
            </w:tcBorders>
            <w:shd w:val="clear" w:color="auto" w:fill="auto"/>
            <w:vAlign w:val="center"/>
          </w:tcPr>
          <w:p w14:paraId="510B5F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52.8000 </w:t>
            </w:r>
          </w:p>
        </w:tc>
        <w:tc>
          <w:tcPr>
            <w:tcW w:w="1079" w:type="dxa"/>
            <w:tcBorders>
              <w:tl2br w:val="nil"/>
              <w:tr2bl w:val="nil"/>
            </w:tcBorders>
            <w:shd w:val="clear" w:color="auto" w:fill="auto"/>
            <w:vAlign w:val="center"/>
          </w:tcPr>
          <w:p w14:paraId="7EBE9F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D1C4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52.2390 </w:t>
            </w:r>
          </w:p>
        </w:tc>
        <w:tc>
          <w:tcPr>
            <w:tcW w:w="1353" w:type="dxa"/>
            <w:tcBorders>
              <w:tl2br w:val="nil"/>
              <w:tr2bl w:val="nil"/>
            </w:tcBorders>
            <w:shd w:val="clear" w:color="auto" w:fill="auto"/>
            <w:vAlign w:val="center"/>
          </w:tcPr>
          <w:p w14:paraId="608B71A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52.8000 </w:t>
            </w:r>
          </w:p>
        </w:tc>
      </w:tr>
      <w:tr w14:paraId="72564B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462ED56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4920 </w:t>
            </w:r>
          </w:p>
        </w:tc>
        <w:tc>
          <w:tcPr>
            <w:tcW w:w="1443" w:type="dxa"/>
            <w:tcBorders>
              <w:tl2br w:val="nil"/>
              <w:tr2bl w:val="nil"/>
            </w:tcBorders>
            <w:shd w:val="clear" w:color="auto" w:fill="auto"/>
            <w:vAlign w:val="center"/>
          </w:tcPr>
          <w:p w14:paraId="02866D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52.3220 </w:t>
            </w:r>
          </w:p>
        </w:tc>
        <w:tc>
          <w:tcPr>
            <w:tcW w:w="1394" w:type="dxa"/>
            <w:tcBorders>
              <w:tl2br w:val="nil"/>
              <w:tr2bl w:val="nil"/>
            </w:tcBorders>
            <w:shd w:val="clear" w:color="auto" w:fill="auto"/>
            <w:vAlign w:val="center"/>
          </w:tcPr>
          <w:p w14:paraId="725E05F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52.6050 </w:t>
            </w:r>
          </w:p>
        </w:tc>
        <w:tc>
          <w:tcPr>
            <w:tcW w:w="1079" w:type="dxa"/>
            <w:tcBorders>
              <w:tl2br w:val="nil"/>
              <w:tr2bl w:val="nil"/>
            </w:tcBorders>
            <w:shd w:val="clear" w:color="auto" w:fill="auto"/>
            <w:vAlign w:val="center"/>
          </w:tcPr>
          <w:p w14:paraId="4D2E36E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7605D2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52.3220 </w:t>
            </w:r>
          </w:p>
        </w:tc>
        <w:tc>
          <w:tcPr>
            <w:tcW w:w="1353" w:type="dxa"/>
            <w:tcBorders>
              <w:tl2br w:val="nil"/>
              <w:tr2bl w:val="nil"/>
            </w:tcBorders>
            <w:shd w:val="clear" w:color="auto" w:fill="auto"/>
            <w:vAlign w:val="center"/>
          </w:tcPr>
          <w:p w14:paraId="5FDD2FF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52.6050 </w:t>
            </w:r>
          </w:p>
        </w:tc>
      </w:tr>
      <w:tr w14:paraId="1D4AE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7020ED8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4930 </w:t>
            </w:r>
          </w:p>
        </w:tc>
        <w:tc>
          <w:tcPr>
            <w:tcW w:w="1443" w:type="dxa"/>
            <w:tcBorders>
              <w:tl2br w:val="nil"/>
              <w:tr2bl w:val="nil"/>
            </w:tcBorders>
            <w:shd w:val="clear" w:color="auto" w:fill="auto"/>
            <w:vAlign w:val="center"/>
          </w:tcPr>
          <w:p w14:paraId="12E901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52.4060 </w:t>
            </w:r>
          </w:p>
        </w:tc>
        <w:tc>
          <w:tcPr>
            <w:tcW w:w="1394" w:type="dxa"/>
            <w:tcBorders>
              <w:tl2br w:val="nil"/>
              <w:tr2bl w:val="nil"/>
            </w:tcBorders>
            <w:shd w:val="clear" w:color="auto" w:fill="auto"/>
            <w:vAlign w:val="center"/>
          </w:tcPr>
          <w:p w14:paraId="6A0B64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52.4110 </w:t>
            </w:r>
          </w:p>
        </w:tc>
        <w:tc>
          <w:tcPr>
            <w:tcW w:w="1079" w:type="dxa"/>
            <w:tcBorders>
              <w:tl2br w:val="nil"/>
              <w:tr2bl w:val="nil"/>
            </w:tcBorders>
            <w:shd w:val="clear" w:color="auto" w:fill="auto"/>
            <w:vAlign w:val="center"/>
          </w:tcPr>
          <w:p w14:paraId="402428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D8BC8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52.4060 </w:t>
            </w:r>
          </w:p>
        </w:tc>
        <w:tc>
          <w:tcPr>
            <w:tcW w:w="1353" w:type="dxa"/>
            <w:tcBorders>
              <w:tl2br w:val="nil"/>
              <w:tr2bl w:val="nil"/>
            </w:tcBorders>
            <w:shd w:val="clear" w:color="auto" w:fill="auto"/>
            <w:vAlign w:val="center"/>
          </w:tcPr>
          <w:p w14:paraId="37CAB7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52.4110 </w:t>
            </w:r>
          </w:p>
        </w:tc>
      </w:tr>
      <w:tr w14:paraId="70DC3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A7800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4940 </w:t>
            </w:r>
          </w:p>
        </w:tc>
        <w:tc>
          <w:tcPr>
            <w:tcW w:w="1443" w:type="dxa"/>
            <w:tcBorders>
              <w:tl2br w:val="nil"/>
              <w:tr2bl w:val="nil"/>
            </w:tcBorders>
            <w:shd w:val="clear" w:color="auto" w:fill="auto"/>
            <w:vAlign w:val="center"/>
          </w:tcPr>
          <w:p w14:paraId="5D05AC0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52.4890 </w:t>
            </w:r>
          </w:p>
        </w:tc>
        <w:tc>
          <w:tcPr>
            <w:tcW w:w="1394" w:type="dxa"/>
            <w:tcBorders>
              <w:tl2br w:val="nil"/>
              <w:tr2bl w:val="nil"/>
            </w:tcBorders>
            <w:shd w:val="clear" w:color="auto" w:fill="auto"/>
            <w:vAlign w:val="center"/>
          </w:tcPr>
          <w:p w14:paraId="2213E9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52.2170 </w:t>
            </w:r>
          </w:p>
        </w:tc>
        <w:tc>
          <w:tcPr>
            <w:tcW w:w="1079" w:type="dxa"/>
            <w:tcBorders>
              <w:tl2br w:val="nil"/>
              <w:tr2bl w:val="nil"/>
            </w:tcBorders>
            <w:shd w:val="clear" w:color="auto" w:fill="auto"/>
            <w:vAlign w:val="center"/>
          </w:tcPr>
          <w:p w14:paraId="3A31E2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1F7B5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52.4890 </w:t>
            </w:r>
          </w:p>
        </w:tc>
        <w:tc>
          <w:tcPr>
            <w:tcW w:w="1353" w:type="dxa"/>
            <w:tcBorders>
              <w:tl2br w:val="nil"/>
              <w:tr2bl w:val="nil"/>
            </w:tcBorders>
            <w:shd w:val="clear" w:color="auto" w:fill="auto"/>
            <w:vAlign w:val="center"/>
          </w:tcPr>
          <w:p w14:paraId="25E3AF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52.2170 </w:t>
            </w:r>
          </w:p>
        </w:tc>
      </w:tr>
      <w:tr w14:paraId="2CDE6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8BB34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4950 </w:t>
            </w:r>
          </w:p>
        </w:tc>
        <w:tc>
          <w:tcPr>
            <w:tcW w:w="1443" w:type="dxa"/>
            <w:tcBorders>
              <w:tl2br w:val="nil"/>
              <w:tr2bl w:val="nil"/>
            </w:tcBorders>
            <w:shd w:val="clear" w:color="auto" w:fill="auto"/>
            <w:vAlign w:val="center"/>
          </w:tcPr>
          <w:p w14:paraId="627B3D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52.5720 </w:t>
            </w:r>
          </w:p>
        </w:tc>
        <w:tc>
          <w:tcPr>
            <w:tcW w:w="1394" w:type="dxa"/>
            <w:tcBorders>
              <w:tl2br w:val="nil"/>
              <w:tr2bl w:val="nil"/>
            </w:tcBorders>
            <w:shd w:val="clear" w:color="auto" w:fill="auto"/>
            <w:vAlign w:val="center"/>
          </w:tcPr>
          <w:p w14:paraId="33C4DA1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52.0250 </w:t>
            </w:r>
          </w:p>
        </w:tc>
        <w:tc>
          <w:tcPr>
            <w:tcW w:w="1079" w:type="dxa"/>
            <w:tcBorders>
              <w:tl2br w:val="nil"/>
              <w:tr2bl w:val="nil"/>
            </w:tcBorders>
            <w:shd w:val="clear" w:color="auto" w:fill="auto"/>
            <w:vAlign w:val="center"/>
          </w:tcPr>
          <w:p w14:paraId="7C369D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1FD2C3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52.5720 </w:t>
            </w:r>
          </w:p>
        </w:tc>
        <w:tc>
          <w:tcPr>
            <w:tcW w:w="1353" w:type="dxa"/>
            <w:tcBorders>
              <w:tl2br w:val="nil"/>
              <w:tr2bl w:val="nil"/>
            </w:tcBorders>
            <w:shd w:val="clear" w:color="auto" w:fill="auto"/>
            <w:vAlign w:val="center"/>
          </w:tcPr>
          <w:p w14:paraId="3D54DF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52.0250 </w:t>
            </w:r>
          </w:p>
        </w:tc>
      </w:tr>
      <w:tr w14:paraId="6CA13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FE50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4960 </w:t>
            </w:r>
          </w:p>
        </w:tc>
        <w:tc>
          <w:tcPr>
            <w:tcW w:w="1443" w:type="dxa"/>
            <w:tcBorders>
              <w:tl2br w:val="nil"/>
              <w:tr2bl w:val="nil"/>
            </w:tcBorders>
            <w:shd w:val="clear" w:color="auto" w:fill="auto"/>
            <w:vAlign w:val="center"/>
          </w:tcPr>
          <w:p w14:paraId="589F9F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52.6540 </w:t>
            </w:r>
          </w:p>
        </w:tc>
        <w:tc>
          <w:tcPr>
            <w:tcW w:w="1394" w:type="dxa"/>
            <w:tcBorders>
              <w:tl2br w:val="nil"/>
              <w:tr2bl w:val="nil"/>
            </w:tcBorders>
            <w:shd w:val="clear" w:color="auto" w:fill="auto"/>
            <w:vAlign w:val="center"/>
          </w:tcPr>
          <w:p w14:paraId="77763A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51.8340 </w:t>
            </w:r>
          </w:p>
        </w:tc>
        <w:tc>
          <w:tcPr>
            <w:tcW w:w="1079" w:type="dxa"/>
            <w:tcBorders>
              <w:tl2br w:val="nil"/>
              <w:tr2bl w:val="nil"/>
            </w:tcBorders>
            <w:shd w:val="clear" w:color="auto" w:fill="auto"/>
            <w:vAlign w:val="center"/>
          </w:tcPr>
          <w:p w14:paraId="356CE79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7BDE8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52.6540 </w:t>
            </w:r>
          </w:p>
        </w:tc>
        <w:tc>
          <w:tcPr>
            <w:tcW w:w="1353" w:type="dxa"/>
            <w:tcBorders>
              <w:tl2br w:val="nil"/>
              <w:tr2bl w:val="nil"/>
            </w:tcBorders>
            <w:shd w:val="clear" w:color="auto" w:fill="auto"/>
            <w:vAlign w:val="center"/>
          </w:tcPr>
          <w:p w14:paraId="220244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51.8340 </w:t>
            </w:r>
          </w:p>
        </w:tc>
      </w:tr>
      <w:tr w14:paraId="1C91DA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35B88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4970 </w:t>
            </w:r>
          </w:p>
        </w:tc>
        <w:tc>
          <w:tcPr>
            <w:tcW w:w="1443" w:type="dxa"/>
            <w:tcBorders>
              <w:tl2br w:val="nil"/>
              <w:tr2bl w:val="nil"/>
            </w:tcBorders>
            <w:shd w:val="clear" w:color="auto" w:fill="auto"/>
            <w:vAlign w:val="center"/>
          </w:tcPr>
          <w:p w14:paraId="5412BB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52.7370 </w:t>
            </w:r>
          </w:p>
        </w:tc>
        <w:tc>
          <w:tcPr>
            <w:tcW w:w="1394" w:type="dxa"/>
            <w:tcBorders>
              <w:tl2br w:val="nil"/>
              <w:tr2bl w:val="nil"/>
            </w:tcBorders>
            <w:shd w:val="clear" w:color="auto" w:fill="auto"/>
            <w:vAlign w:val="center"/>
          </w:tcPr>
          <w:p w14:paraId="44C269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51.6440 </w:t>
            </w:r>
          </w:p>
        </w:tc>
        <w:tc>
          <w:tcPr>
            <w:tcW w:w="1079" w:type="dxa"/>
            <w:tcBorders>
              <w:tl2br w:val="nil"/>
              <w:tr2bl w:val="nil"/>
            </w:tcBorders>
            <w:shd w:val="clear" w:color="auto" w:fill="auto"/>
            <w:vAlign w:val="center"/>
          </w:tcPr>
          <w:p w14:paraId="586D0B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AF1AD5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52.7370 </w:t>
            </w:r>
          </w:p>
        </w:tc>
        <w:tc>
          <w:tcPr>
            <w:tcW w:w="1353" w:type="dxa"/>
            <w:tcBorders>
              <w:tl2br w:val="nil"/>
              <w:tr2bl w:val="nil"/>
            </w:tcBorders>
            <w:shd w:val="clear" w:color="auto" w:fill="auto"/>
            <w:vAlign w:val="center"/>
          </w:tcPr>
          <w:p w14:paraId="78FFD3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51.6440 </w:t>
            </w:r>
          </w:p>
        </w:tc>
      </w:tr>
      <w:tr w14:paraId="652976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66B9D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4980 </w:t>
            </w:r>
          </w:p>
        </w:tc>
        <w:tc>
          <w:tcPr>
            <w:tcW w:w="1443" w:type="dxa"/>
            <w:tcBorders>
              <w:tl2br w:val="nil"/>
              <w:tr2bl w:val="nil"/>
            </w:tcBorders>
            <w:shd w:val="clear" w:color="auto" w:fill="auto"/>
            <w:vAlign w:val="center"/>
          </w:tcPr>
          <w:p w14:paraId="10471DF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52.8200 </w:t>
            </w:r>
          </w:p>
        </w:tc>
        <w:tc>
          <w:tcPr>
            <w:tcW w:w="1394" w:type="dxa"/>
            <w:tcBorders>
              <w:tl2br w:val="nil"/>
              <w:tr2bl w:val="nil"/>
            </w:tcBorders>
            <w:shd w:val="clear" w:color="auto" w:fill="auto"/>
            <w:vAlign w:val="center"/>
          </w:tcPr>
          <w:p w14:paraId="2C30A4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51.4550 </w:t>
            </w:r>
          </w:p>
        </w:tc>
        <w:tc>
          <w:tcPr>
            <w:tcW w:w="1079" w:type="dxa"/>
            <w:tcBorders>
              <w:tl2br w:val="nil"/>
              <w:tr2bl w:val="nil"/>
            </w:tcBorders>
            <w:shd w:val="clear" w:color="auto" w:fill="auto"/>
            <w:vAlign w:val="center"/>
          </w:tcPr>
          <w:p w14:paraId="6FADB9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DD080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52.8200 </w:t>
            </w:r>
          </w:p>
        </w:tc>
        <w:tc>
          <w:tcPr>
            <w:tcW w:w="1353" w:type="dxa"/>
            <w:tcBorders>
              <w:tl2br w:val="nil"/>
              <w:tr2bl w:val="nil"/>
            </w:tcBorders>
            <w:shd w:val="clear" w:color="auto" w:fill="auto"/>
            <w:vAlign w:val="center"/>
          </w:tcPr>
          <w:p w14:paraId="6DAD3A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51.4550 </w:t>
            </w:r>
          </w:p>
        </w:tc>
      </w:tr>
      <w:tr w14:paraId="284F4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633E4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4990 </w:t>
            </w:r>
          </w:p>
        </w:tc>
        <w:tc>
          <w:tcPr>
            <w:tcW w:w="1443" w:type="dxa"/>
            <w:tcBorders>
              <w:tl2br w:val="nil"/>
              <w:tr2bl w:val="nil"/>
            </w:tcBorders>
            <w:shd w:val="clear" w:color="auto" w:fill="auto"/>
            <w:vAlign w:val="center"/>
          </w:tcPr>
          <w:p w14:paraId="7F6DC4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52.9030 </w:t>
            </w:r>
          </w:p>
        </w:tc>
        <w:tc>
          <w:tcPr>
            <w:tcW w:w="1394" w:type="dxa"/>
            <w:tcBorders>
              <w:tl2br w:val="nil"/>
              <w:tr2bl w:val="nil"/>
            </w:tcBorders>
            <w:shd w:val="clear" w:color="auto" w:fill="auto"/>
            <w:vAlign w:val="center"/>
          </w:tcPr>
          <w:p w14:paraId="078A76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51.2670 </w:t>
            </w:r>
          </w:p>
        </w:tc>
        <w:tc>
          <w:tcPr>
            <w:tcW w:w="1079" w:type="dxa"/>
            <w:tcBorders>
              <w:tl2br w:val="nil"/>
              <w:tr2bl w:val="nil"/>
            </w:tcBorders>
            <w:shd w:val="clear" w:color="auto" w:fill="auto"/>
            <w:vAlign w:val="center"/>
          </w:tcPr>
          <w:p w14:paraId="7EDBD5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0DB0EB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52.9030 </w:t>
            </w:r>
          </w:p>
        </w:tc>
        <w:tc>
          <w:tcPr>
            <w:tcW w:w="1353" w:type="dxa"/>
            <w:tcBorders>
              <w:tl2br w:val="nil"/>
              <w:tr2bl w:val="nil"/>
            </w:tcBorders>
            <w:shd w:val="clear" w:color="auto" w:fill="auto"/>
            <w:vAlign w:val="center"/>
          </w:tcPr>
          <w:p w14:paraId="40458C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51.2670 </w:t>
            </w:r>
          </w:p>
        </w:tc>
      </w:tr>
      <w:tr w14:paraId="506DF8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2F73E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5000 </w:t>
            </w:r>
          </w:p>
        </w:tc>
        <w:tc>
          <w:tcPr>
            <w:tcW w:w="1443" w:type="dxa"/>
            <w:tcBorders>
              <w:tl2br w:val="nil"/>
              <w:tr2bl w:val="nil"/>
            </w:tcBorders>
            <w:shd w:val="clear" w:color="auto" w:fill="auto"/>
            <w:vAlign w:val="center"/>
          </w:tcPr>
          <w:p w14:paraId="046AC4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52.9860 </w:t>
            </w:r>
          </w:p>
        </w:tc>
        <w:tc>
          <w:tcPr>
            <w:tcW w:w="1394" w:type="dxa"/>
            <w:tcBorders>
              <w:tl2br w:val="nil"/>
              <w:tr2bl w:val="nil"/>
            </w:tcBorders>
            <w:shd w:val="clear" w:color="auto" w:fill="auto"/>
            <w:vAlign w:val="center"/>
          </w:tcPr>
          <w:p w14:paraId="05066B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51.0800 </w:t>
            </w:r>
          </w:p>
        </w:tc>
        <w:tc>
          <w:tcPr>
            <w:tcW w:w="1079" w:type="dxa"/>
            <w:tcBorders>
              <w:tl2br w:val="nil"/>
              <w:tr2bl w:val="nil"/>
            </w:tcBorders>
            <w:shd w:val="clear" w:color="auto" w:fill="auto"/>
            <w:vAlign w:val="center"/>
          </w:tcPr>
          <w:p w14:paraId="10F4FF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F21A9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52.9860 </w:t>
            </w:r>
          </w:p>
        </w:tc>
        <w:tc>
          <w:tcPr>
            <w:tcW w:w="1353" w:type="dxa"/>
            <w:tcBorders>
              <w:tl2br w:val="nil"/>
              <w:tr2bl w:val="nil"/>
            </w:tcBorders>
            <w:shd w:val="clear" w:color="auto" w:fill="auto"/>
            <w:vAlign w:val="center"/>
          </w:tcPr>
          <w:p w14:paraId="3ED8E0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51.0800 </w:t>
            </w:r>
          </w:p>
        </w:tc>
      </w:tr>
      <w:tr w14:paraId="0F0497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D8BD4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5010 </w:t>
            </w:r>
          </w:p>
        </w:tc>
        <w:tc>
          <w:tcPr>
            <w:tcW w:w="1443" w:type="dxa"/>
            <w:tcBorders>
              <w:tl2br w:val="nil"/>
              <w:tr2bl w:val="nil"/>
            </w:tcBorders>
            <w:shd w:val="clear" w:color="auto" w:fill="auto"/>
            <w:vAlign w:val="center"/>
          </w:tcPr>
          <w:p w14:paraId="1BE49B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53.0690 </w:t>
            </w:r>
          </w:p>
        </w:tc>
        <w:tc>
          <w:tcPr>
            <w:tcW w:w="1394" w:type="dxa"/>
            <w:tcBorders>
              <w:tl2br w:val="nil"/>
              <w:tr2bl w:val="nil"/>
            </w:tcBorders>
            <w:shd w:val="clear" w:color="auto" w:fill="auto"/>
            <w:vAlign w:val="center"/>
          </w:tcPr>
          <w:p w14:paraId="09CD95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50.8940 </w:t>
            </w:r>
          </w:p>
        </w:tc>
        <w:tc>
          <w:tcPr>
            <w:tcW w:w="1079" w:type="dxa"/>
            <w:tcBorders>
              <w:tl2br w:val="nil"/>
              <w:tr2bl w:val="nil"/>
            </w:tcBorders>
            <w:shd w:val="clear" w:color="auto" w:fill="auto"/>
            <w:vAlign w:val="center"/>
          </w:tcPr>
          <w:p w14:paraId="3AEF111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4D4DDC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53.0690 </w:t>
            </w:r>
          </w:p>
        </w:tc>
        <w:tc>
          <w:tcPr>
            <w:tcW w:w="1353" w:type="dxa"/>
            <w:tcBorders>
              <w:tl2br w:val="nil"/>
              <w:tr2bl w:val="nil"/>
            </w:tcBorders>
            <w:shd w:val="clear" w:color="auto" w:fill="auto"/>
            <w:vAlign w:val="center"/>
          </w:tcPr>
          <w:p w14:paraId="2B7009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50.8940 </w:t>
            </w:r>
          </w:p>
        </w:tc>
      </w:tr>
      <w:tr w14:paraId="1604E1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6AC94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5020 </w:t>
            </w:r>
          </w:p>
        </w:tc>
        <w:tc>
          <w:tcPr>
            <w:tcW w:w="1443" w:type="dxa"/>
            <w:tcBorders>
              <w:tl2br w:val="nil"/>
              <w:tr2bl w:val="nil"/>
            </w:tcBorders>
            <w:shd w:val="clear" w:color="auto" w:fill="auto"/>
            <w:vAlign w:val="center"/>
          </w:tcPr>
          <w:p w14:paraId="3C81E3E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53.1510 </w:t>
            </w:r>
          </w:p>
        </w:tc>
        <w:tc>
          <w:tcPr>
            <w:tcW w:w="1394" w:type="dxa"/>
            <w:tcBorders>
              <w:tl2br w:val="nil"/>
              <w:tr2bl w:val="nil"/>
            </w:tcBorders>
            <w:shd w:val="clear" w:color="auto" w:fill="auto"/>
            <w:vAlign w:val="center"/>
          </w:tcPr>
          <w:p w14:paraId="199BF7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50.7100 </w:t>
            </w:r>
          </w:p>
        </w:tc>
        <w:tc>
          <w:tcPr>
            <w:tcW w:w="1079" w:type="dxa"/>
            <w:tcBorders>
              <w:tl2br w:val="nil"/>
              <w:tr2bl w:val="nil"/>
            </w:tcBorders>
            <w:shd w:val="clear" w:color="auto" w:fill="auto"/>
            <w:vAlign w:val="center"/>
          </w:tcPr>
          <w:p w14:paraId="2F7A25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27C85E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53.1510 </w:t>
            </w:r>
          </w:p>
        </w:tc>
        <w:tc>
          <w:tcPr>
            <w:tcW w:w="1353" w:type="dxa"/>
            <w:tcBorders>
              <w:tl2br w:val="nil"/>
              <w:tr2bl w:val="nil"/>
            </w:tcBorders>
            <w:shd w:val="clear" w:color="auto" w:fill="auto"/>
            <w:vAlign w:val="center"/>
          </w:tcPr>
          <w:p w14:paraId="0FB0B6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50.7100 </w:t>
            </w:r>
          </w:p>
        </w:tc>
      </w:tr>
      <w:tr w14:paraId="4BBF36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E85D2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5030 </w:t>
            </w:r>
          </w:p>
        </w:tc>
        <w:tc>
          <w:tcPr>
            <w:tcW w:w="1443" w:type="dxa"/>
            <w:tcBorders>
              <w:tl2br w:val="nil"/>
              <w:tr2bl w:val="nil"/>
            </w:tcBorders>
            <w:shd w:val="clear" w:color="auto" w:fill="auto"/>
            <w:vAlign w:val="center"/>
          </w:tcPr>
          <w:p w14:paraId="65BAD56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53.2340 </w:t>
            </w:r>
          </w:p>
        </w:tc>
        <w:tc>
          <w:tcPr>
            <w:tcW w:w="1394" w:type="dxa"/>
            <w:tcBorders>
              <w:tl2br w:val="nil"/>
              <w:tr2bl w:val="nil"/>
            </w:tcBorders>
            <w:shd w:val="clear" w:color="auto" w:fill="auto"/>
            <w:vAlign w:val="center"/>
          </w:tcPr>
          <w:p w14:paraId="4CA4AB8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50.5260 </w:t>
            </w:r>
          </w:p>
        </w:tc>
        <w:tc>
          <w:tcPr>
            <w:tcW w:w="1079" w:type="dxa"/>
            <w:tcBorders>
              <w:tl2br w:val="nil"/>
              <w:tr2bl w:val="nil"/>
            </w:tcBorders>
            <w:shd w:val="clear" w:color="auto" w:fill="auto"/>
            <w:vAlign w:val="center"/>
          </w:tcPr>
          <w:p w14:paraId="7F7E9B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ABCED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53.2340 </w:t>
            </w:r>
          </w:p>
        </w:tc>
        <w:tc>
          <w:tcPr>
            <w:tcW w:w="1353" w:type="dxa"/>
            <w:tcBorders>
              <w:tl2br w:val="nil"/>
              <w:tr2bl w:val="nil"/>
            </w:tcBorders>
            <w:shd w:val="clear" w:color="auto" w:fill="auto"/>
            <w:vAlign w:val="center"/>
          </w:tcPr>
          <w:p w14:paraId="702584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50.5260 </w:t>
            </w:r>
          </w:p>
        </w:tc>
      </w:tr>
      <w:tr w14:paraId="660F92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5B918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5040 </w:t>
            </w:r>
          </w:p>
        </w:tc>
        <w:tc>
          <w:tcPr>
            <w:tcW w:w="1443" w:type="dxa"/>
            <w:tcBorders>
              <w:tl2br w:val="nil"/>
              <w:tr2bl w:val="nil"/>
            </w:tcBorders>
            <w:shd w:val="clear" w:color="auto" w:fill="auto"/>
            <w:vAlign w:val="center"/>
          </w:tcPr>
          <w:p w14:paraId="28EE695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53.3170 </w:t>
            </w:r>
          </w:p>
        </w:tc>
        <w:tc>
          <w:tcPr>
            <w:tcW w:w="1394" w:type="dxa"/>
            <w:tcBorders>
              <w:tl2br w:val="nil"/>
              <w:tr2bl w:val="nil"/>
            </w:tcBorders>
            <w:shd w:val="clear" w:color="auto" w:fill="auto"/>
            <w:vAlign w:val="center"/>
          </w:tcPr>
          <w:p w14:paraId="22BBAD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50.3430 </w:t>
            </w:r>
          </w:p>
        </w:tc>
        <w:tc>
          <w:tcPr>
            <w:tcW w:w="1079" w:type="dxa"/>
            <w:tcBorders>
              <w:tl2br w:val="nil"/>
              <w:tr2bl w:val="nil"/>
            </w:tcBorders>
            <w:shd w:val="clear" w:color="auto" w:fill="auto"/>
            <w:vAlign w:val="center"/>
          </w:tcPr>
          <w:p w14:paraId="416DDC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0DB732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53.3170 </w:t>
            </w:r>
          </w:p>
        </w:tc>
        <w:tc>
          <w:tcPr>
            <w:tcW w:w="1353" w:type="dxa"/>
            <w:tcBorders>
              <w:tl2br w:val="nil"/>
              <w:tr2bl w:val="nil"/>
            </w:tcBorders>
            <w:shd w:val="clear" w:color="auto" w:fill="auto"/>
            <w:vAlign w:val="center"/>
          </w:tcPr>
          <w:p w14:paraId="411B3E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50.3430 </w:t>
            </w:r>
          </w:p>
        </w:tc>
      </w:tr>
      <w:tr w14:paraId="48C0B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14BBD4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5050 </w:t>
            </w:r>
          </w:p>
        </w:tc>
        <w:tc>
          <w:tcPr>
            <w:tcW w:w="1443" w:type="dxa"/>
            <w:tcBorders>
              <w:tl2br w:val="nil"/>
              <w:tr2bl w:val="nil"/>
            </w:tcBorders>
            <w:shd w:val="clear" w:color="auto" w:fill="auto"/>
            <w:vAlign w:val="center"/>
          </w:tcPr>
          <w:p w14:paraId="5E0922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53.4000 </w:t>
            </w:r>
          </w:p>
        </w:tc>
        <w:tc>
          <w:tcPr>
            <w:tcW w:w="1394" w:type="dxa"/>
            <w:tcBorders>
              <w:tl2br w:val="nil"/>
              <w:tr2bl w:val="nil"/>
            </w:tcBorders>
            <w:shd w:val="clear" w:color="auto" w:fill="auto"/>
            <w:vAlign w:val="center"/>
          </w:tcPr>
          <w:p w14:paraId="312136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50.1610 </w:t>
            </w:r>
          </w:p>
        </w:tc>
        <w:tc>
          <w:tcPr>
            <w:tcW w:w="1079" w:type="dxa"/>
            <w:tcBorders>
              <w:tl2br w:val="nil"/>
              <w:tr2bl w:val="nil"/>
            </w:tcBorders>
            <w:shd w:val="clear" w:color="auto" w:fill="auto"/>
            <w:vAlign w:val="center"/>
          </w:tcPr>
          <w:p w14:paraId="13DC21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03945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53.4000 </w:t>
            </w:r>
          </w:p>
        </w:tc>
        <w:tc>
          <w:tcPr>
            <w:tcW w:w="1353" w:type="dxa"/>
            <w:tcBorders>
              <w:tl2br w:val="nil"/>
              <w:tr2bl w:val="nil"/>
            </w:tcBorders>
            <w:shd w:val="clear" w:color="auto" w:fill="auto"/>
            <w:vAlign w:val="center"/>
          </w:tcPr>
          <w:p w14:paraId="04E7FD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50.1610 </w:t>
            </w:r>
          </w:p>
        </w:tc>
      </w:tr>
      <w:tr w14:paraId="617FC3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03061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5060 </w:t>
            </w:r>
          </w:p>
        </w:tc>
        <w:tc>
          <w:tcPr>
            <w:tcW w:w="1443" w:type="dxa"/>
            <w:tcBorders>
              <w:tl2br w:val="nil"/>
              <w:tr2bl w:val="nil"/>
            </w:tcBorders>
            <w:shd w:val="clear" w:color="auto" w:fill="auto"/>
            <w:vAlign w:val="center"/>
          </w:tcPr>
          <w:p w14:paraId="03E012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53.4820 </w:t>
            </w:r>
          </w:p>
        </w:tc>
        <w:tc>
          <w:tcPr>
            <w:tcW w:w="1394" w:type="dxa"/>
            <w:tcBorders>
              <w:tl2br w:val="nil"/>
              <w:tr2bl w:val="nil"/>
            </w:tcBorders>
            <w:shd w:val="clear" w:color="auto" w:fill="auto"/>
            <w:vAlign w:val="center"/>
          </w:tcPr>
          <w:p w14:paraId="5F924B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49.9810 </w:t>
            </w:r>
          </w:p>
        </w:tc>
        <w:tc>
          <w:tcPr>
            <w:tcW w:w="1079" w:type="dxa"/>
            <w:tcBorders>
              <w:tl2br w:val="nil"/>
              <w:tr2bl w:val="nil"/>
            </w:tcBorders>
            <w:shd w:val="clear" w:color="auto" w:fill="auto"/>
            <w:vAlign w:val="center"/>
          </w:tcPr>
          <w:p w14:paraId="19BB69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5EEDF55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53.4820 </w:t>
            </w:r>
          </w:p>
        </w:tc>
        <w:tc>
          <w:tcPr>
            <w:tcW w:w="1353" w:type="dxa"/>
            <w:tcBorders>
              <w:tl2br w:val="nil"/>
              <w:tr2bl w:val="nil"/>
            </w:tcBorders>
            <w:shd w:val="clear" w:color="auto" w:fill="auto"/>
            <w:vAlign w:val="center"/>
          </w:tcPr>
          <w:p w14:paraId="1BD5D6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49.9810 </w:t>
            </w:r>
          </w:p>
        </w:tc>
      </w:tr>
      <w:tr w14:paraId="654FD7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304354E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5070 </w:t>
            </w:r>
          </w:p>
        </w:tc>
        <w:tc>
          <w:tcPr>
            <w:tcW w:w="1443" w:type="dxa"/>
            <w:tcBorders>
              <w:tl2br w:val="nil"/>
              <w:tr2bl w:val="nil"/>
            </w:tcBorders>
            <w:shd w:val="clear" w:color="auto" w:fill="auto"/>
            <w:vAlign w:val="center"/>
          </w:tcPr>
          <w:p w14:paraId="065177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53.5650 </w:t>
            </w:r>
          </w:p>
        </w:tc>
        <w:tc>
          <w:tcPr>
            <w:tcW w:w="1394" w:type="dxa"/>
            <w:tcBorders>
              <w:tl2br w:val="nil"/>
              <w:tr2bl w:val="nil"/>
            </w:tcBorders>
            <w:shd w:val="clear" w:color="auto" w:fill="auto"/>
            <w:vAlign w:val="center"/>
          </w:tcPr>
          <w:p w14:paraId="5E836B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49.8010 </w:t>
            </w:r>
          </w:p>
        </w:tc>
        <w:tc>
          <w:tcPr>
            <w:tcW w:w="1079" w:type="dxa"/>
            <w:tcBorders>
              <w:tl2br w:val="nil"/>
              <w:tr2bl w:val="nil"/>
            </w:tcBorders>
            <w:shd w:val="clear" w:color="auto" w:fill="auto"/>
            <w:vAlign w:val="center"/>
          </w:tcPr>
          <w:p w14:paraId="4FC05BE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9E5CD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53.5650 </w:t>
            </w:r>
          </w:p>
        </w:tc>
        <w:tc>
          <w:tcPr>
            <w:tcW w:w="1353" w:type="dxa"/>
            <w:tcBorders>
              <w:tl2br w:val="nil"/>
              <w:tr2bl w:val="nil"/>
            </w:tcBorders>
            <w:shd w:val="clear" w:color="auto" w:fill="auto"/>
            <w:vAlign w:val="center"/>
          </w:tcPr>
          <w:p w14:paraId="7C4AAB4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49.8010 </w:t>
            </w:r>
          </w:p>
        </w:tc>
      </w:tr>
      <w:tr w14:paraId="57A975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5484A0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5080 </w:t>
            </w:r>
          </w:p>
        </w:tc>
        <w:tc>
          <w:tcPr>
            <w:tcW w:w="1443" w:type="dxa"/>
            <w:tcBorders>
              <w:tl2br w:val="nil"/>
              <w:tr2bl w:val="nil"/>
            </w:tcBorders>
            <w:shd w:val="clear" w:color="auto" w:fill="auto"/>
            <w:vAlign w:val="center"/>
          </w:tcPr>
          <w:p w14:paraId="6AEF72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53.6470 </w:t>
            </w:r>
          </w:p>
        </w:tc>
        <w:tc>
          <w:tcPr>
            <w:tcW w:w="1394" w:type="dxa"/>
            <w:tcBorders>
              <w:tl2br w:val="nil"/>
              <w:tr2bl w:val="nil"/>
            </w:tcBorders>
            <w:shd w:val="clear" w:color="auto" w:fill="auto"/>
            <w:vAlign w:val="center"/>
          </w:tcPr>
          <w:p w14:paraId="071BD8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49.6220 </w:t>
            </w:r>
          </w:p>
        </w:tc>
        <w:tc>
          <w:tcPr>
            <w:tcW w:w="1079" w:type="dxa"/>
            <w:tcBorders>
              <w:tl2br w:val="nil"/>
              <w:tr2bl w:val="nil"/>
            </w:tcBorders>
            <w:shd w:val="clear" w:color="auto" w:fill="auto"/>
            <w:vAlign w:val="center"/>
          </w:tcPr>
          <w:p w14:paraId="7A8586E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3883DB4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53.6470 </w:t>
            </w:r>
          </w:p>
        </w:tc>
        <w:tc>
          <w:tcPr>
            <w:tcW w:w="1353" w:type="dxa"/>
            <w:tcBorders>
              <w:tl2br w:val="nil"/>
              <w:tr2bl w:val="nil"/>
            </w:tcBorders>
            <w:shd w:val="clear" w:color="auto" w:fill="auto"/>
            <w:vAlign w:val="center"/>
          </w:tcPr>
          <w:p w14:paraId="47CABF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49.6220 </w:t>
            </w:r>
          </w:p>
        </w:tc>
      </w:tr>
      <w:tr w14:paraId="63EB13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0A1BB0F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5090 </w:t>
            </w:r>
          </w:p>
        </w:tc>
        <w:tc>
          <w:tcPr>
            <w:tcW w:w="1443" w:type="dxa"/>
            <w:tcBorders>
              <w:tl2br w:val="nil"/>
              <w:tr2bl w:val="nil"/>
            </w:tcBorders>
            <w:shd w:val="clear" w:color="auto" w:fill="auto"/>
            <w:vAlign w:val="center"/>
          </w:tcPr>
          <w:p w14:paraId="53085E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53.7300 </w:t>
            </w:r>
          </w:p>
        </w:tc>
        <w:tc>
          <w:tcPr>
            <w:tcW w:w="1394" w:type="dxa"/>
            <w:tcBorders>
              <w:tl2br w:val="nil"/>
              <w:tr2bl w:val="nil"/>
            </w:tcBorders>
            <w:shd w:val="clear" w:color="auto" w:fill="auto"/>
            <w:vAlign w:val="center"/>
          </w:tcPr>
          <w:p w14:paraId="4D8C81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49.4440 </w:t>
            </w:r>
          </w:p>
        </w:tc>
        <w:tc>
          <w:tcPr>
            <w:tcW w:w="1079" w:type="dxa"/>
            <w:tcBorders>
              <w:tl2br w:val="nil"/>
              <w:tr2bl w:val="nil"/>
            </w:tcBorders>
            <w:shd w:val="clear" w:color="auto" w:fill="auto"/>
            <w:vAlign w:val="center"/>
          </w:tcPr>
          <w:p w14:paraId="532B6F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7994A0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53.7300 </w:t>
            </w:r>
          </w:p>
        </w:tc>
        <w:tc>
          <w:tcPr>
            <w:tcW w:w="1353" w:type="dxa"/>
            <w:tcBorders>
              <w:tl2br w:val="nil"/>
              <w:tr2bl w:val="nil"/>
            </w:tcBorders>
            <w:shd w:val="clear" w:color="auto" w:fill="auto"/>
            <w:vAlign w:val="center"/>
          </w:tcPr>
          <w:p w14:paraId="175EA7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49.4440 </w:t>
            </w:r>
          </w:p>
        </w:tc>
      </w:tr>
      <w:tr w14:paraId="078DB2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751" w:type="dxa"/>
            <w:tcBorders>
              <w:tl2br w:val="nil"/>
              <w:tr2bl w:val="nil"/>
            </w:tcBorders>
            <w:shd w:val="clear" w:color="auto" w:fill="auto"/>
            <w:vAlign w:val="center"/>
          </w:tcPr>
          <w:p w14:paraId="2445419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5100 </w:t>
            </w:r>
          </w:p>
        </w:tc>
        <w:tc>
          <w:tcPr>
            <w:tcW w:w="1443" w:type="dxa"/>
            <w:tcBorders>
              <w:tl2br w:val="nil"/>
              <w:tr2bl w:val="nil"/>
            </w:tcBorders>
            <w:shd w:val="clear" w:color="auto" w:fill="auto"/>
            <w:vAlign w:val="center"/>
          </w:tcPr>
          <w:p w14:paraId="1D83B5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53.8120 </w:t>
            </w:r>
          </w:p>
        </w:tc>
        <w:tc>
          <w:tcPr>
            <w:tcW w:w="1394" w:type="dxa"/>
            <w:tcBorders>
              <w:tl2br w:val="nil"/>
              <w:tr2bl w:val="nil"/>
            </w:tcBorders>
            <w:shd w:val="clear" w:color="auto" w:fill="auto"/>
            <w:vAlign w:val="center"/>
          </w:tcPr>
          <w:p w14:paraId="4406BB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49.2680 </w:t>
            </w:r>
          </w:p>
        </w:tc>
        <w:tc>
          <w:tcPr>
            <w:tcW w:w="1079" w:type="dxa"/>
            <w:tcBorders>
              <w:tl2br w:val="nil"/>
              <w:tr2bl w:val="nil"/>
            </w:tcBorders>
            <w:shd w:val="clear" w:color="auto" w:fill="auto"/>
            <w:vAlign w:val="center"/>
          </w:tcPr>
          <w:p w14:paraId="5DC4C79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0 </w:t>
            </w:r>
          </w:p>
        </w:tc>
        <w:tc>
          <w:tcPr>
            <w:tcW w:w="1198" w:type="dxa"/>
            <w:tcBorders>
              <w:tl2br w:val="nil"/>
              <w:tr2bl w:val="nil"/>
            </w:tcBorders>
            <w:shd w:val="clear" w:color="auto" w:fill="auto"/>
            <w:vAlign w:val="center"/>
          </w:tcPr>
          <w:p w14:paraId="62BB80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53.8120 </w:t>
            </w:r>
          </w:p>
        </w:tc>
        <w:tc>
          <w:tcPr>
            <w:tcW w:w="1353" w:type="dxa"/>
            <w:tcBorders>
              <w:tl2br w:val="nil"/>
              <w:tr2bl w:val="nil"/>
            </w:tcBorders>
            <w:shd w:val="clear" w:color="auto" w:fill="auto"/>
            <w:vAlign w:val="center"/>
          </w:tcPr>
          <w:p w14:paraId="6C0F72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 xml:space="preserve">49.2680 </w:t>
            </w:r>
          </w:p>
        </w:tc>
      </w:tr>
    </w:tbl>
    <w:p w14:paraId="4D6E395D">
      <w:pPr>
        <w:pStyle w:val="15"/>
        <w:bidi w:val="0"/>
        <w:rPr>
          <w:rFonts w:hint="eastAsia"/>
        </w:rPr>
      </w:pPr>
    </w:p>
    <w:p w14:paraId="6C31CC92">
      <w:pPr>
        <w:pStyle w:val="15"/>
        <w:bidi w:val="0"/>
        <w:rPr>
          <w:rFonts w:hint="eastAsia"/>
        </w:rPr>
      </w:pPr>
    </w:p>
    <w:p w14:paraId="7D0013C8">
      <w:pPr>
        <w:pStyle w:val="15"/>
        <w:bidi w:val="0"/>
        <w:rPr>
          <w:rFonts w:hint="eastAsia"/>
        </w:rPr>
      </w:pPr>
    </w:p>
    <w:p w14:paraId="6C8A4E21">
      <w:pPr>
        <w:pStyle w:val="15"/>
        <w:bidi w:val="0"/>
        <w:rPr>
          <w:rFonts w:hint="eastAsia"/>
        </w:rPr>
      </w:pPr>
    </w:p>
    <w:p w14:paraId="05300B11">
      <w:pPr>
        <w:pStyle w:val="15"/>
        <w:bidi w:val="0"/>
        <w:rPr>
          <w:rFonts w:hint="eastAsia"/>
        </w:rPr>
      </w:pPr>
    </w:p>
    <w:p w14:paraId="64EEF50B">
      <w:pPr>
        <w:pStyle w:val="15"/>
        <w:bidi w:val="0"/>
        <w:rPr>
          <w:rFonts w:hint="eastAsia"/>
        </w:rPr>
      </w:pPr>
      <w:r>
        <w:rPr>
          <w:rFonts w:hint="eastAsia"/>
        </w:rPr>
        <w:t>表6-6 氨对周边</w:t>
      </w:r>
      <w:r>
        <w:rPr>
          <w:rFonts w:hint="eastAsia"/>
          <w:lang w:eastAsia="zh-CN"/>
        </w:rPr>
        <w:t>最近</w:t>
      </w:r>
      <w:r>
        <w:rPr>
          <w:rFonts w:hint="eastAsia"/>
        </w:rPr>
        <w:t>敏感点的环境影响预测结果 单位：mg/m</w:t>
      </w:r>
      <w:r>
        <w:rPr>
          <w:rFonts w:hint="eastAsia"/>
          <w:vertAlign w:val="superscript"/>
        </w:rPr>
        <w:t>3</w:t>
      </w:r>
    </w:p>
    <w:tbl>
      <w:tblPr>
        <w:tblStyle w:val="12"/>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48"/>
        <w:gridCol w:w="882"/>
        <w:gridCol w:w="684"/>
        <w:gridCol w:w="645"/>
        <w:gridCol w:w="757"/>
        <w:gridCol w:w="1323"/>
        <w:gridCol w:w="644"/>
        <w:gridCol w:w="711"/>
        <w:gridCol w:w="671"/>
        <w:gridCol w:w="684"/>
        <w:gridCol w:w="697"/>
        <w:gridCol w:w="1098"/>
      </w:tblGrid>
      <w:tr w14:paraId="4648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48" w:type="dxa"/>
            <w:vAlign w:val="center"/>
          </w:tcPr>
          <w:p w14:paraId="359EBF37">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序号</w:t>
            </w:r>
          </w:p>
        </w:tc>
        <w:tc>
          <w:tcPr>
            <w:tcW w:w="882" w:type="dxa"/>
            <w:vAlign w:val="center"/>
          </w:tcPr>
          <w:p w14:paraId="4B925F7D">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名称</w:t>
            </w:r>
          </w:p>
        </w:tc>
        <w:tc>
          <w:tcPr>
            <w:tcW w:w="684" w:type="dxa"/>
            <w:vAlign w:val="center"/>
          </w:tcPr>
          <w:p w14:paraId="5AA0760A">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X</w:t>
            </w:r>
          </w:p>
        </w:tc>
        <w:tc>
          <w:tcPr>
            <w:tcW w:w="645" w:type="dxa"/>
            <w:vAlign w:val="center"/>
          </w:tcPr>
          <w:p w14:paraId="24DD39A6">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Y</w:t>
            </w:r>
          </w:p>
        </w:tc>
        <w:tc>
          <w:tcPr>
            <w:tcW w:w="757" w:type="dxa"/>
            <w:vAlign w:val="center"/>
          </w:tcPr>
          <w:p w14:paraId="12B06F14">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离地高度</w:t>
            </w:r>
          </w:p>
        </w:tc>
        <w:tc>
          <w:tcPr>
            <w:tcW w:w="1323" w:type="dxa"/>
            <w:vAlign w:val="center"/>
          </w:tcPr>
          <w:p w14:paraId="4EAF1092">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最大浓度|时间(min)</w:t>
            </w:r>
          </w:p>
        </w:tc>
        <w:tc>
          <w:tcPr>
            <w:tcW w:w="644" w:type="dxa"/>
            <w:vAlign w:val="center"/>
          </w:tcPr>
          <w:p w14:paraId="2ABDD611">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5min</w:t>
            </w:r>
          </w:p>
        </w:tc>
        <w:tc>
          <w:tcPr>
            <w:tcW w:w="711" w:type="dxa"/>
            <w:vAlign w:val="center"/>
          </w:tcPr>
          <w:p w14:paraId="4625DD59">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10min</w:t>
            </w:r>
          </w:p>
        </w:tc>
        <w:tc>
          <w:tcPr>
            <w:tcW w:w="671" w:type="dxa"/>
            <w:vAlign w:val="center"/>
          </w:tcPr>
          <w:p w14:paraId="63DC240E">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15min</w:t>
            </w:r>
          </w:p>
        </w:tc>
        <w:tc>
          <w:tcPr>
            <w:tcW w:w="684" w:type="dxa"/>
            <w:vAlign w:val="center"/>
          </w:tcPr>
          <w:p w14:paraId="079F26D0">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20min</w:t>
            </w:r>
          </w:p>
        </w:tc>
        <w:tc>
          <w:tcPr>
            <w:tcW w:w="697" w:type="dxa"/>
            <w:vAlign w:val="center"/>
          </w:tcPr>
          <w:p w14:paraId="74F6DCE4">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25min</w:t>
            </w:r>
          </w:p>
        </w:tc>
        <w:tc>
          <w:tcPr>
            <w:tcW w:w="1098" w:type="dxa"/>
            <w:vAlign w:val="center"/>
          </w:tcPr>
          <w:p w14:paraId="08A8F88C">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30min</w:t>
            </w:r>
          </w:p>
        </w:tc>
      </w:tr>
      <w:tr w14:paraId="3C88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7" w:hRule="atLeast"/>
          <w:jc w:val="center"/>
        </w:trPr>
        <w:tc>
          <w:tcPr>
            <w:tcW w:w="548" w:type="dxa"/>
            <w:vAlign w:val="center"/>
          </w:tcPr>
          <w:p w14:paraId="2006F1A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882" w:type="dxa"/>
            <w:vAlign w:val="center"/>
          </w:tcPr>
          <w:p w14:paraId="0C32A1A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道城洞</w:t>
            </w:r>
          </w:p>
        </w:tc>
        <w:tc>
          <w:tcPr>
            <w:tcW w:w="684" w:type="dxa"/>
            <w:vAlign w:val="center"/>
          </w:tcPr>
          <w:p w14:paraId="36812C6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w:t>
            </w:r>
          </w:p>
        </w:tc>
        <w:tc>
          <w:tcPr>
            <w:tcW w:w="645" w:type="dxa"/>
            <w:vAlign w:val="center"/>
          </w:tcPr>
          <w:p w14:paraId="62D1A87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474</w:t>
            </w:r>
          </w:p>
        </w:tc>
        <w:tc>
          <w:tcPr>
            <w:tcW w:w="757" w:type="dxa"/>
            <w:vAlign w:val="center"/>
          </w:tcPr>
          <w:p w14:paraId="303AA04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07F8393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644" w:type="dxa"/>
            <w:vAlign w:val="center"/>
          </w:tcPr>
          <w:p w14:paraId="214757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57E003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71" w:type="dxa"/>
            <w:vAlign w:val="center"/>
          </w:tcPr>
          <w:p w14:paraId="2CCF2D4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6EE42DE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6B33FD3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98" w:type="dxa"/>
            <w:vAlign w:val="center"/>
          </w:tcPr>
          <w:p w14:paraId="625E55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14:paraId="2937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7" w:hRule="atLeast"/>
          <w:jc w:val="center"/>
        </w:trPr>
        <w:tc>
          <w:tcPr>
            <w:tcW w:w="548" w:type="dxa"/>
            <w:vAlign w:val="center"/>
          </w:tcPr>
          <w:p w14:paraId="7F72B372">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882" w:type="dxa"/>
            <w:vAlign w:val="center"/>
          </w:tcPr>
          <w:p w14:paraId="028C343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石仔墩</w:t>
            </w:r>
          </w:p>
        </w:tc>
        <w:tc>
          <w:tcPr>
            <w:tcW w:w="684" w:type="dxa"/>
            <w:vAlign w:val="center"/>
          </w:tcPr>
          <w:p w14:paraId="3D5C8A6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1283</w:t>
            </w:r>
          </w:p>
        </w:tc>
        <w:tc>
          <w:tcPr>
            <w:tcW w:w="645" w:type="dxa"/>
            <w:vAlign w:val="center"/>
          </w:tcPr>
          <w:p w14:paraId="7839E49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w:t>
            </w:r>
          </w:p>
        </w:tc>
        <w:tc>
          <w:tcPr>
            <w:tcW w:w="757" w:type="dxa"/>
            <w:vAlign w:val="center"/>
          </w:tcPr>
          <w:p w14:paraId="308E75C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2C40A06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644" w:type="dxa"/>
            <w:vAlign w:val="center"/>
          </w:tcPr>
          <w:p w14:paraId="615F91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0F02D4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71" w:type="dxa"/>
            <w:vAlign w:val="center"/>
          </w:tcPr>
          <w:p w14:paraId="13D2294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7DE06A3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7270DF3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98" w:type="dxa"/>
            <w:vAlign w:val="center"/>
          </w:tcPr>
          <w:p w14:paraId="172A9D7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14:paraId="5C61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7" w:hRule="atLeast"/>
          <w:jc w:val="center"/>
        </w:trPr>
        <w:tc>
          <w:tcPr>
            <w:tcW w:w="548" w:type="dxa"/>
            <w:vAlign w:val="center"/>
          </w:tcPr>
          <w:p w14:paraId="41073AA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882" w:type="dxa"/>
            <w:vAlign w:val="center"/>
          </w:tcPr>
          <w:p w14:paraId="7AE096F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冬城村</w:t>
            </w:r>
          </w:p>
        </w:tc>
        <w:tc>
          <w:tcPr>
            <w:tcW w:w="684" w:type="dxa"/>
            <w:vAlign w:val="center"/>
          </w:tcPr>
          <w:p w14:paraId="372DB62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-1900</w:t>
            </w:r>
          </w:p>
        </w:tc>
        <w:tc>
          <w:tcPr>
            <w:tcW w:w="645" w:type="dxa"/>
            <w:vAlign w:val="center"/>
          </w:tcPr>
          <w:p w14:paraId="1267E14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w:t>
            </w:r>
          </w:p>
        </w:tc>
        <w:tc>
          <w:tcPr>
            <w:tcW w:w="757" w:type="dxa"/>
            <w:vAlign w:val="center"/>
          </w:tcPr>
          <w:p w14:paraId="01B3128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652F674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644" w:type="dxa"/>
            <w:vAlign w:val="center"/>
          </w:tcPr>
          <w:p w14:paraId="6717D24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769CE73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71" w:type="dxa"/>
            <w:vAlign w:val="center"/>
          </w:tcPr>
          <w:p w14:paraId="1BDEECB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1AFA569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35D1157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98" w:type="dxa"/>
            <w:vAlign w:val="center"/>
          </w:tcPr>
          <w:p w14:paraId="39EB40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14:paraId="0A41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9" w:hRule="atLeast"/>
          <w:jc w:val="center"/>
        </w:trPr>
        <w:tc>
          <w:tcPr>
            <w:tcW w:w="548" w:type="dxa"/>
            <w:vAlign w:val="center"/>
          </w:tcPr>
          <w:p w14:paraId="4D766F7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882" w:type="dxa"/>
            <w:vAlign w:val="center"/>
          </w:tcPr>
          <w:p w14:paraId="1CE390C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林屋</w:t>
            </w:r>
          </w:p>
        </w:tc>
        <w:tc>
          <w:tcPr>
            <w:tcW w:w="684" w:type="dxa"/>
            <w:vAlign w:val="center"/>
          </w:tcPr>
          <w:p w14:paraId="43E70CE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-1332</w:t>
            </w:r>
          </w:p>
        </w:tc>
        <w:tc>
          <w:tcPr>
            <w:tcW w:w="645" w:type="dxa"/>
            <w:vAlign w:val="center"/>
          </w:tcPr>
          <w:p w14:paraId="15B0A61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-1381</w:t>
            </w:r>
          </w:p>
        </w:tc>
        <w:tc>
          <w:tcPr>
            <w:tcW w:w="757" w:type="dxa"/>
            <w:vAlign w:val="center"/>
          </w:tcPr>
          <w:p w14:paraId="3EF6B07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09AE9C7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4.81×10</w:t>
            </w:r>
            <w:r>
              <w:rPr>
                <w:rFonts w:hint="eastAsia" w:ascii="Times New Roman" w:hAnsi="Times New Roman" w:eastAsia="宋体" w:cs="Times New Roman"/>
                <w:kern w:val="2"/>
                <w:sz w:val="21"/>
                <w:szCs w:val="24"/>
                <w:vertAlign w:val="superscript"/>
                <w:lang w:val="en-US" w:eastAsia="zh-CN" w:bidi="ar-SA"/>
              </w:rPr>
              <w:t>-15</w:t>
            </w:r>
            <w:r>
              <w:rPr>
                <w:rFonts w:hint="eastAsia" w:ascii="Times New Roman" w:hAnsi="Times New Roman" w:eastAsia="宋体" w:cs="Times New Roman"/>
                <w:kern w:val="2"/>
                <w:sz w:val="21"/>
                <w:szCs w:val="24"/>
                <w:lang w:val="en-US" w:eastAsia="zh-CN" w:bidi="ar-SA"/>
              </w:rPr>
              <w:t>|30</w:t>
            </w:r>
          </w:p>
        </w:tc>
        <w:tc>
          <w:tcPr>
            <w:tcW w:w="644" w:type="dxa"/>
            <w:vAlign w:val="center"/>
          </w:tcPr>
          <w:p w14:paraId="0A8C4D9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7CD502A9">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71" w:type="dxa"/>
            <w:vAlign w:val="center"/>
          </w:tcPr>
          <w:p w14:paraId="478DF0C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7AF7D7E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17E26A5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98" w:type="dxa"/>
            <w:vAlign w:val="center"/>
          </w:tcPr>
          <w:p w14:paraId="4E280FC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4.81×10</w:t>
            </w:r>
            <w:r>
              <w:rPr>
                <w:rFonts w:hint="eastAsia" w:ascii="Times New Roman" w:hAnsi="Times New Roman" w:eastAsia="宋体" w:cs="Times New Roman"/>
                <w:kern w:val="2"/>
                <w:sz w:val="21"/>
                <w:szCs w:val="24"/>
                <w:vertAlign w:val="superscript"/>
                <w:lang w:val="en-US" w:eastAsia="zh-CN" w:bidi="ar-SA"/>
              </w:rPr>
              <w:t>-15</w:t>
            </w:r>
          </w:p>
        </w:tc>
      </w:tr>
    </w:tbl>
    <w:p w14:paraId="2E014F2C">
      <w:pPr>
        <w:autoSpaceDE w:val="0"/>
        <w:autoSpaceDN w:val="0"/>
        <w:adjustRightInd w:val="0"/>
        <w:snapToGrid w:val="0"/>
        <w:spacing w:line="240" w:lineRule="auto"/>
        <w:jc w:val="both"/>
        <w:textAlignment w:val="baseline"/>
        <w:rPr>
          <w:b/>
          <w:color w:val="000000"/>
          <w:kern w:val="24"/>
          <w:szCs w:val="20"/>
        </w:rPr>
      </w:pPr>
    </w:p>
    <w:p w14:paraId="38774DBA">
      <w:pPr>
        <w:pStyle w:val="14"/>
        <w:bidi w:val="0"/>
        <w:rPr>
          <w:rFonts w:hint="eastAsia"/>
          <w:lang w:val="en-US" w:eastAsia="zh-CN"/>
        </w:rPr>
      </w:pPr>
      <w:r>
        <w:drawing>
          <wp:inline distT="0" distB="0" distL="114300" distR="114300">
            <wp:extent cx="5260975" cy="2639695"/>
            <wp:effectExtent l="0" t="0" r="15875" b="8255"/>
            <wp:docPr id="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
                    <pic:cNvPicPr>
                      <a:picLocks noChangeAspect="1"/>
                    </pic:cNvPicPr>
                  </pic:nvPicPr>
                  <pic:blipFill>
                    <a:blip r:embed="rId58"/>
                    <a:stretch>
                      <a:fillRect/>
                    </a:stretch>
                  </pic:blipFill>
                  <pic:spPr>
                    <a:xfrm>
                      <a:off x="0" y="0"/>
                      <a:ext cx="5260975" cy="2639695"/>
                    </a:xfrm>
                    <a:prstGeom prst="rect">
                      <a:avLst/>
                    </a:prstGeom>
                    <a:noFill/>
                    <a:ln>
                      <a:noFill/>
                    </a:ln>
                  </pic:spPr>
                </pic:pic>
              </a:graphicData>
            </a:graphic>
          </wp:inline>
        </w:drawing>
      </w:r>
    </w:p>
    <w:p w14:paraId="15150B1F">
      <w:pPr>
        <w:pStyle w:val="16"/>
        <w:bidi w:val="0"/>
        <w:rPr>
          <w:rFonts w:hint="eastAsia"/>
          <w:lang w:val="en-US" w:eastAsia="zh-CN"/>
        </w:rPr>
      </w:pPr>
      <w:r>
        <w:rPr>
          <w:rFonts w:hint="eastAsia"/>
          <w:lang w:val="en-US" w:eastAsia="zh-CN"/>
        </w:rPr>
        <w:t>图6-3 氨轴线/质心最大浓度-距离曲线</w:t>
      </w:r>
    </w:p>
    <w:p w14:paraId="51B34F0D">
      <w:pPr>
        <w:pStyle w:val="15"/>
        <w:bidi w:val="0"/>
        <w:rPr>
          <w:rFonts w:hint="eastAsia"/>
          <w:lang w:val="en-US" w:eastAsia="zh-CN"/>
        </w:rPr>
      </w:pPr>
      <w:r>
        <w:rPr>
          <w:rFonts w:hint="eastAsia"/>
          <w:lang w:val="en-US" w:eastAsia="zh-CN"/>
        </w:rPr>
        <w:t xml:space="preserve">表6-7 氨各阈值的廓线一览表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157"/>
        <w:gridCol w:w="1157"/>
        <w:gridCol w:w="1375"/>
        <w:gridCol w:w="2000"/>
      </w:tblGrid>
      <w:tr w14:paraId="2EE2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Borders>
              <w:top w:val="single" w:color="auto" w:sz="12" w:space="0"/>
              <w:left w:val="single" w:color="auto" w:sz="12" w:space="0"/>
            </w:tcBorders>
            <w:vAlign w:val="center"/>
          </w:tcPr>
          <w:p w14:paraId="0AEAFB5B">
            <w:pPr>
              <w:pStyle w:val="14"/>
              <w:bidi w:val="0"/>
              <w:jc w:val="center"/>
              <w:rPr>
                <w:b/>
                <w:bCs/>
              </w:rPr>
            </w:pPr>
            <w:r>
              <w:rPr>
                <w:rFonts w:hint="eastAsia"/>
                <w:b/>
                <w:bCs/>
                <w:lang w:val="en-US" w:eastAsia="zh-CN"/>
              </w:rPr>
              <w:t>阈值(mg/m</w:t>
            </w:r>
            <w:r>
              <w:rPr>
                <w:rFonts w:hint="eastAsia"/>
                <w:b/>
                <w:bCs/>
                <w:vertAlign w:val="superscript"/>
                <w:lang w:val="en-US" w:eastAsia="zh-CN"/>
              </w:rPr>
              <w:t>3</w:t>
            </w:r>
            <w:r>
              <w:rPr>
                <w:rFonts w:hint="eastAsia"/>
                <w:b/>
                <w:bCs/>
                <w:lang w:val="en-US" w:eastAsia="zh-CN"/>
              </w:rPr>
              <w:t>)</w:t>
            </w:r>
          </w:p>
        </w:tc>
        <w:tc>
          <w:tcPr>
            <w:tcW w:w="0" w:type="auto"/>
            <w:tcBorders>
              <w:top w:val="single" w:color="auto" w:sz="12" w:space="0"/>
            </w:tcBorders>
            <w:vAlign w:val="center"/>
          </w:tcPr>
          <w:p w14:paraId="29CB65A2">
            <w:pPr>
              <w:pStyle w:val="14"/>
              <w:bidi w:val="0"/>
              <w:jc w:val="center"/>
              <w:rPr>
                <w:b/>
                <w:bCs/>
              </w:rPr>
            </w:pPr>
            <w:r>
              <w:rPr>
                <w:rFonts w:hint="eastAsia"/>
                <w:b/>
                <w:bCs/>
                <w:lang w:val="en-US" w:eastAsia="zh-CN"/>
              </w:rPr>
              <w:t>X起点(m)</w:t>
            </w:r>
          </w:p>
        </w:tc>
        <w:tc>
          <w:tcPr>
            <w:tcW w:w="0" w:type="auto"/>
            <w:tcBorders>
              <w:top w:val="single" w:color="auto" w:sz="12" w:space="0"/>
            </w:tcBorders>
            <w:vAlign w:val="center"/>
          </w:tcPr>
          <w:p w14:paraId="4AC93AE5">
            <w:pPr>
              <w:pStyle w:val="14"/>
              <w:bidi w:val="0"/>
              <w:jc w:val="center"/>
              <w:rPr>
                <w:b/>
                <w:bCs/>
              </w:rPr>
            </w:pPr>
            <w:r>
              <w:rPr>
                <w:rFonts w:hint="eastAsia"/>
                <w:b/>
                <w:bCs/>
                <w:lang w:val="en-US" w:eastAsia="zh-CN"/>
              </w:rPr>
              <w:t>X终点(m)</w:t>
            </w:r>
          </w:p>
        </w:tc>
        <w:tc>
          <w:tcPr>
            <w:tcW w:w="0" w:type="auto"/>
            <w:tcBorders>
              <w:top w:val="single" w:color="auto" w:sz="12" w:space="0"/>
            </w:tcBorders>
            <w:vAlign w:val="center"/>
          </w:tcPr>
          <w:p w14:paraId="7487A165">
            <w:pPr>
              <w:pStyle w:val="14"/>
              <w:bidi w:val="0"/>
              <w:jc w:val="center"/>
              <w:rPr>
                <w:b/>
                <w:bCs/>
              </w:rPr>
            </w:pPr>
            <w:r>
              <w:rPr>
                <w:rFonts w:hint="eastAsia"/>
                <w:b/>
                <w:bCs/>
                <w:lang w:val="en-US" w:eastAsia="zh-CN"/>
              </w:rPr>
              <w:t>最大半宽(m)</w:t>
            </w:r>
          </w:p>
        </w:tc>
        <w:tc>
          <w:tcPr>
            <w:tcW w:w="0" w:type="auto"/>
            <w:tcBorders>
              <w:top w:val="single" w:color="auto" w:sz="12" w:space="0"/>
              <w:right w:val="single" w:color="auto" w:sz="12" w:space="0"/>
            </w:tcBorders>
            <w:vAlign w:val="center"/>
          </w:tcPr>
          <w:p w14:paraId="6843B92B">
            <w:pPr>
              <w:pStyle w:val="14"/>
              <w:bidi w:val="0"/>
              <w:jc w:val="center"/>
              <w:rPr>
                <w:b/>
                <w:bCs/>
              </w:rPr>
            </w:pPr>
            <w:r>
              <w:rPr>
                <w:rFonts w:hint="eastAsia"/>
                <w:b/>
                <w:bCs/>
                <w:lang w:val="en-US" w:eastAsia="zh-CN"/>
              </w:rPr>
              <w:t>最大半宽对应X(m)</w:t>
            </w:r>
          </w:p>
        </w:tc>
      </w:tr>
      <w:tr w14:paraId="2789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14:paraId="19EEAAB8">
            <w:pPr>
              <w:pStyle w:val="14"/>
              <w:bidi w:val="0"/>
              <w:jc w:val="center"/>
              <w:rPr>
                <w:rFonts w:hint="default"/>
                <w:lang w:val="en-US"/>
              </w:rPr>
            </w:pPr>
            <w:r>
              <w:rPr>
                <w:rFonts w:hint="eastAsia"/>
                <w:lang w:val="en-US" w:eastAsia="zh-CN"/>
              </w:rPr>
              <w:t>110</w:t>
            </w:r>
          </w:p>
        </w:tc>
        <w:tc>
          <w:tcPr>
            <w:tcW w:w="0" w:type="auto"/>
            <w:vAlign w:val="center"/>
          </w:tcPr>
          <w:p w14:paraId="0001978C">
            <w:pPr>
              <w:pStyle w:val="14"/>
              <w:bidi w:val="0"/>
              <w:jc w:val="center"/>
            </w:pPr>
            <w:r>
              <w:rPr>
                <w:rFonts w:hint="eastAsia"/>
                <w:lang w:val="en-US" w:eastAsia="zh-CN"/>
              </w:rPr>
              <w:t>10</w:t>
            </w:r>
          </w:p>
        </w:tc>
        <w:tc>
          <w:tcPr>
            <w:tcW w:w="0" w:type="auto"/>
            <w:vAlign w:val="center"/>
          </w:tcPr>
          <w:p w14:paraId="21AED207">
            <w:pPr>
              <w:pStyle w:val="14"/>
              <w:bidi w:val="0"/>
              <w:jc w:val="center"/>
            </w:pPr>
            <w:r>
              <w:rPr>
                <w:rFonts w:hint="eastAsia"/>
                <w:lang w:val="en-US" w:eastAsia="zh-CN"/>
              </w:rPr>
              <w:t>3200</w:t>
            </w:r>
          </w:p>
        </w:tc>
        <w:tc>
          <w:tcPr>
            <w:tcW w:w="0" w:type="auto"/>
            <w:vAlign w:val="center"/>
          </w:tcPr>
          <w:p w14:paraId="455382A8">
            <w:pPr>
              <w:pStyle w:val="14"/>
              <w:bidi w:val="0"/>
              <w:jc w:val="center"/>
            </w:pPr>
            <w:r>
              <w:rPr>
                <w:rFonts w:hint="eastAsia"/>
                <w:lang w:val="en-US" w:eastAsia="zh-CN"/>
              </w:rPr>
              <w:t>268</w:t>
            </w:r>
          </w:p>
        </w:tc>
        <w:tc>
          <w:tcPr>
            <w:tcW w:w="0" w:type="auto"/>
            <w:tcBorders>
              <w:right w:val="single" w:color="auto" w:sz="12" w:space="0"/>
            </w:tcBorders>
            <w:vAlign w:val="center"/>
          </w:tcPr>
          <w:p w14:paraId="7DBD5B2C">
            <w:pPr>
              <w:pStyle w:val="14"/>
              <w:bidi w:val="0"/>
              <w:jc w:val="center"/>
            </w:pPr>
            <w:r>
              <w:rPr>
                <w:rFonts w:hint="eastAsia"/>
                <w:lang w:val="en-US" w:eastAsia="zh-CN"/>
              </w:rPr>
              <w:t>1060</w:t>
            </w:r>
          </w:p>
        </w:tc>
      </w:tr>
      <w:tr w14:paraId="34B4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bottom w:val="single" w:color="auto" w:sz="12" w:space="0"/>
            </w:tcBorders>
            <w:vAlign w:val="center"/>
          </w:tcPr>
          <w:p w14:paraId="014C9C5D">
            <w:pPr>
              <w:pStyle w:val="14"/>
              <w:bidi w:val="0"/>
              <w:jc w:val="center"/>
              <w:rPr>
                <w:rFonts w:hint="default"/>
                <w:lang w:val="en-US"/>
              </w:rPr>
            </w:pPr>
            <w:r>
              <w:rPr>
                <w:rFonts w:hint="eastAsia"/>
                <w:lang w:val="en-US" w:eastAsia="zh-CN"/>
              </w:rPr>
              <w:t>770</w:t>
            </w:r>
          </w:p>
        </w:tc>
        <w:tc>
          <w:tcPr>
            <w:tcW w:w="0" w:type="auto"/>
            <w:tcBorders>
              <w:bottom w:val="single" w:color="auto" w:sz="12" w:space="0"/>
            </w:tcBorders>
            <w:vAlign w:val="center"/>
          </w:tcPr>
          <w:p w14:paraId="0565957D">
            <w:pPr>
              <w:pStyle w:val="14"/>
              <w:bidi w:val="0"/>
              <w:jc w:val="center"/>
            </w:pPr>
            <w:r>
              <w:rPr>
                <w:rFonts w:hint="eastAsia"/>
                <w:lang w:val="en-US" w:eastAsia="zh-CN"/>
              </w:rPr>
              <w:t>10</w:t>
            </w:r>
          </w:p>
        </w:tc>
        <w:tc>
          <w:tcPr>
            <w:tcW w:w="0" w:type="auto"/>
            <w:tcBorders>
              <w:bottom w:val="single" w:color="auto" w:sz="12" w:space="0"/>
            </w:tcBorders>
            <w:vAlign w:val="center"/>
          </w:tcPr>
          <w:p w14:paraId="644AEE18">
            <w:pPr>
              <w:pStyle w:val="14"/>
              <w:bidi w:val="0"/>
              <w:jc w:val="center"/>
            </w:pPr>
            <w:r>
              <w:rPr>
                <w:rFonts w:hint="eastAsia"/>
                <w:lang w:val="en-US" w:eastAsia="zh-CN"/>
              </w:rPr>
              <w:t>740</w:t>
            </w:r>
          </w:p>
        </w:tc>
        <w:tc>
          <w:tcPr>
            <w:tcW w:w="0" w:type="auto"/>
            <w:tcBorders>
              <w:bottom w:val="single" w:color="auto" w:sz="12" w:space="0"/>
            </w:tcBorders>
            <w:vAlign w:val="center"/>
          </w:tcPr>
          <w:p w14:paraId="0147BF9C">
            <w:pPr>
              <w:pStyle w:val="14"/>
              <w:bidi w:val="0"/>
              <w:jc w:val="center"/>
            </w:pPr>
            <w:r>
              <w:rPr>
                <w:rFonts w:hint="eastAsia"/>
                <w:lang w:val="en-US" w:eastAsia="zh-CN"/>
              </w:rPr>
              <w:t>176</w:t>
            </w:r>
          </w:p>
        </w:tc>
        <w:tc>
          <w:tcPr>
            <w:tcW w:w="0" w:type="auto"/>
            <w:tcBorders>
              <w:bottom w:val="single" w:color="auto" w:sz="12" w:space="0"/>
              <w:right w:val="single" w:color="auto" w:sz="12" w:space="0"/>
            </w:tcBorders>
            <w:vAlign w:val="center"/>
          </w:tcPr>
          <w:p w14:paraId="11F3C0D7">
            <w:pPr>
              <w:pStyle w:val="14"/>
              <w:bidi w:val="0"/>
              <w:jc w:val="center"/>
            </w:pPr>
            <w:r>
              <w:rPr>
                <w:rFonts w:hint="eastAsia"/>
                <w:lang w:val="en-US" w:eastAsia="zh-CN"/>
              </w:rPr>
              <w:t>360</w:t>
            </w:r>
          </w:p>
        </w:tc>
      </w:tr>
    </w:tbl>
    <w:p w14:paraId="78EA137D">
      <w:pPr>
        <w:ind w:firstLine="480" w:firstLineChars="200"/>
        <w:rPr>
          <w:rFonts w:hint="eastAsia"/>
          <w:lang w:val="en-US" w:eastAsia="zh-CN"/>
        </w:rPr>
      </w:pPr>
    </w:p>
    <w:p w14:paraId="09EE639D">
      <w:pPr>
        <w:pStyle w:val="14"/>
        <w:bidi w:val="0"/>
        <w:rPr>
          <w:rFonts w:hint="eastAsia"/>
          <w:lang w:val="en-US" w:eastAsia="zh-CN"/>
        </w:rPr>
      </w:pPr>
      <w:r>
        <w:drawing>
          <wp:inline distT="0" distB="0" distL="114300" distR="114300">
            <wp:extent cx="5265420" cy="5031740"/>
            <wp:effectExtent l="0" t="0" r="11430" b="16510"/>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59"/>
                    <a:stretch>
                      <a:fillRect/>
                    </a:stretch>
                  </pic:blipFill>
                  <pic:spPr>
                    <a:xfrm>
                      <a:off x="0" y="0"/>
                      <a:ext cx="5265420" cy="5031740"/>
                    </a:xfrm>
                    <a:prstGeom prst="rect">
                      <a:avLst/>
                    </a:prstGeom>
                    <a:noFill/>
                    <a:ln>
                      <a:noFill/>
                    </a:ln>
                  </pic:spPr>
                </pic:pic>
              </a:graphicData>
            </a:graphic>
          </wp:inline>
        </w:drawing>
      </w:r>
    </w:p>
    <w:p w14:paraId="7CE5C0FC">
      <w:pPr>
        <w:pStyle w:val="16"/>
        <w:bidi w:val="0"/>
        <w:rPr>
          <w:rFonts w:hint="eastAsia"/>
          <w:lang w:val="en-US" w:eastAsia="zh-CN"/>
        </w:rPr>
      </w:pPr>
      <w:r>
        <w:rPr>
          <w:rFonts w:hint="eastAsia"/>
          <w:lang w:val="en-US" w:eastAsia="zh-CN"/>
        </w:rPr>
        <w:t>图6-4 氨影响范围图</w:t>
      </w:r>
    </w:p>
    <w:p w14:paraId="041DADB8">
      <w:pPr>
        <w:pStyle w:val="4"/>
        <w:bidi w:val="0"/>
        <w:rPr>
          <w:rFonts w:hint="eastAsia"/>
        </w:rPr>
      </w:pPr>
      <w:r>
        <w:rPr>
          <w:rFonts w:hint="eastAsia"/>
        </w:rPr>
        <w:t>6.1.</w:t>
      </w:r>
      <w:r>
        <w:rPr>
          <w:rFonts w:hint="eastAsia"/>
          <w:lang w:val="en-US" w:eastAsia="zh-CN"/>
        </w:rPr>
        <w:t>5</w:t>
      </w:r>
      <w:r>
        <w:rPr>
          <w:rFonts w:hint="eastAsia"/>
          <w:lang w:eastAsia="zh-CN"/>
        </w:rPr>
        <w:t>氨水</w:t>
      </w:r>
      <w:r>
        <w:rPr>
          <w:rFonts w:hint="eastAsia"/>
        </w:rPr>
        <w:t>泄漏对大气环境的影响预测</w:t>
      </w:r>
    </w:p>
    <w:p w14:paraId="5F00321D">
      <w:pPr>
        <w:adjustRightInd w:val="0"/>
        <w:snapToGrid w:val="0"/>
        <w:ind w:firstLine="480" w:firstLineChars="200"/>
        <w:rPr>
          <w:rFonts w:hint="eastAsia"/>
        </w:rPr>
      </w:pPr>
      <w:r>
        <w:rPr>
          <w:rFonts w:hint="eastAsia"/>
        </w:rPr>
        <w:t>根据预测结果，氨高峰浓度为</w:t>
      </w:r>
      <w:r>
        <w:rPr>
          <w:rFonts w:hint="eastAsia"/>
          <w:lang w:eastAsia="zh-CN"/>
        </w:rPr>
        <w:t>10528</w:t>
      </w:r>
      <w:r>
        <w:rPr>
          <w:rFonts w:hint="eastAsia"/>
        </w:rPr>
        <w:t>mg/m</w:t>
      </w:r>
      <w:r>
        <w:rPr>
          <w:rFonts w:hint="eastAsia"/>
          <w:vertAlign w:val="superscript"/>
        </w:rPr>
        <w:t>3</w:t>
      </w:r>
      <w:r>
        <w:rPr>
          <w:rFonts w:hint="eastAsia"/>
        </w:rPr>
        <w:t>，出现在距离排放源</w:t>
      </w:r>
      <w:r>
        <w:rPr>
          <w:rFonts w:hint="eastAsia" w:ascii="Times New Roman" w:eastAsia="宋体"/>
          <w:lang w:val="en-US" w:eastAsia="zh-CN"/>
        </w:rPr>
        <w:t>6</w:t>
      </w:r>
      <w:r>
        <w:rPr>
          <w:rFonts w:hint="eastAsia"/>
        </w:rPr>
        <w:t>0米处，出现时间为事故后第</w:t>
      </w:r>
      <w:r>
        <w:rPr>
          <w:rFonts w:hint="eastAsia"/>
          <w:lang w:eastAsia="zh-CN"/>
        </w:rPr>
        <w:t>2.2345</w:t>
      </w:r>
      <w:r>
        <w:rPr>
          <w:rFonts w:hint="eastAsia"/>
        </w:rPr>
        <w:t>分钟，质心浓度为</w:t>
      </w:r>
      <w:r>
        <w:rPr>
          <w:rFonts w:hint="eastAsia"/>
          <w:lang w:eastAsia="zh-CN"/>
        </w:rPr>
        <w:t>12606</w:t>
      </w:r>
      <w:r>
        <w:rPr>
          <w:rFonts w:hint="eastAsia"/>
        </w:rPr>
        <w:t>mg/m</w:t>
      </w:r>
      <w:r>
        <w:rPr>
          <w:rFonts w:hint="eastAsia"/>
          <w:vertAlign w:val="superscript"/>
        </w:rPr>
        <w:t>3</w:t>
      </w:r>
      <w:r>
        <w:rPr>
          <w:rFonts w:hint="eastAsia"/>
        </w:rPr>
        <w:t>，液氨泄漏过程中在最不利气象条件下1级、2级大气毒性终点浓度范围分别为</w:t>
      </w:r>
      <w:r>
        <w:rPr>
          <w:rFonts w:hint="eastAsia" w:ascii="Times New Roman" w:eastAsia="宋体"/>
          <w:lang w:val="en-US" w:eastAsia="zh-CN"/>
        </w:rPr>
        <w:t>740</w:t>
      </w:r>
      <w:r>
        <w:rPr>
          <w:rFonts w:hint="eastAsia"/>
        </w:rPr>
        <w:t>m、</w:t>
      </w:r>
      <w:r>
        <w:rPr>
          <w:rFonts w:hint="eastAsia"/>
          <w:lang w:val="en-US" w:eastAsia="zh-CN"/>
        </w:rPr>
        <w:t>3200</w:t>
      </w:r>
      <w:r>
        <w:rPr>
          <w:rFonts w:hint="eastAsia"/>
        </w:rPr>
        <w:t>m；预测各敏感点的氨最大浓度为0.186mg/m</w:t>
      </w:r>
      <w:r>
        <w:rPr>
          <w:rFonts w:hint="eastAsia"/>
          <w:vertAlign w:val="superscript"/>
        </w:rPr>
        <w:t>3</w:t>
      </w:r>
      <w:r>
        <w:rPr>
          <w:rFonts w:hint="eastAsia"/>
        </w:rPr>
        <w:t>，预测敏感点未出现超过大气毒性终点浓度值，对各敏感点无明显不良影响，主要影响范围为泄漏点下风向</w:t>
      </w:r>
      <w:r>
        <w:rPr>
          <w:rFonts w:hint="eastAsia"/>
          <w:lang w:val="en-US" w:eastAsia="zh-CN"/>
        </w:rPr>
        <w:t>3200</w:t>
      </w:r>
      <w:r>
        <w:rPr>
          <w:rFonts w:hint="eastAsia"/>
        </w:rPr>
        <w:t>m范围内，影响范围主要为</w:t>
      </w:r>
      <w:r>
        <w:rPr>
          <w:rFonts w:hint="eastAsia" w:eastAsia="宋体"/>
          <w:lang w:eastAsia="zh-CN"/>
        </w:rPr>
        <w:t>工业园区、尾矿库和山林地</w:t>
      </w:r>
      <w:r>
        <w:rPr>
          <w:rFonts w:hint="eastAsia"/>
        </w:rPr>
        <w:t>内。氨随距离时间变化影响预测结果见表6-5，对周边敏感点的环境影响结果见表6-</w:t>
      </w:r>
      <w:r>
        <w:rPr>
          <w:rFonts w:hint="eastAsia"/>
          <w:lang w:val="en-US" w:eastAsia="zh-CN"/>
        </w:rPr>
        <w:t>8</w:t>
      </w:r>
      <w:r>
        <w:rPr>
          <w:rFonts w:hint="eastAsia"/>
        </w:rPr>
        <w:t>，各阈值廓线见表6-</w:t>
      </w:r>
      <w:r>
        <w:rPr>
          <w:rFonts w:hint="eastAsia"/>
          <w:lang w:val="en-US" w:eastAsia="zh-CN"/>
        </w:rPr>
        <w:t>9</w:t>
      </w:r>
      <w:r>
        <w:rPr>
          <w:rFonts w:hint="eastAsia"/>
        </w:rPr>
        <w:t>，轴线/质心氨最大浓度-距离曲线见图6</w:t>
      </w:r>
      <w:r>
        <w:rPr>
          <w:rFonts w:hint="eastAsia"/>
          <w:lang w:val="en-US" w:eastAsia="zh-CN"/>
        </w:rPr>
        <w:t>-7</w:t>
      </w:r>
      <w:r>
        <w:rPr>
          <w:rFonts w:hint="eastAsia"/>
        </w:rPr>
        <w:t>，</w:t>
      </w:r>
      <w:r>
        <w:rPr>
          <w:rFonts w:hint="eastAsia" w:eastAsia="宋体"/>
          <w:lang w:eastAsia="zh-CN"/>
        </w:rPr>
        <w:t>影响范围</w:t>
      </w:r>
      <w:r>
        <w:rPr>
          <w:rFonts w:hint="eastAsia"/>
        </w:rPr>
        <w:t>图见图</w:t>
      </w:r>
      <w:r>
        <w:rPr>
          <w:rFonts w:hint="eastAsia"/>
          <w:lang w:val="en-US" w:eastAsia="zh-CN"/>
        </w:rPr>
        <w:t>6-8</w:t>
      </w:r>
      <w:r>
        <w:rPr>
          <w:rFonts w:hint="eastAsia"/>
        </w:rPr>
        <w:t>。</w:t>
      </w:r>
    </w:p>
    <w:p w14:paraId="1BC7F100">
      <w:pPr>
        <w:pStyle w:val="14"/>
        <w:bidi w:val="0"/>
        <w:rPr>
          <w:rFonts w:hint="eastAsia"/>
        </w:rPr>
      </w:pPr>
      <w:r>
        <w:drawing>
          <wp:inline distT="0" distB="0" distL="114300" distR="114300">
            <wp:extent cx="5270500" cy="3315970"/>
            <wp:effectExtent l="0" t="0" r="6350" b="17780"/>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60"/>
                    <a:stretch>
                      <a:fillRect/>
                    </a:stretch>
                  </pic:blipFill>
                  <pic:spPr>
                    <a:xfrm>
                      <a:off x="0" y="0"/>
                      <a:ext cx="5270500" cy="3315970"/>
                    </a:xfrm>
                    <a:prstGeom prst="rect">
                      <a:avLst/>
                    </a:prstGeom>
                    <a:noFill/>
                    <a:ln>
                      <a:noFill/>
                    </a:ln>
                  </pic:spPr>
                </pic:pic>
              </a:graphicData>
            </a:graphic>
          </wp:inline>
        </w:drawing>
      </w:r>
    </w:p>
    <w:p w14:paraId="25C10105">
      <w:pPr>
        <w:pStyle w:val="16"/>
        <w:bidi w:val="0"/>
        <w:rPr>
          <w:rFonts w:hint="eastAsia"/>
        </w:rPr>
      </w:pPr>
      <w:r>
        <w:rPr>
          <w:rFonts w:hint="eastAsia"/>
        </w:rPr>
        <w:t>图6</w:t>
      </w:r>
      <w:r>
        <w:rPr>
          <w:rFonts w:hint="eastAsia"/>
          <w:lang w:val="en-US" w:eastAsia="zh-CN"/>
        </w:rPr>
        <w:t>-5</w:t>
      </w:r>
      <w:r>
        <w:rPr>
          <w:rFonts w:hint="eastAsia"/>
        </w:rPr>
        <w:t xml:space="preserve"> </w:t>
      </w:r>
      <w:r>
        <w:rPr>
          <w:rFonts w:hint="eastAsia"/>
          <w:lang w:val="en-US" w:eastAsia="zh-CN"/>
        </w:rPr>
        <w:t xml:space="preserve"> </w:t>
      </w:r>
      <w:r>
        <w:rPr>
          <w:rFonts w:hint="eastAsia"/>
        </w:rPr>
        <w:t>AFTOX模型污染源及环境参数</w:t>
      </w:r>
    </w:p>
    <w:p w14:paraId="3058E3EB">
      <w:pPr>
        <w:pStyle w:val="14"/>
        <w:bidi w:val="0"/>
        <w:rPr>
          <w:rFonts w:hint="eastAsia"/>
        </w:rPr>
      </w:pPr>
      <w:r>
        <w:drawing>
          <wp:inline distT="0" distB="0" distL="114300" distR="114300">
            <wp:extent cx="5153025" cy="3838575"/>
            <wp:effectExtent l="0" t="0" r="9525" b="9525"/>
            <wp:docPr id="1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9"/>
                    <pic:cNvPicPr>
                      <a:picLocks noChangeAspect="1"/>
                    </pic:cNvPicPr>
                  </pic:nvPicPr>
                  <pic:blipFill>
                    <a:blip r:embed="rId61"/>
                    <a:stretch>
                      <a:fillRect/>
                    </a:stretch>
                  </pic:blipFill>
                  <pic:spPr>
                    <a:xfrm>
                      <a:off x="0" y="0"/>
                      <a:ext cx="5153025" cy="3838575"/>
                    </a:xfrm>
                    <a:prstGeom prst="rect">
                      <a:avLst/>
                    </a:prstGeom>
                    <a:noFill/>
                    <a:ln>
                      <a:noFill/>
                    </a:ln>
                  </pic:spPr>
                </pic:pic>
              </a:graphicData>
            </a:graphic>
          </wp:inline>
        </w:drawing>
      </w:r>
    </w:p>
    <w:p w14:paraId="7881EDA8">
      <w:pPr>
        <w:pStyle w:val="16"/>
        <w:bidi w:val="0"/>
        <w:rPr>
          <w:rFonts w:hint="eastAsia"/>
        </w:rPr>
      </w:pPr>
      <w:r>
        <w:rPr>
          <w:rFonts w:hint="eastAsia"/>
        </w:rPr>
        <w:t>图6</w:t>
      </w:r>
      <w:r>
        <w:rPr>
          <w:rFonts w:hint="eastAsia"/>
          <w:lang w:val="en-US" w:eastAsia="zh-CN"/>
        </w:rPr>
        <w:t xml:space="preserve">-6 </w:t>
      </w:r>
      <w:r>
        <w:rPr>
          <w:rFonts w:hint="eastAsia"/>
        </w:rPr>
        <w:t xml:space="preserve"> AFTOX模型计算内容</w:t>
      </w:r>
    </w:p>
    <w:p w14:paraId="0B481D16">
      <w:pPr>
        <w:pStyle w:val="15"/>
        <w:bidi w:val="0"/>
        <w:rPr>
          <w:rFonts w:hint="eastAsia"/>
        </w:rPr>
      </w:pPr>
      <w:r>
        <w:rPr>
          <w:rFonts w:hint="eastAsia"/>
        </w:rPr>
        <w:t>表6-</w:t>
      </w:r>
      <w:r>
        <w:rPr>
          <w:rFonts w:hint="eastAsia"/>
          <w:lang w:val="en-US" w:eastAsia="zh-CN"/>
        </w:rPr>
        <w:t>8</w:t>
      </w:r>
      <w:r>
        <w:rPr>
          <w:rFonts w:hint="eastAsia"/>
        </w:rPr>
        <w:t xml:space="preserve"> 氨随距离时间变化影响预测结果</w:t>
      </w:r>
    </w:p>
    <w:tbl>
      <w:tblPr>
        <w:tblStyle w:val="11"/>
        <w:tblW w:w="59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51" w:type="dxa"/>
          <w:bottom w:w="0" w:type="dxa"/>
          <w:right w:w="51" w:type="dxa"/>
        </w:tblCellMar>
      </w:tblPr>
      <w:tblGrid>
        <w:gridCol w:w="1979"/>
        <w:gridCol w:w="1979"/>
        <w:gridCol w:w="1981"/>
      </w:tblGrid>
      <w:tr w14:paraId="234DC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B1DEE93">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距离(m)</w:t>
            </w:r>
          </w:p>
        </w:tc>
        <w:tc>
          <w:tcPr>
            <w:tcW w:w="1979" w:type="dxa"/>
            <w:tcBorders>
              <w:tl2br w:val="nil"/>
              <w:tr2bl w:val="nil"/>
            </w:tcBorders>
            <w:shd w:val="clear" w:color="auto" w:fill="auto"/>
            <w:vAlign w:val="center"/>
          </w:tcPr>
          <w:p w14:paraId="64873084">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浓度出现时间(min)</w:t>
            </w:r>
          </w:p>
        </w:tc>
        <w:tc>
          <w:tcPr>
            <w:tcW w:w="1981" w:type="dxa"/>
            <w:tcBorders>
              <w:tl2br w:val="nil"/>
              <w:tr2bl w:val="nil"/>
            </w:tcBorders>
            <w:shd w:val="clear" w:color="auto" w:fill="auto"/>
            <w:vAlign w:val="center"/>
          </w:tcPr>
          <w:p w14:paraId="65968037">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高峰浓度(mg/m</w:t>
            </w:r>
            <w:r>
              <w:rPr>
                <w:rFonts w:hint="eastAsia" w:ascii="Times New Roman" w:hAnsi="Times New Roman" w:eastAsia="宋体" w:cs="Times New Roman"/>
                <w:b/>
                <w:bCs/>
                <w:kern w:val="2"/>
                <w:sz w:val="21"/>
                <w:szCs w:val="24"/>
                <w:vertAlign w:val="superscript"/>
                <w:lang w:val="en-US" w:eastAsia="zh-CN" w:bidi="ar-SA"/>
              </w:rPr>
              <w:t>3</w:t>
            </w:r>
            <w:r>
              <w:rPr>
                <w:rFonts w:hint="eastAsia" w:ascii="Times New Roman" w:hAnsi="Times New Roman" w:eastAsia="宋体" w:cs="Times New Roman"/>
                <w:b/>
                <w:bCs/>
                <w:kern w:val="2"/>
                <w:sz w:val="21"/>
                <w:szCs w:val="24"/>
                <w:lang w:val="en-US" w:eastAsia="zh-CN" w:bidi="ar-SA"/>
              </w:rPr>
              <w:t>)</w:t>
            </w:r>
          </w:p>
        </w:tc>
      </w:tr>
      <w:tr w14:paraId="0C70C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87D28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10.00</w:t>
            </w:r>
          </w:p>
        </w:tc>
        <w:tc>
          <w:tcPr>
            <w:tcW w:w="1979" w:type="dxa"/>
            <w:tcBorders>
              <w:tl2br w:val="nil"/>
              <w:tr2bl w:val="nil"/>
            </w:tcBorders>
            <w:shd w:val="clear" w:color="auto" w:fill="auto"/>
            <w:vAlign w:val="center"/>
          </w:tcPr>
          <w:p w14:paraId="65C469C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0.08</w:t>
            </w:r>
          </w:p>
        </w:tc>
        <w:tc>
          <w:tcPr>
            <w:tcW w:w="1981" w:type="dxa"/>
            <w:tcBorders>
              <w:tl2br w:val="nil"/>
              <w:tr2bl w:val="nil"/>
            </w:tcBorders>
            <w:shd w:val="clear" w:color="auto" w:fill="auto"/>
            <w:vAlign w:val="center"/>
          </w:tcPr>
          <w:p w14:paraId="4EEC14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10542.00</w:t>
            </w:r>
          </w:p>
        </w:tc>
      </w:tr>
      <w:tr w14:paraId="13B25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7672F1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60.00</w:t>
            </w:r>
          </w:p>
        </w:tc>
        <w:tc>
          <w:tcPr>
            <w:tcW w:w="1979" w:type="dxa"/>
            <w:tcBorders>
              <w:tl2br w:val="nil"/>
              <w:tr2bl w:val="nil"/>
            </w:tcBorders>
            <w:shd w:val="clear" w:color="auto" w:fill="auto"/>
            <w:vAlign w:val="center"/>
          </w:tcPr>
          <w:p w14:paraId="04C8DF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0.50</w:t>
            </w:r>
          </w:p>
        </w:tc>
        <w:tc>
          <w:tcPr>
            <w:tcW w:w="1981" w:type="dxa"/>
            <w:tcBorders>
              <w:tl2br w:val="nil"/>
              <w:tr2bl w:val="nil"/>
            </w:tcBorders>
            <w:shd w:val="clear" w:color="auto" w:fill="auto"/>
            <w:vAlign w:val="center"/>
          </w:tcPr>
          <w:p w14:paraId="031DAD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1014.50</w:t>
            </w:r>
          </w:p>
        </w:tc>
      </w:tr>
      <w:tr w14:paraId="7658CD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CFE22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110.00</w:t>
            </w:r>
          </w:p>
        </w:tc>
        <w:tc>
          <w:tcPr>
            <w:tcW w:w="1979" w:type="dxa"/>
            <w:tcBorders>
              <w:tl2br w:val="nil"/>
              <w:tr2bl w:val="nil"/>
            </w:tcBorders>
            <w:shd w:val="clear" w:color="auto" w:fill="auto"/>
            <w:vAlign w:val="center"/>
          </w:tcPr>
          <w:p w14:paraId="1656F6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0.92</w:t>
            </w:r>
          </w:p>
        </w:tc>
        <w:tc>
          <w:tcPr>
            <w:tcW w:w="1981" w:type="dxa"/>
            <w:tcBorders>
              <w:tl2br w:val="nil"/>
              <w:tr2bl w:val="nil"/>
            </w:tcBorders>
            <w:shd w:val="clear" w:color="auto" w:fill="auto"/>
            <w:vAlign w:val="center"/>
          </w:tcPr>
          <w:p w14:paraId="476442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419.48</w:t>
            </w:r>
          </w:p>
        </w:tc>
      </w:tr>
      <w:tr w14:paraId="77EB57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79036D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160.00</w:t>
            </w:r>
          </w:p>
        </w:tc>
        <w:tc>
          <w:tcPr>
            <w:tcW w:w="1979" w:type="dxa"/>
            <w:tcBorders>
              <w:tl2br w:val="nil"/>
              <w:tr2bl w:val="nil"/>
            </w:tcBorders>
            <w:shd w:val="clear" w:color="auto" w:fill="auto"/>
            <w:vAlign w:val="center"/>
          </w:tcPr>
          <w:p w14:paraId="1B0EF4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1.33</w:t>
            </w:r>
          </w:p>
        </w:tc>
        <w:tc>
          <w:tcPr>
            <w:tcW w:w="1981" w:type="dxa"/>
            <w:tcBorders>
              <w:tl2br w:val="nil"/>
              <w:tr2bl w:val="nil"/>
            </w:tcBorders>
            <w:shd w:val="clear" w:color="auto" w:fill="auto"/>
            <w:vAlign w:val="center"/>
          </w:tcPr>
          <w:p w14:paraId="61F305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233.30</w:t>
            </w:r>
          </w:p>
        </w:tc>
      </w:tr>
      <w:tr w14:paraId="037BE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8FBE2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210.00</w:t>
            </w:r>
          </w:p>
        </w:tc>
        <w:tc>
          <w:tcPr>
            <w:tcW w:w="1979" w:type="dxa"/>
            <w:tcBorders>
              <w:tl2br w:val="nil"/>
              <w:tr2bl w:val="nil"/>
            </w:tcBorders>
            <w:shd w:val="clear" w:color="auto" w:fill="auto"/>
            <w:vAlign w:val="center"/>
          </w:tcPr>
          <w:p w14:paraId="49382E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1.75</w:t>
            </w:r>
          </w:p>
        </w:tc>
        <w:tc>
          <w:tcPr>
            <w:tcW w:w="1981" w:type="dxa"/>
            <w:tcBorders>
              <w:tl2br w:val="nil"/>
              <w:tr2bl w:val="nil"/>
            </w:tcBorders>
            <w:shd w:val="clear" w:color="auto" w:fill="auto"/>
            <w:vAlign w:val="center"/>
          </w:tcPr>
          <w:p w14:paraId="30E763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150.66</w:t>
            </w:r>
          </w:p>
        </w:tc>
      </w:tr>
      <w:tr w14:paraId="0FF8E3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E3473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260.00</w:t>
            </w:r>
          </w:p>
        </w:tc>
        <w:tc>
          <w:tcPr>
            <w:tcW w:w="1979" w:type="dxa"/>
            <w:tcBorders>
              <w:tl2br w:val="nil"/>
              <w:tr2bl w:val="nil"/>
            </w:tcBorders>
            <w:shd w:val="clear" w:color="auto" w:fill="auto"/>
            <w:vAlign w:val="center"/>
          </w:tcPr>
          <w:p w14:paraId="29E7600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2.17</w:t>
            </w:r>
          </w:p>
        </w:tc>
        <w:tc>
          <w:tcPr>
            <w:tcW w:w="1981" w:type="dxa"/>
            <w:tcBorders>
              <w:tl2br w:val="nil"/>
              <w:tr2bl w:val="nil"/>
            </w:tcBorders>
            <w:shd w:val="clear" w:color="auto" w:fill="auto"/>
            <w:vAlign w:val="center"/>
          </w:tcPr>
          <w:p w14:paraId="26FBAC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106.38</w:t>
            </w:r>
          </w:p>
        </w:tc>
      </w:tr>
      <w:tr w14:paraId="356083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B34A0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310.00</w:t>
            </w:r>
          </w:p>
        </w:tc>
        <w:tc>
          <w:tcPr>
            <w:tcW w:w="1979" w:type="dxa"/>
            <w:tcBorders>
              <w:tl2br w:val="nil"/>
              <w:tr2bl w:val="nil"/>
            </w:tcBorders>
            <w:shd w:val="clear" w:color="auto" w:fill="auto"/>
            <w:vAlign w:val="center"/>
          </w:tcPr>
          <w:p w14:paraId="10D991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2.58</w:t>
            </w:r>
          </w:p>
        </w:tc>
        <w:tc>
          <w:tcPr>
            <w:tcW w:w="1981" w:type="dxa"/>
            <w:tcBorders>
              <w:tl2br w:val="nil"/>
              <w:tr2bl w:val="nil"/>
            </w:tcBorders>
            <w:shd w:val="clear" w:color="auto" w:fill="auto"/>
            <w:vAlign w:val="center"/>
          </w:tcPr>
          <w:p w14:paraId="62DC16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79.69</w:t>
            </w:r>
          </w:p>
        </w:tc>
      </w:tr>
      <w:tr w14:paraId="5BB59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1DEFEB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360.00</w:t>
            </w:r>
          </w:p>
        </w:tc>
        <w:tc>
          <w:tcPr>
            <w:tcW w:w="1979" w:type="dxa"/>
            <w:tcBorders>
              <w:tl2br w:val="nil"/>
              <w:tr2bl w:val="nil"/>
            </w:tcBorders>
            <w:shd w:val="clear" w:color="auto" w:fill="auto"/>
            <w:vAlign w:val="center"/>
          </w:tcPr>
          <w:p w14:paraId="1F626C5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3.00</w:t>
            </w:r>
          </w:p>
        </w:tc>
        <w:tc>
          <w:tcPr>
            <w:tcW w:w="1981" w:type="dxa"/>
            <w:tcBorders>
              <w:tl2br w:val="nil"/>
              <w:tr2bl w:val="nil"/>
            </w:tcBorders>
            <w:shd w:val="clear" w:color="auto" w:fill="auto"/>
            <w:vAlign w:val="center"/>
          </w:tcPr>
          <w:p w14:paraId="6D946FB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62.27</w:t>
            </w:r>
          </w:p>
        </w:tc>
      </w:tr>
      <w:tr w14:paraId="073F8E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8B218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410.00</w:t>
            </w:r>
          </w:p>
        </w:tc>
        <w:tc>
          <w:tcPr>
            <w:tcW w:w="1979" w:type="dxa"/>
            <w:tcBorders>
              <w:tl2br w:val="nil"/>
              <w:tr2bl w:val="nil"/>
            </w:tcBorders>
            <w:shd w:val="clear" w:color="auto" w:fill="auto"/>
            <w:vAlign w:val="center"/>
          </w:tcPr>
          <w:p w14:paraId="4704B13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3.42</w:t>
            </w:r>
          </w:p>
        </w:tc>
        <w:tc>
          <w:tcPr>
            <w:tcW w:w="1981" w:type="dxa"/>
            <w:tcBorders>
              <w:tl2br w:val="nil"/>
              <w:tr2bl w:val="nil"/>
            </w:tcBorders>
            <w:shd w:val="clear" w:color="auto" w:fill="auto"/>
            <w:vAlign w:val="center"/>
          </w:tcPr>
          <w:p w14:paraId="33611CC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50.20</w:t>
            </w:r>
          </w:p>
        </w:tc>
      </w:tr>
      <w:tr w14:paraId="17F42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C28C5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460.00</w:t>
            </w:r>
          </w:p>
        </w:tc>
        <w:tc>
          <w:tcPr>
            <w:tcW w:w="1979" w:type="dxa"/>
            <w:tcBorders>
              <w:tl2br w:val="nil"/>
              <w:tr2bl w:val="nil"/>
            </w:tcBorders>
            <w:shd w:val="clear" w:color="auto" w:fill="auto"/>
            <w:vAlign w:val="center"/>
          </w:tcPr>
          <w:p w14:paraId="7F4B7A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3.83</w:t>
            </w:r>
          </w:p>
        </w:tc>
        <w:tc>
          <w:tcPr>
            <w:tcW w:w="1981" w:type="dxa"/>
            <w:tcBorders>
              <w:tl2br w:val="nil"/>
              <w:tr2bl w:val="nil"/>
            </w:tcBorders>
            <w:shd w:val="clear" w:color="auto" w:fill="auto"/>
            <w:vAlign w:val="center"/>
          </w:tcPr>
          <w:p w14:paraId="19721E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41.48</w:t>
            </w:r>
          </w:p>
        </w:tc>
      </w:tr>
      <w:tr w14:paraId="164955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FB1784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510.00</w:t>
            </w:r>
          </w:p>
        </w:tc>
        <w:tc>
          <w:tcPr>
            <w:tcW w:w="1979" w:type="dxa"/>
            <w:tcBorders>
              <w:tl2br w:val="nil"/>
              <w:tr2bl w:val="nil"/>
            </w:tcBorders>
            <w:shd w:val="clear" w:color="auto" w:fill="auto"/>
            <w:vAlign w:val="center"/>
          </w:tcPr>
          <w:p w14:paraId="0A9D91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4.25</w:t>
            </w:r>
          </w:p>
        </w:tc>
        <w:tc>
          <w:tcPr>
            <w:tcW w:w="1981" w:type="dxa"/>
            <w:tcBorders>
              <w:tl2br w:val="nil"/>
              <w:tr2bl w:val="nil"/>
            </w:tcBorders>
            <w:shd w:val="clear" w:color="auto" w:fill="auto"/>
            <w:vAlign w:val="center"/>
          </w:tcPr>
          <w:p w14:paraId="7ECD003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34.94</w:t>
            </w:r>
          </w:p>
        </w:tc>
      </w:tr>
      <w:tr w14:paraId="10651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F39ED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560.00</w:t>
            </w:r>
          </w:p>
        </w:tc>
        <w:tc>
          <w:tcPr>
            <w:tcW w:w="1979" w:type="dxa"/>
            <w:tcBorders>
              <w:tl2br w:val="nil"/>
              <w:tr2bl w:val="nil"/>
            </w:tcBorders>
            <w:shd w:val="clear" w:color="auto" w:fill="auto"/>
            <w:vAlign w:val="center"/>
          </w:tcPr>
          <w:p w14:paraId="6AB1A2A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4.67</w:t>
            </w:r>
          </w:p>
        </w:tc>
        <w:tc>
          <w:tcPr>
            <w:tcW w:w="1981" w:type="dxa"/>
            <w:tcBorders>
              <w:tl2br w:val="nil"/>
              <w:tr2bl w:val="nil"/>
            </w:tcBorders>
            <w:shd w:val="clear" w:color="auto" w:fill="auto"/>
            <w:vAlign w:val="center"/>
          </w:tcPr>
          <w:p w14:paraId="603439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29.90</w:t>
            </w:r>
          </w:p>
        </w:tc>
      </w:tr>
      <w:tr w14:paraId="000E3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78B9B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610.00</w:t>
            </w:r>
          </w:p>
        </w:tc>
        <w:tc>
          <w:tcPr>
            <w:tcW w:w="1979" w:type="dxa"/>
            <w:tcBorders>
              <w:tl2br w:val="nil"/>
              <w:tr2bl w:val="nil"/>
            </w:tcBorders>
            <w:shd w:val="clear" w:color="auto" w:fill="auto"/>
            <w:vAlign w:val="center"/>
          </w:tcPr>
          <w:p w14:paraId="76D3BA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5.08</w:t>
            </w:r>
          </w:p>
        </w:tc>
        <w:tc>
          <w:tcPr>
            <w:tcW w:w="1981" w:type="dxa"/>
            <w:tcBorders>
              <w:tl2br w:val="nil"/>
              <w:tr2bl w:val="nil"/>
            </w:tcBorders>
            <w:shd w:val="clear" w:color="auto" w:fill="auto"/>
            <w:vAlign w:val="center"/>
          </w:tcPr>
          <w:p w14:paraId="01D057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25.93</w:t>
            </w:r>
          </w:p>
        </w:tc>
      </w:tr>
      <w:tr w14:paraId="6161B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E57FD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660.00</w:t>
            </w:r>
          </w:p>
        </w:tc>
        <w:tc>
          <w:tcPr>
            <w:tcW w:w="1979" w:type="dxa"/>
            <w:tcBorders>
              <w:tl2br w:val="nil"/>
              <w:tr2bl w:val="nil"/>
            </w:tcBorders>
            <w:shd w:val="clear" w:color="auto" w:fill="auto"/>
            <w:vAlign w:val="center"/>
          </w:tcPr>
          <w:p w14:paraId="690122C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5.50</w:t>
            </w:r>
          </w:p>
        </w:tc>
        <w:tc>
          <w:tcPr>
            <w:tcW w:w="1981" w:type="dxa"/>
            <w:tcBorders>
              <w:tl2br w:val="nil"/>
              <w:tr2bl w:val="nil"/>
            </w:tcBorders>
            <w:shd w:val="clear" w:color="auto" w:fill="auto"/>
            <w:vAlign w:val="center"/>
          </w:tcPr>
          <w:p w14:paraId="3EED3B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22.73</w:t>
            </w:r>
          </w:p>
        </w:tc>
      </w:tr>
      <w:tr w14:paraId="3BD4D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6A33B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710.00</w:t>
            </w:r>
          </w:p>
        </w:tc>
        <w:tc>
          <w:tcPr>
            <w:tcW w:w="1979" w:type="dxa"/>
            <w:tcBorders>
              <w:tl2br w:val="nil"/>
              <w:tr2bl w:val="nil"/>
            </w:tcBorders>
            <w:shd w:val="clear" w:color="auto" w:fill="auto"/>
            <w:vAlign w:val="center"/>
          </w:tcPr>
          <w:p w14:paraId="7AC77E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5.92</w:t>
            </w:r>
          </w:p>
        </w:tc>
        <w:tc>
          <w:tcPr>
            <w:tcW w:w="1981" w:type="dxa"/>
            <w:tcBorders>
              <w:tl2br w:val="nil"/>
              <w:tr2bl w:val="nil"/>
            </w:tcBorders>
            <w:shd w:val="clear" w:color="auto" w:fill="auto"/>
            <w:vAlign w:val="center"/>
          </w:tcPr>
          <w:p w14:paraId="02BFE4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20.13</w:t>
            </w:r>
          </w:p>
        </w:tc>
      </w:tr>
      <w:tr w14:paraId="3141E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733FF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760.00</w:t>
            </w:r>
          </w:p>
        </w:tc>
        <w:tc>
          <w:tcPr>
            <w:tcW w:w="1979" w:type="dxa"/>
            <w:tcBorders>
              <w:tl2br w:val="nil"/>
              <w:tr2bl w:val="nil"/>
            </w:tcBorders>
            <w:shd w:val="clear" w:color="auto" w:fill="auto"/>
            <w:vAlign w:val="center"/>
          </w:tcPr>
          <w:p w14:paraId="02D03A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6.33</w:t>
            </w:r>
          </w:p>
        </w:tc>
        <w:tc>
          <w:tcPr>
            <w:tcW w:w="1981" w:type="dxa"/>
            <w:tcBorders>
              <w:tl2br w:val="nil"/>
              <w:tr2bl w:val="nil"/>
            </w:tcBorders>
            <w:shd w:val="clear" w:color="auto" w:fill="auto"/>
            <w:vAlign w:val="center"/>
          </w:tcPr>
          <w:p w14:paraId="45F7BE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17.96</w:t>
            </w:r>
          </w:p>
        </w:tc>
      </w:tr>
      <w:tr w14:paraId="4F2CC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36774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810.00</w:t>
            </w:r>
          </w:p>
        </w:tc>
        <w:tc>
          <w:tcPr>
            <w:tcW w:w="1979" w:type="dxa"/>
            <w:tcBorders>
              <w:tl2br w:val="nil"/>
              <w:tr2bl w:val="nil"/>
            </w:tcBorders>
            <w:shd w:val="clear" w:color="auto" w:fill="auto"/>
            <w:vAlign w:val="center"/>
          </w:tcPr>
          <w:p w14:paraId="6D72602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6.75</w:t>
            </w:r>
          </w:p>
        </w:tc>
        <w:tc>
          <w:tcPr>
            <w:tcW w:w="1981" w:type="dxa"/>
            <w:tcBorders>
              <w:tl2br w:val="nil"/>
              <w:tr2bl w:val="nil"/>
            </w:tcBorders>
            <w:shd w:val="clear" w:color="auto" w:fill="auto"/>
            <w:vAlign w:val="center"/>
          </w:tcPr>
          <w:p w14:paraId="619972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16.15</w:t>
            </w:r>
          </w:p>
        </w:tc>
      </w:tr>
      <w:tr w14:paraId="59CCBE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96D65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860.00</w:t>
            </w:r>
          </w:p>
        </w:tc>
        <w:tc>
          <w:tcPr>
            <w:tcW w:w="1979" w:type="dxa"/>
            <w:tcBorders>
              <w:tl2br w:val="nil"/>
              <w:tr2bl w:val="nil"/>
            </w:tcBorders>
            <w:shd w:val="clear" w:color="auto" w:fill="auto"/>
            <w:vAlign w:val="center"/>
          </w:tcPr>
          <w:p w14:paraId="2D4F801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7.17</w:t>
            </w:r>
          </w:p>
        </w:tc>
        <w:tc>
          <w:tcPr>
            <w:tcW w:w="1981" w:type="dxa"/>
            <w:tcBorders>
              <w:tl2br w:val="nil"/>
              <w:tr2bl w:val="nil"/>
            </w:tcBorders>
            <w:shd w:val="clear" w:color="auto" w:fill="auto"/>
            <w:vAlign w:val="center"/>
          </w:tcPr>
          <w:p w14:paraId="394AF2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14.61</w:t>
            </w:r>
          </w:p>
        </w:tc>
      </w:tr>
      <w:tr w14:paraId="2638B3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3186C7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910.00</w:t>
            </w:r>
          </w:p>
        </w:tc>
        <w:tc>
          <w:tcPr>
            <w:tcW w:w="1979" w:type="dxa"/>
            <w:tcBorders>
              <w:tl2br w:val="nil"/>
              <w:tr2bl w:val="nil"/>
            </w:tcBorders>
            <w:shd w:val="clear" w:color="auto" w:fill="auto"/>
            <w:vAlign w:val="center"/>
          </w:tcPr>
          <w:p w14:paraId="6A8E5D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7.58</w:t>
            </w:r>
          </w:p>
        </w:tc>
        <w:tc>
          <w:tcPr>
            <w:tcW w:w="1981" w:type="dxa"/>
            <w:tcBorders>
              <w:tl2br w:val="nil"/>
              <w:tr2bl w:val="nil"/>
            </w:tcBorders>
            <w:shd w:val="clear" w:color="auto" w:fill="auto"/>
            <w:vAlign w:val="center"/>
          </w:tcPr>
          <w:p w14:paraId="1E6D0A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13.29</w:t>
            </w:r>
          </w:p>
        </w:tc>
      </w:tr>
      <w:tr w14:paraId="5089B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CB5CC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960.00</w:t>
            </w:r>
          </w:p>
        </w:tc>
        <w:tc>
          <w:tcPr>
            <w:tcW w:w="1979" w:type="dxa"/>
            <w:tcBorders>
              <w:tl2br w:val="nil"/>
              <w:tr2bl w:val="nil"/>
            </w:tcBorders>
            <w:shd w:val="clear" w:color="auto" w:fill="auto"/>
            <w:vAlign w:val="center"/>
          </w:tcPr>
          <w:p w14:paraId="55174B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8.00</w:t>
            </w:r>
          </w:p>
        </w:tc>
        <w:tc>
          <w:tcPr>
            <w:tcW w:w="1981" w:type="dxa"/>
            <w:tcBorders>
              <w:tl2br w:val="nil"/>
              <w:tr2bl w:val="nil"/>
            </w:tcBorders>
            <w:shd w:val="clear" w:color="auto" w:fill="auto"/>
            <w:vAlign w:val="center"/>
          </w:tcPr>
          <w:p w14:paraId="0112DAC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12.15</w:t>
            </w:r>
          </w:p>
        </w:tc>
      </w:tr>
      <w:tr w14:paraId="796B3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F4111E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1010.00</w:t>
            </w:r>
          </w:p>
        </w:tc>
        <w:tc>
          <w:tcPr>
            <w:tcW w:w="1979" w:type="dxa"/>
            <w:tcBorders>
              <w:tl2br w:val="nil"/>
              <w:tr2bl w:val="nil"/>
            </w:tcBorders>
            <w:shd w:val="clear" w:color="auto" w:fill="auto"/>
            <w:vAlign w:val="center"/>
          </w:tcPr>
          <w:p w14:paraId="67ABFA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8.42</w:t>
            </w:r>
          </w:p>
        </w:tc>
        <w:tc>
          <w:tcPr>
            <w:tcW w:w="1981" w:type="dxa"/>
            <w:tcBorders>
              <w:tl2br w:val="nil"/>
              <w:tr2bl w:val="nil"/>
            </w:tcBorders>
            <w:shd w:val="clear" w:color="auto" w:fill="auto"/>
            <w:vAlign w:val="center"/>
          </w:tcPr>
          <w:p w14:paraId="5283569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11.16</w:t>
            </w:r>
          </w:p>
        </w:tc>
      </w:tr>
      <w:tr w14:paraId="1A179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24EA73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1060.00</w:t>
            </w:r>
          </w:p>
        </w:tc>
        <w:tc>
          <w:tcPr>
            <w:tcW w:w="1979" w:type="dxa"/>
            <w:tcBorders>
              <w:tl2br w:val="nil"/>
              <w:tr2bl w:val="nil"/>
            </w:tcBorders>
            <w:shd w:val="clear" w:color="auto" w:fill="auto"/>
            <w:vAlign w:val="center"/>
          </w:tcPr>
          <w:p w14:paraId="515C48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8.83</w:t>
            </w:r>
          </w:p>
        </w:tc>
        <w:tc>
          <w:tcPr>
            <w:tcW w:w="1981" w:type="dxa"/>
            <w:tcBorders>
              <w:tl2br w:val="nil"/>
              <w:tr2bl w:val="nil"/>
            </w:tcBorders>
            <w:shd w:val="clear" w:color="auto" w:fill="auto"/>
            <w:vAlign w:val="center"/>
          </w:tcPr>
          <w:p w14:paraId="366DA60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10.30</w:t>
            </w:r>
          </w:p>
        </w:tc>
      </w:tr>
      <w:tr w14:paraId="26ADC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B6888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1110.00</w:t>
            </w:r>
          </w:p>
        </w:tc>
        <w:tc>
          <w:tcPr>
            <w:tcW w:w="1979" w:type="dxa"/>
            <w:tcBorders>
              <w:tl2br w:val="nil"/>
              <w:tr2bl w:val="nil"/>
            </w:tcBorders>
            <w:shd w:val="clear" w:color="auto" w:fill="auto"/>
            <w:vAlign w:val="center"/>
          </w:tcPr>
          <w:p w14:paraId="345ABEE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9.25</w:t>
            </w:r>
          </w:p>
        </w:tc>
        <w:tc>
          <w:tcPr>
            <w:tcW w:w="1981" w:type="dxa"/>
            <w:tcBorders>
              <w:tl2br w:val="nil"/>
              <w:tr2bl w:val="nil"/>
            </w:tcBorders>
            <w:shd w:val="clear" w:color="auto" w:fill="auto"/>
            <w:vAlign w:val="center"/>
          </w:tcPr>
          <w:p w14:paraId="3018F2D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9.53</w:t>
            </w:r>
          </w:p>
        </w:tc>
      </w:tr>
      <w:tr w14:paraId="171445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0D2560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1160.00</w:t>
            </w:r>
          </w:p>
        </w:tc>
        <w:tc>
          <w:tcPr>
            <w:tcW w:w="1979" w:type="dxa"/>
            <w:tcBorders>
              <w:tl2br w:val="nil"/>
              <w:tr2bl w:val="nil"/>
            </w:tcBorders>
            <w:shd w:val="clear" w:color="auto" w:fill="auto"/>
            <w:vAlign w:val="center"/>
          </w:tcPr>
          <w:p w14:paraId="76D526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9.67</w:t>
            </w:r>
          </w:p>
        </w:tc>
        <w:tc>
          <w:tcPr>
            <w:tcW w:w="1981" w:type="dxa"/>
            <w:tcBorders>
              <w:tl2br w:val="nil"/>
              <w:tr2bl w:val="nil"/>
            </w:tcBorders>
            <w:shd w:val="clear" w:color="auto" w:fill="auto"/>
            <w:vAlign w:val="center"/>
          </w:tcPr>
          <w:p w14:paraId="2DEFDC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8.85</w:t>
            </w:r>
          </w:p>
        </w:tc>
      </w:tr>
      <w:tr w14:paraId="624B0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23EC8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1210.00</w:t>
            </w:r>
          </w:p>
        </w:tc>
        <w:tc>
          <w:tcPr>
            <w:tcW w:w="1979" w:type="dxa"/>
            <w:tcBorders>
              <w:tl2br w:val="nil"/>
              <w:tr2bl w:val="nil"/>
            </w:tcBorders>
            <w:shd w:val="clear" w:color="auto" w:fill="auto"/>
            <w:vAlign w:val="center"/>
          </w:tcPr>
          <w:p w14:paraId="3073D0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10.08</w:t>
            </w:r>
          </w:p>
        </w:tc>
        <w:tc>
          <w:tcPr>
            <w:tcW w:w="1981" w:type="dxa"/>
            <w:tcBorders>
              <w:tl2br w:val="nil"/>
              <w:tr2bl w:val="nil"/>
            </w:tcBorders>
            <w:shd w:val="clear" w:color="auto" w:fill="auto"/>
            <w:vAlign w:val="center"/>
          </w:tcPr>
          <w:p w14:paraId="405AB62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8.25</w:t>
            </w:r>
          </w:p>
        </w:tc>
      </w:tr>
      <w:tr w14:paraId="3CEE4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40AE4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1260.00</w:t>
            </w:r>
          </w:p>
        </w:tc>
        <w:tc>
          <w:tcPr>
            <w:tcW w:w="1979" w:type="dxa"/>
            <w:tcBorders>
              <w:tl2br w:val="nil"/>
              <w:tr2bl w:val="nil"/>
            </w:tcBorders>
            <w:shd w:val="clear" w:color="auto" w:fill="auto"/>
            <w:vAlign w:val="center"/>
          </w:tcPr>
          <w:p w14:paraId="0A0F04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10.50</w:t>
            </w:r>
          </w:p>
        </w:tc>
        <w:tc>
          <w:tcPr>
            <w:tcW w:w="1981" w:type="dxa"/>
            <w:tcBorders>
              <w:tl2br w:val="nil"/>
              <w:tr2bl w:val="nil"/>
            </w:tcBorders>
            <w:shd w:val="clear" w:color="auto" w:fill="auto"/>
            <w:vAlign w:val="center"/>
          </w:tcPr>
          <w:p w14:paraId="791CBF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7.71</w:t>
            </w:r>
          </w:p>
        </w:tc>
      </w:tr>
      <w:tr w14:paraId="69BE26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E129B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1310.00</w:t>
            </w:r>
          </w:p>
        </w:tc>
        <w:tc>
          <w:tcPr>
            <w:tcW w:w="1979" w:type="dxa"/>
            <w:tcBorders>
              <w:tl2br w:val="nil"/>
              <w:tr2bl w:val="nil"/>
            </w:tcBorders>
            <w:shd w:val="clear" w:color="auto" w:fill="auto"/>
            <w:vAlign w:val="center"/>
          </w:tcPr>
          <w:p w14:paraId="2850D4B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10.92</w:t>
            </w:r>
          </w:p>
        </w:tc>
        <w:tc>
          <w:tcPr>
            <w:tcW w:w="1981" w:type="dxa"/>
            <w:tcBorders>
              <w:tl2br w:val="nil"/>
              <w:tr2bl w:val="nil"/>
            </w:tcBorders>
            <w:shd w:val="clear" w:color="auto" w:fill="auto"/>
            <w:vAlign w:val="center"/>
          </w:tcPr>
          <w:p w14:paraId="0749ED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7.22</w:t>
            </w:r>
          </w:p>
        </w:tc>
      </w:tr>
      <w:tr w14:paraId="564343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FB40DD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1360.00</w:t>
            </w:r>
          </w:p>
        </w:tc>
        <w:tc>
          <w:tcPr>
            <w:tcW w:w="1979" w:type="dxa"/>
            <w:tcBorders>
              <w:tl2br w:val="nil"/>
              <w:tr2bl w:val="nil"/>
            </w:tcBorders>
            <w:shd w:val="clear" w:color="auto" w:fill="auto"/>
            <w:vAlign w:val="center"/>
          </w:tcPr>
          <w:p w14:paraId="63EF29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11.33</w:t>
            </w:r>
          </w:p>
        </w:tc>
        <w:tc>
          <w:tcPr>
            <w:tcW w:w="1981" w:type="dxa"/>
            <w:tcBorders>
              <w:tl2br w:val="nil"/>
              <w:tr2bl w:val="nil"/>
            </w:tcBorders>
            <w:shd w:val="clear" w:color="auto" w:fill="auto"/>
            <w:vAlign w:val="center"/>
          </w:tcPr>
          <w:p w14:paraId="6A600A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6.78</w:t>
            </w:r>
          </w:p>
        </w:tc>
      </w:tr>
      <w:tr w14:paraId="531D5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64439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1410.00</w:t>
            </w:r>
          </w:p>
        </w:tc>
        <w:tc>
          <w:tcPr>
            <w:tcW w:w="1979" w:type="dxa"/>
            <w:tcBorders>
              <w:tl2br w:val="nil"/>
              <w:tr2bl w:val="nil"/>
            </w:tcBorders>
            <w:shd w:val="clear" w:color="auto" w:fill="auto"/>
            <w:vAlign w:val="center"/>
          </w:tcPr>
          <w:p w14:paraId="3DAB26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11.75</w:t>
            </w:r>
          </w:p>
        </w:tc>
        <w:tc>
          <w:tcPr>
            <w:tcW w:w="1981" w:type="dxa"/>
            <w:tcBorders>
              <w:tl2br w:val="nil"/>
              <w:tr2bl w:val="nil"/>
            </w:tcBorders>
            <w:shd w:val="clear" w:color="auto" w:fill="auto"/>
            <w:vAlign w:val="center"/>
          </w:tcPr>
          <w:p w14:paraId="01F1AE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6.34</w:t>
            </w:r>
          </w:p>
        </w:tc>
      </w:tr>
      <w:tr w14:paraId="137BD0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372D25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1460.00</w:t>
            </w:r>
          </w:p>
        </w:tc>
        <w:tc>
          <w:tcPr>
            <w:tcW w:w="1979" w:type="dxa"/>
            <w:tcBorders>
              <w:tl2br w:val="nil"/>
              <w:tr2bl w:val="nil"/>
            </w:tcBorders>
            <w:shd w:val="clear" w:color="auto" w:fill="auto"/>
            <w:vAlign w:val="center"/>
          </w:tcPr>
          <w:p w14:paraId="2D58EA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12.17</w:t>
            </w:r>
          </w:p>
        </w:tc>
        <w:tc>
          <w:tcPr>
            <w:tcW w:w="1981" w:type="dxa"/>
            <w:tcBorders>
              <w:tl2br w:val="nil"/>
              <w:tr2bl w:val="nil"/>
            </w:tcBorders>
            <w:shd w:val="clear" w:color="auto" w:fill="auto"/>
            <w:vAlign w:val="center"/>
          </w:tcPr>
          <w:p w14:paraId="4F1263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6.06</w:t>
            </w:r>
          </w:p>
        </w:tc>
      </w:tr>
      <w:tr w14:paraId="775BF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57AE17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1510.00</w:t>
            </w:r>
          </w:p>
        </w:tc>
        <w:tc>
          <w:tcPr>
            <w:tcW w:w="1979" w:type="dxa"/>
            <w:tcBorders>
              <w:tl2br w:val="nil"/>
              <w:tr2bl w:val="nil"/>
            </w:tcBorders>
            <w:shd w:val="clear" w:color="auto" w:fill="auto"/>
            <w:vAlign w:val="center"/>
          </w:tcPr>
          <w:p w14:paraId="5B83DF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12.58</w:t>
            </w:r>
          </w:p>
        </w:tc>
        <w:tc>
          <w:tcPr>
            <w:tcW w:w="1981" w:type="dxa"/>
            <w:tcBorders>
              <w:tl2br w:val="nil"/>
              <w:tr2bl w:val="nil"/>
            </w:tcBorders>
            <w:shd w:val="clear" w:color="auto" w:fill="auto"/>
            <w:vAlign w:val="center"/>
          </w:tcPr>
          <w:p w14:paraId="24DADF3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5.79</w:t>
            </w:r>
          </w:p>
        </w:tc>
      </w:tr>
      <w:tr w14:paraId="036F9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39A0B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1560.00</w:t>
            </w:r>
          </w:p>
        </w:tc>
        <w:tc>
          <w:tcPr>
            <w:tcW w:w="1979" w:type="dxa"/>
            <w:tcBorders>
              <w:tl2br w:val="nil"/>
              <w:tr2bl w:val="nil"/>
            </w:tcBorders>
            <w:shd w:val="clear" w:color="auto" w:fill="auto"/>
            <w:vAlign w:val="center"/>
          </w:tcPr>
          <w:p w14:paraId="6E2D3B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13.00</w:t>
            </w:r>
          </w:p>
        </w:tc>
        <w:tc>
          <w:tcPr>
            <w:tcW w:w="1981" w:type="dxa"/>
            <w:tcBorders>
              <w:tl2br w:val="nil"/>
              <w:tr2bl w:val="nil"/>
            </w:tcBorders>
            <w:shd w:val="clear" w:color="auto" w:fill="auto"/>
            <w:vAlign w:val="center"/>
          </w:tcPr>
          <w:p w14:paraId="6A945D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5.54</w:t>
            </w:r>
          </w:p>
        </w:tc>
      </w:tr>
      <w:tr w14:paraId="0F820F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18227B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1610.00</w:t>
            </w:r>
          </w:p>
        </w:tc>
        <w:tc>
          <w:tcPr>
            <w:tcW w:w="1979" w:type="dxa"/>
            <w:tcBorders>
              <w:tl2br w:val="nil"/>
              <w:tr2bl w:val="nil"/>
            </w:tcBorders>
            <w:shd w:val="clear" w:color="auto" w:fill="auto"/>
            <w:vAlign w:val="center"/>
          </w:tcPr>
          <w:p w14:paraId="7FD0DD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13.42</w:t>
            </w:r>
          </w:p>
        </w:tc>
        <w:tc>
          <w:tcPr>
            <w:tcW w:w="1981" w:type="dxa"/>
            <w:tcBorders>
              <w:tl2br w:val="nil"/>
              <w:tr2bl w:val="nil"/>
            </w:tcBorders>
            <w:shd w:val="clear" w:color="auto" w:fill="auto"/>
            <w:vAlign w:val="center"/>
          </w:tcPr>
          <w:p w14:paraId="063E162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5.32</w:t>
            </w:r>
          </w:p>
        </w:tc>
      </w:tr>
      <w:tr w14:paraId="022D45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272AD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1660.00</w:t>
            </w:r>
          </w:p>
        </w:tc>
        <w:tc>
          <w:tcPr>
            <w:tcW w:w="1979" w:type="dxa"/>
            <w:tcBorders>
              <w:tl2br w:val="nil"/>
              <w:tr2bl w:val="nil"/>
            </w:tcBorders>
            <w:shd w:val="clear" w:color="auto" w:fill="auto"/>
            <w:vAlign w:val="center"/>
          </w:tcPr>
          <w:p w14:paraId="69E1AEB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13.83</w:t>
            </w:r>
          </w:p>
        </w:tc>
        <w:tc>
          <w:tcPr>
            <w:tcW w:w="1981" w:type="dxa"/>
            <w:tcBorders>
              <w:tl2br w:val="nil"/>
              <w:tr2bl w:val="nil"/>
            </w:tcBorders>
            <w:shd w:val="clear" w:color="auto" w:fill="auto"/>
            <w:vAlign w:val="center"/>
          </w:tcPr>
          <w:p w14:paraId="65EA0E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5.10</w:t>
            </w:r>
          </w:p>
        </w:tc>
      </w:tr>
      <w:tr w14:paraId="505F86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7E832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1710.00</w:t>
            </w:r>
          </w:p>
        </w:tc>
        <w:tc>
          <w:tcPr>
            <w:tcW w:w="1979" w:type="dxa"/>
            <w:tcBorders>
              <w:tl2br w:val="nil"/>
              <w:tr2bl w:val="nil"/>
            </w:tcBorders>
            <w:shd w:val="clear" w:color="auto" w:fill="auto"/>
            <w:vAlign w:val="center"/>
          </w:tcPr>
          <w:p w14:paraId="0864C7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14.25</w:t>
            </w:r>
          </w:p>
        </w:tc>
        <w:tc>
          <w:tcPr>
            <w:tcW w:w="1981" w:type="dxa"/>
            <w:tcBorders>
              <w:tl2br w:val="nil"/>
              <w:tr2bl w:val="nil"/>
            </w:tcBorders>
            <w:shd w:val="clear" w:color="auto" w:fill="auto"/>
            <w:vAlign w:val="center"/>
          </w:tcPr>
          <w:p w14:paraId="450305E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4.91</w:t>
            </w:r>
          </w:p>
        </w:tc>
      </w:tr>
      <w:tr w14:paraId="4AD683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D63CA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1760.00</w:t>
            </w:r>
          </w:p>
        </w:tc>
        <w:tc>
          <w:tcPr>
            <w:tcW w:w="1979" w:type="dxa"/>
            <w:tcBorders>
              <w:tl2br w:val="nil"/>
              <w:tr2bl w:val="nil"/>
            </w:tcBorders>
            <w:shd w:val="clear" w:color="auto" w:fill="auto"/>
            <w:vAlign w:val="center"/>
          </w:tcPr>
          <w:p w14:paraId="1B9F70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14.67</w:t>
            </w:r>
          </w:p>
        </w:tc>
        <w:tc>
          <w:tcPr>
            <w:tcW w:w="1981" w:type="dxa"/>
            <w:tcBorders>
              <w:tl2br w:val="nil"/>
              <w:tr2bl w:val="nil"/>
            </w:tcBorders>
            <w:shd w:val="clear" w:color="auto" w:fill="auto"/>
            <w:vAlign w:val="center"/>
          </w:tcPr>
          <w:p w14:paraId="795AE13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4.72</w:t>
            </w:r>
          </w:p>
        </w:tc>
      </w:tr>
      <w:tr w14:paraId="5AE34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9B2EA4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1810.00</w:t>
            </w:r>
          </w:p>
        </w:tc>
        <w:tc>
          <w:tcPr>
            <w:tcW w:w="1979" w:type="dxa"/>
            <w:tcBorders>
              <w:tl2br w:val="nil"/>
              <w:tr2bl w:val="nil"/>
            </w:tcBorders>
            <w:shd w:val="clear" w:color="auto" w:fill="auto"/>
            <w:vAlign w:val="center"/>
          </w:tcPr>
          <w:p w14:paraId="05FB11B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20.08</w:t>
            </w:r>
          </w:p>
        </w:tc>
        <w:tc>
          <w:tcPr>
            <w:tcW w:w="1981" w:type="dxa"/>
            <w:tcBorders>
              <w:tl2br w:val="nil"/>
              <w:tr2bl w:val="nil"/>
            </w:tcBorders>
            <w:shd w:val="clear" w:color="auto" w:fill="auto"/>
            <w:vAlign w:val="center"/>
          </w:tcPr>
          <w:p w14:paraId="636CF60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4.55</w:t>
            </w:r>
          </w:p>
        </w:tc>
      </w:tr>
      <w:tr w14:paraId="5A3AA4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90E6F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1860.00</w:t>
            </w:r>
          </w:p>
        </w:tc>
        <w:tc>
          <w:tcPr>
            <w:tcW w:w="1979" w:type="dxa"/>
            <w:tcBorders>
              <w:tl2br w:val="nil"/>
              <w:tr2bl w:val="nil"/>
            </w:tcBorders>
            <w:shd w:val="clear" w:color="auto" w:fill="auto"/>
            <w:vAlign w:val="center"/>
          </w:tcPr>
          <w:p w14:paraId="2FD763E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20.50</w:t>
            </w:r>
          </w:p>
        </w:tc>
        <w:tc>
          <w:tcPr>
            <w:tcW w:w="1981" w:type="dxa"/>
            <w:tcBorders>
              <w:tl2br w:val="nil"/>
              <w:tr2bl w:val="nil"/>
            </w:tcBorders>
            <w:shd w:val="clear" w:color="auto" w:fill="auto"/>
            <w:vAlign w:val="center"/>
          </w:tcPr>
          <w:p w14:paraId="0105C19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4.38</w:t>
            </w:r>
          </w:p>
        </w:tc>
      </w:tr>
      <w:tr w14:paraId="135D7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CA639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1910.00</w:t>
            </w:r>
          </w:p>
        </w:tc>
        <w:tc>
          <w:tcPr>
            <w:tcW w:w="1979" w:type="dxa"/>
            <w:tcBorders>
              <w:tl2br w:val="nil"/>
              <w:tr2bl w:val="nil"/>
            </w:tcBorders>
            <w:shd w:val="clear" w:color="auto" w:fill="auto"/>
            <w:vAlign w:val="center"/>
          </w:tcPr>
          <w:p w14:paraId="16E2DC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20.92</w:t>
            </w:r>
          </w:p>
        </w:tc>
        <w:tc>
          <w:tcPr>
            <w:tcW w:w="1981" w:type="dxa"/>
            <w:tcBorders>
              <w:tl2br w:val="nil"/>
              <w:tr2bl w:val="nil"/>
            </w:tcBorders>
            <w:shd w:val="clear" w:color="auto" w:fill="auto"/>
            <w:vAlign w:val="center"/>
          </w:tcPr>
          <w:p w14:paraId="3A183A9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4.23</w:t>
            </w:r>
          </w:p>
        </w:tc>
      </w:tr>
      <w:tr w14:paraId="1D7EB4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A107C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1960.00</w:t>
            </w:r>
          </w:p>
        </w:tc>
        <w:tc>
          <w:tcPr>
            <w:tcW w:w="1979" w:type="dxa"/>
            <w:tcBorders>
              <w:tl2br w:val="nil"/>
              <w:tr2bl w:val="nil"/>
            </w:tcBorders>
            <w:shd w:val="clear" w:color="auto" w:fill="auto"/>
            <w:vAlign w:val="center"/>
          </w:tcPr>
          <w:p w14:paraId="43A6EDC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21.33</w:t>
            </w:r>
          </w:p>
        </w:tc>
        <w:tc>
          <w:tcPr>
            <w:tcW w:w="1981" w:type="dxa"/>
            <w:tcBorders>
              <w:tl2br w:val="nil"/>
              <w:tr2bl w:val="nil"/>
            </w:tcBorders>
            <w:shd w:val="clear" w:color="auto" w:fill="auto"/>
            <w:vAlign w:val="center"/>
          </w:tcPr>
          <w:p w14:paraId="038302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4.09</w:t>
            </w:r>
          </w:p>
        </w:tc>
      </w:tr>
      <w:tr w14:paraId="061B2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B209E7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2010.00</w:t>
            </w:r>
          </w:p>
        </w:tc>
        <w:tc>
          <w:tcPr>
            <w:tcW w:w="1979" w:type="dxa"/>
            <w:tcBorders>
              <w:tl2br w:val="nil"/>
              <w:tr2bl w:val="nil"/>
            </w:tcBorders>
            <w:shd w:val="clear" w:color="auto" w:fill="auto"/>
            <w:vAlign w:val="center"/>
          </w:tcPr>
          <w:p w14:paraId="01AE88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21.75</w:t>
            </w:r>
          </w:p>
        </w:tc>
        <w:tc>
          <w:tcPr>
            <w:tcW w:w="1981" w:type="dxa"/>
            <w:tcBorders>
              <w:tl2br w:val="nil"/>
              <w:tr2bl w:val="nil"/>
            </w:tcBorders>
            <w:shd w:val="clear" w:color="auto" w:fill="auto"/>
            <w:vAlign w:val="center"/>
          </w:tcPr>
          <w:p w14:paraId="3A022E5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3.95</w:t>
            </w:r>
          </w:p>
        </w:tc>
      </w:tr>
      <w:tr w14:paraId="53CD1D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EAF53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2060.00</w:t>
            </w:r>
          </w:p>
        </w:tc>
        <w:tc>
          <w:tcPr>
            <w:tcW w:w="1979" w:type="dxa"/>
            <w:tcBorders>
              <w:tl2br w:val="nil"/>
              <w:tr2bl w:val="nil"/>
            </w:tcBorders>
            <w:shd w:val="clear" w:color="auto" w:fill="auto"/>
            <w:vAlign w:val="center"/>
          </w:tcPr>
          <w:p w14:paraId="7268E3F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22.17</w:t>
            </w:r>
          </w:p>
        </w:tc>
        <w:tc>
          <w:tcPr>
            <w:tcW w:w="1981" w:type="dxa"/>
            <w:tcBorders>
              <w:tl2br w:val="nil"/>
              <w:tr2bl w:val="nil"/>
            </w:tcBorders>
            <w:shd w:val="clear" w:color="auto" w:fill="auto"/>
            <w:vAlign w:val="center"/>
          </w:tcPr>
          <w:p w14:paraId="60C9A77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3.83</w:t>
            </w:r>
          </w:p>
        </w:tc>
      </w:tr>
      <w:tr w14:paraId="5D93BF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3E329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2110.00</w:t>
            </w:r>
          </w:p>
        </w:tc>
        <w:tc>
          <w:tcPr>
            <w:tcW w:w="1979" w:type="dxa"/>
            <w:tcBorders>
              <w:tl2br w:val="nil"/>
              <w:tr2bl w:val="nil"/>
            </w:tcBorders>
            <w:shd w:val="clear" w:color="auto" w:fill="auto"/>
            <w:vAlign w:val="center"/>
          </w:tcPr>
          <w:p w14:paraId="561D39B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22.58</w:t>
            </w:r>
          </w:p>
        </w:tc>
        <w:tc>
          <w:tcPr>
            <w:tcW w:w="1981" w:type="dxa"/>
            <w:tcBorders>
              <w:tl2br w:val="nil"/>
              <w:tr2bl w:val="nil"/>
            </w:tcBorders>
            <w:shd w:val="clear" w:color="auto" w:fill="auto"/>
            <w:vAlign w:val="center"/>
          </w:tcPr>
          <w:p w14:paraId="1CA0F8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3.71</w:t>
            </w:r>
          </w:p>
        </w:tc>
      </w:tr>
      <w:tr w14:paraId="126BA7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A4142D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2160.00</w:t>
            </w:r>
          </w:p>
        </w:tc>
        <w:tc>
          <w:tcPr>
            <w:tcW w:w="1979" w:type="dxa"/>
            <w:tcBorders>
              <w:tl2br w:val="nil"/>
              <w:tr2bl w:val="nil"/>
            </w:tcBorders>
            <w:shd w:val="clear" w:color="auto" w:fill="auto"/>
            <w:vAlign w:val="center"/>
          </w:tcPr>
          <w:p w14:paraId="4093DB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23.00</w:t>
            </w:r>
          </w:p>
        </w:tc>
        <w:tc>
          <w:tcPr>
            <w:tcW w:w="1981" w:type="dxa"/>
            <w:tcBorders>
              <w:tl2br w:val="nil"/>
              <w:tr2bl w:val="nil"/>
            </w:tcBorders>
            <w:shd w:val="clear" w:color="auto" w:fill="auto"/>
            <w:vAlign w:val="center"/>
          </w:tcPr>
          <w:p w14:paraId="62E6DF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3.59</w:t>
            </w:r>
          </w:p>
        </w:tc>
      </w:tr>
      <w:tr w14:paraId="1B230D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71EE5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2210.00</w:t>
            </w:r>
          </w:p>
        </w:tc>
        <w:tc>
          <w:tcPr>
            <w:tcW w:w="1979" w:type="dxa"/>
            <w:tcBorders>
              <w:tl2br w:val="nil"/>
              <w:tr2bl w:val="nil"/>
            </w:tcBorders>
            <w:shd w:val="clear" w:color="auto" w:fill="auto"/>
            <w:vAlign w:val="center"/>
          </w:tcPr>
          <w:p w14:paraId="3BA4FE7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23.42</w:t>
            </w:r>
          </w:p>
        </w:tc>
        <w:tc>
          <w:tcPr>
            <w:tcW w:w="1981" w:type="dxa"/>
            <w:tcBorders>
              <w:tl2br w:val="nil"/>
              <w:tr2bl w:val="nil"/>
            </w:tcBorders>
            <w:shd w:val="clear" w:color="auto" w:fill="auto"/>
            <w:vAlign w:val="center"/>
          </w:tcPr>
          <w:p w14:paraId="15BD1C7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3.48</w:t>
            </w:r>
          </w:p>
        </w:tc>
      </w:tr>
      <w:tr w14:paraId="26A40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2FBFF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2260.00</w:t>
            </w:r>
          </w:p>
        </w:tc>
        <w:tc>
          <w:tcPr>
            <w:tcW w:w="1979" w:type="dxa"/>
            <w:tcBorders>
              <w:tl2br w:val="nil"/>
              <w:tr2bl w:val="nil"/>
            </w:tcBorders>
            <w:shd w:val="clear" w:color="auto" w:fill="auto"/>
            <w:vAlign w:val="center"/>
          </w:tcPr>
          <w:p w14:paraId="6D58ABC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23.83</w:t>
            </w:r>
          </w:p>
        </w:tc>
        <w:tc>
          <w:tcPr>
            <w:tcW w:w="1981" w:type="dxa"/>
            <w:tcBorders>
              <w:tl2br w:val="nil"/>
              <w:tr2bl w:val="nil"/>
            </w:tcBorders>
            <w:shd w:val="clear" w:color="auto" w:fill="auto"/>
            <w:vAlign w:val="center"/>
          </w:tcPr>
          <w:p w14:paraId="377547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3.38</w:t>
            </w:r>
          </w:p>
        </w:tc>
      </w:tr>
      <w:tr w14:paraId="1F2D6D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7491A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2310.00</w:t>
            </w:r>
          </w:p>
        </w:tc>
        <w:tc>
          <w:tcPr>
            <w:tcW w:w="1979" w:type="dxa"/>
            <w:tcBorders>
              <w:tl2br w:val="nil"/>
              <w:tr2bl w:val="nil"/>
            </w:tcBorders>
            <w:shd w:val="clear" w:color="auto" w:fill="auto"/>
            <w:vAlign w:val="center"/>
          </w:tcPr>
          <w:p w14:paraId="639566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25.25</w:t>
            </w:r>
          </w:p>
        </w:tc>
        <w:tc>
          <w:tcPr>
            <w:tcW w:w="1981" w:type="dxa"/>
            <w:tcBorders>
              <w:tl2br w:val="nil"/>
              <w:tr2bl w:val="nil"/>
            </w:tcBorders>
            <w:shd w:val="clear" w:color="auto" w:fill="auto"/>
            <w:vAlign w:val="center"/>
          </w:tcPr>
          <w:p w14:paraId="7C5B50B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3.28</w:t>
            </w:r>
          </w:p>
        </w:tc>
      </w:tr>
      <w:tr w14:paraId="2067E3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CA950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2360.00</w:t>
            </w:r>
          </w:p>
        </w:tc>
        <w:tc>
          <w:tcPr>
            <w:tcW w:w="1979" w:type="dxa"/>
            <w:tcBorders>
              <w:tl2br w:val="nil"/>
              <w:tr2bl w:val="nil"/>
            </w:tcBorders>
            <w:shd w:val="clear" w:color="auto" w:fill="auto"/>
            <w:vAlign w:val="center"/>
          </w:tcPr>
          <w:p w14:paraId="4CCF21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25.67</w:t>
            </w:r>
          </w:p>
        </w:tc>
        <w:tc>
          <w:tcPr>
            <w:tcW w:w="1981" w:type="dxa"/>
            <w:tcBorders>
              <w:tl2br w:val="nil"/>
              <w:tr2bl w:val="nil"/>
            </w:tcBorders>
            <w:shd w:val="clear" w:color="auto" w:fill="auto"/>
            <w:vAlign w:val="center"/>
          </w:tcPr>
          <w:p w14:paraId="023C730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3.19</w:t>
            </w:r>
          </w:p>
        </w:tc>
      </w:tr>
      <w:tr w14:paraId="230D53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C9BB2A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2410.00</w:t>
            </w:r>
          </w:p>
        </w:tc>
        <w:tc>
          <w:tcPr>
            <w:tcW w:w="1979" w:type="dxa"/>
            <w:tcBorders>
              <w:tl2br w:val="nil"/>
              <w:tr2bl w:val="nil"/>
            </w:tcBorders>
            <w:shd w:val="clear" w:color="auto" w:fill="auto"/>
            <w:vAlign w:val="center"/>
          </w:tcPr>
          <w:p w14:paraId="55FA96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26.08</w:t>
            </w:r>
          </w:p>
        </w:tc>
        <w:tc>
          <w:tcPr>
            <w:tcW w:w="1981" w:type="dxa"/>
            <w:tcBorders>
              <w:tl2br w:val="nil"/>
              <w:tr2bl w:val="nil"/>
            </w:tcBorders>
            <w:shd w:val="clear" w:color="auto" w:fill="auto"/>
            <w:vAlign w:val="center"/>
          </w:tcPr>
          <w:p w14:paraId="0B50C92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3.10</w:t>
            </w:r>
          </w:p>
        </w:tc>
      </w:tr>
      <w:tr w14:paraId="191967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A9C223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2460.00</w:t>
            </w:r>
          </w:p>
        </w:tc>
        <w:tc>
          <w:tcPr>
            <w:tcW w:w="1979" w:type="dxa"/>
            <w:tcBorders>
              <w:tl2br w:val="nil"/>
              <w:tr2bl w:val="nil"/>
            </w:tcBorders>
            <w:shd w:val="clear" w:color="auto" w:fill="auto"/>
            <w:vAlign w:val="center"/>
          </w:tcPr>
          <w:p w14:paraId="5799526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26.50</w:t>
            </w:r>
          </w:p>
        </w:tc>
        <w:tc>
          <w:tcPr>
            <w:tcW w:w="1981" w:type="dxa"/>
            <w:tcBorders>
              <w:tl2br w:val="nil"/>
              <w:tr2bl w:val="nil"/>
            </w:tcBorders>
            <w:shd w:val="clear" w:color="auto" w:fill="auto"/>
            <w:vAlign w:val="center"/>
          </w:tcPr>
          <w:p w14:paraId="0E38BE9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3.02</w:t>
            </w:r>
          </w:p>
        </w:tc>
      </w:tr>
      <w:tr w14:paraId="493B2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032DD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2510.00</w:t>
            </w:r>
          </w:p>
        </w:tc>
        <w:tc>
          <w:tcPr>
            <w:tcW w:w="1979" w:type="dxa"/>
            <w:tcBorders>
              <w:tl2br w:val="nil"/>
              <w:tr2bl w:val="nil"/>
            </w:tcBorders>
            <w:shd w:val="clear" w:color="auto" w:fill="auto"/>
            <w:vAlign w:val="center"/>
          </w:tcPr>
          <w:p w14:paraId="067EC3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26.92</w:t>
            </w:r>
          </w:p>
        </w:tc>
        <w:tc>
          <w:tcPr>
            <w:tcW w:w="1981" w:type="dxa"/>
            <w:tcBorders>
              <w:tl2br w:val="nil"/>
              <w:tr2bl w:val="nil"/>
            </w:tcBorders>
            <w:shd w:val="clear" w:color="auto" w:fill="auto"/>
            <w:vAlign w:val="center"/>
          </w:tcPr>
          <w:p w14:paraId="5C00D36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2.94</w:t>
            </w:r>
          </w:p>
        </w:tc>
      </w:tr>
      <w:tr w14:paraId="0A5632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1AD504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2560.00</w:t>
            </w:r>
          </w:p>
        </w:tc>
        <w:tc>
          <w:tcPr>
            <w:tcW w:w="1979" w:type="dxa"/>
            <w:tcBorders>
              <w:tl2br w:val="nil"/>
              <w:tr2bl w:val="nil"/>
            </w:tcBorders>
            <w:shd w:val="clear" w:color="auto" w:fill="auto"/>
            <w:vAlign w:val="center"/>
          </w:tcPr>
          <w:p w14:paraId="52685F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27.33</w:t>
            </w:r>
          </w:p>
        </w:tc>
        <w:tc>
          <w:tcPr>
            <w:tcW w:w="1981" w:type="dxa"/>
            <w:tcBorders>
              <w:tl2br w:val="nil"/>
              <w:tr2bl w:val="nil"/>
            </w:tcBorders>
            <w:shd w:val="clear" w:color="auto" w:fill="auto"/>
            <w:vAlign w:val="center"/>
          </w:tcPr>
          <w:p w14:paraId="7CE51B0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2.86</w:t>
            </w:r>
          </w:p>
        </w:tc>
      </w:tr>
      <w:tr w14:paraId="53DB7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EA18EB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2610.00</w:t>
            </w:r>
          </w:p>
        </w:tc>
        <w:tc>
          <w:tcPr>
            <w:tcW w:w="1979" w:type="dxa"/>
            <w:tcBorders>
              <w:tl2br w:val="nil"/>
              <w:tr2bl w:val="nil"/>
            </w:tcBorders>
            <w:shd w:val="clear" w:color="auto" w:fill="auto"/>
            <w:vAlign w:val="center"/>
          </w:tcPr>
          <w:p w14:paraId="24F62B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27.75</w:t>
            </w:r>
          </w:p>
        </w:tc>
        <w:tc>
          <w:tcPr>
            <w:tcW w:w="1981" w:type="dxa"/>
            <w:tcBorders>
              <w:tl2br w:val="nil"/>
              <w:tr2bl w:val="nil"/>
            </w:tcBorders>
            <w:shd w:val="clear" w:color="auto" w:fill="auto"/>
            <w:vAlign w:val="center"/>
          </w:tcPr>
          <w:p w14:paraId="6A0FF10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2.79</w:t>
            </w:r>
          </w:p>
        </w:tc>
      </w:tr>
      <w:tr w14:paraId="4821D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74C675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2660.00</w:t>
            </w:r>
          </w:p>
        </w:tc>
        <w:tc>
          <w:tcPr>
            <w:tcW w:w="1979" w:type="dxa"/>
            <w:tcBorders>
              <w:tl2br w:val="nil"/>
              <w:tr2bl w:val="nil"/>
            </w:tcBorders>
            <w:shd w:val="clear" w:color="auto" w:fill="auto"/>
            <w:vAlign w:val="center"/>
          </w:tcPr>
          <w:p w14:paraId="35880B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28.17</w:t>
            </w:r>
          </w:p>
        </w:tc>
        <w:tc>
          <w:tcPr>
            <w:tcW w:w="1981" w:type="dxa"/>
            <w:tcBorders>
              <w:tl2br w:val="nil"/>
              <w:tr2bl w:val="nil"/>
            </w:tcBorders>
            <w:shd w:val="clear" w:color="auto" w:fill="auto"/>
            <w:vAlign w:val="center"/>
          </w:tcPr>
          <w:p w14:paraId="1784FC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2.72</w:t>
            </w:r>
          </w:p>
        </w:tc>
      </w:tr>
      <w:tr w14:paraId="7FB81C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79F768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2710.00</w:t>
            </w:r>
          </w:p>
        </w:tc>
        <w:tc>
          <w:tcPr>
            <w:tcW w:w="1979" w:type="dxa"/>
            <w:tcBorders>
              <w:tl2br w:val="nil"/>
              <w:tr2bl w:val="nil"/>
            </w:tcBorders>
            <w:shd w:val="clear" w:color="auto" w:fill="auto"/>
            <w:vAlign w:val="center"/>
          </w:tcPr>
          <w:p w14:paraId="54B002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28.58</w:t>
            </w:r>
          </w:p>
        </w:tc>
        <w:tc>
          <w:tcPr>
            <w:tcW w:w="1981" w:type="dxa"/>
            <w:tcBorders>
              <w:tl2br w:val="nil"/>
              <w:tr2bl w:val="nil"/>
            </w:tcBorders>
            <w:shd w:val="clear" w:color="auto" w:fill="auto"/>
            <w:vAlign w:val="center"/>
          </w:tcPr>
          <w:p w14:paraId="36225E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2.65</w:t>
            </w:r>
          </w:p>
        </w:tc>
      </w:tr>
      <w:tr w14:paraId="5168F6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5E77E6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2760.00</w:t>
            </w:r>
          </w:p>
        </w:tc>
        <w:tc>
          <w:tcPr>
            <w:tcW w:w="1979" w:type="dxa"/>
            <w:tcBorders>
              <w:tl2br w:val="nil"/>
              <w:tr2bl w:val="nil"/>
            </w:tcBorders>
            <w:shd w:val="clear" w:color="auto" w:fill="auto"/>
            <w:vAlign w:val="center"/>
          </w:tcPr>
          <w:p w14:paraId="700666B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29.00</w:t>
            </w:r>
          </w:p>
        </w:tc>
        <w:tc>
          <w:tcPr>
            <w:tcW w:w="1981" w:type="dxa"/>
            <w:tcBorders>
              <w:tl2br w:val="nil"/>
              <w:tr2bl w:val="nil"/>
            </w:tcBorders>
            <w:shd w:val="clear" w:color="auto" w:fill="auto"/>
            <w:vAlign w:val="center"/>
          </w:tcPr>
          <w:p w14:paraId="0AD952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2.59</w:t>
            </w:r>
          </w:p>
        </w:tc>
      </w:tr>
      <w:tr w14:paraId="291C51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0B551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2810.00</w:t>
            </w:r>
          </w:p>
        </w:tc>
        <w:tc>
          <w:tcPr>
            <w:tcW w:w="1979" w:type="dxa"/>
            <w:tcBorders>
              <w:tl2br w:val="nil"/>
              <w:tr2bl w:val="nil"/>
            </w:tcBorders>
            <w:shd w:val="clear" w:color="auto" w:fill="auto"/>
            <w:vAlign w:val="center"/>
          </w:tcPr>
          <w:p w14:paraId="18CD039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30.42</w:t>
            </w:r>
          </w:p>
        </w:tc>
        <w:tc>
          <w:tcPr>
            <w:tcW w:w="1981" w:type="dxa"/>
            <w:tcBorders>
              <w:tl2br w:val="nil"/>
              <w:tr2bl w:val="nil"/>
            </w:tcBorders>
            <w:shd w:val="clear" w:color="auto" w:fill="auto"/>
            <w:vAlign w:val="center"/>
          </w:tcPr>
          <w:p w14:paraId="58B872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2.53</w:t>
            </w:r>
          </w:p>
        </w:tc>
      </w:tr>
      <w:tr w14:paraId="2B5407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CD7FED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2860.00</w:t>
            </w:r>
          </w:p>
        </w:tc>
        <w:tc>
          <w:tcPr>
            <w:tcW w:w="1979" w:type="dxa"/>
            <w:tcBorders>
              <w:tl2br w:val="nil"/>
              <w:tr2bl w:val="nil"/>
            </w:tcBorders>
            <w:shd w:val="clear" w:color="auto" w:fill="auto"/>
            <w:vAlign w:val="center"/>
          </w:tcPr>
          <w:p w14:paraId="1C5C399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30.83</w:t>
            </w:r>
          </w:p>
        </w:tc>
        <w:tc>
          <w:tcPr>
            <w:tcW w:w="1981" w:type="dxa"/>
            <w:tcBorders>
              <w:tl2br w:val="nil"/>
              <w:tr2bl w:val="nil"/>
            </w:tcBorders>
            <w:shd w:val="clear" w:color="auto" w:fill="auto"/>
            <w:vAlign w:val="center"/>
          </w:tcPr>
          <w:p w14:paraId="3C095AA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2.47</w:t>
            </w:r>
          </w:p>
        </w:tc>
      </w:tr>
      <w:tr w14:paraId="1732C1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EE48AC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2910.00</w:t>
            </w:r>
          </w:p>
        </w:tc>
        <w:tc>
          <w:tcPr>
            <w:tcW w:w="1979" w:type="dxa"/>
            <w:tcBorders>
              <w:tl2br w:val="nil"/>
              <w:tr2bl w:val="nil"/>
            </w:tcBorders>
            <w:shd w:val="clear" w:color="auto" w:fill="auto"/>
            <w:vAlign w:val="center"/>
          </w:tcPr>
          <w:p w14:paraId="23EB3C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31.25</w:t>
            </w:r>
          </w:p>
        </w:tc>
        <w:tc>
          <w:tcPr>
            <w:tcW w:w="1981" w:type="dxa"/>
            <w:tcBorders>
              <w:tl2br w:val="nil"/>
              <w:tr2bl w:val="nil"/>
            </w:tcBorders>
            <w:shd w:val="clear" w:color="auto" w:fill="auto"/>
            <w:vAlign w:val="center"/>
          </w:tcPr>
          <w:p w14:paraId="240AF3A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2.41</w:t>
            </w:r>
          </w:p>
        </w:tc>
      </w:tr>
      <w:tr w14:paraId="6E1A95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F3307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2960.00</w:t>
            </w:r>
          </w:p>
        </w:tc>
        <w:tc>
          <w:tcPr>
            <w:tcW w:w="1979" w:type="dxa"/>
            <w:tcBorders>
              <w:tl2br w:val="nil"/>
              <w:tr2bl w:val="nil"/>
            </w:tcBorders>
            <w:shd w:val="clear" w:color="auto" w:fill="auto"/>
            <w:vAlign w:val="center"/>
          </w:tcPr>
          <w:p w14:paraId="2C9CF13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31.67</w:t>
            </w:r>
          </w:p>
        </w:tc>
        <w:tc>
          <w:tcPr>
            <w:tcW w:w="1981" w:type="dxa"/>
            <w:tcBorders>
              <w:tl2br w:val="nil"/>
              <w:tr2bl w:val="nil"/>
            </w:tcBorders>
            <w:shd w:val="clear" w:color="auto" w:fill="auto"/>
            <w:vAlign w:val="center"/>
          </w:tcPr>
          <w:p w14:paraId="6110315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2.36</w:t>
            </w:r>
          </w:p>
        </w:tc>
      </w:tr>
      <w:tr w14:paraId="5B1F02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1979" w:type="dxa"/>
            <w:tcBorders>
              <w:tl2br w:val="nil"/>
              <w:tr2bl w:val="nil"/>
            </w:tcBorders>
            <w:shd w:val="clear" w:color="auto" w:fill="auto"/>
            <w:vAlign w:val="center"/>
          </w:tcPr>
          <w:p w14:paraId="6C78D2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3010.00</w:t>
            </w:r>
          </w:p>
        </w:tc>
        <w:tc>
          <w:tcPr>
            <w:tcW w:w="1979" w:type="dxa"/>
            <w:tcBorders>
              <w:tl2br w:val="nil"/>
              <w:tr2bl w:val="nil"/>
            </w:tcBorders>
            <w:shd w:val="clear" w:color="auto" w:fill="auto"/>
            <w:vAlign w:val="center"/>
          </w:tcPr>
          <w:p w14:paraId="31990B2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32.08</w:t>
            </w:r>
          </w:p>
        </w:tc>
        <w:tc>
          <w:tcPr>
            <w:tcW w:w="1981" w:type="dxa"/>
            <w:tcBorders>
              <w:tl2br w:val="nil"/>
              <w:tr2bl w:val="nil"/>
            </w:tcBorders>
            <w:shd w:val="clear" w:color="auto" w:fill="auto"/>
            <w:vAlign w:val="center"/>
          </w:tcPr>
          <w:p w14:paraId="62178FB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2.31</w:t>
            </w:r>
          </w:p>
        </w:tc>
      </w:tr>
      <w:tr w14:paraId="44FCE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E1655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3060.00</w:t>
            </w:r>
          </w:p>
        </w:tc>
        <w:tc>
          <w:tcPr>
            <w:tcW w:w="1979" w:type="dxa"/>
            <w:tcBorders>
              <w:tl2br w:val="nil"/>
              <w:tr2bl w:val="nil"/>
            </w:tcBorders>
            <w:shd w:val="clear" w:color="auto" w:fill="auto"/>
            <w:vAlign w:val="center"/>
          </w:tcPr>
          <w:p w14:paraId="5E146A6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32.50</w:t>
            </w:r>
          </w:p>
        </w:tc>
        <w:tc>
          <w:tcPr>
            <w:tcW w:w="1981" w:type="dxa"/>
            <w:tcBorders>
              <w:tl2br w:val="nil"/>
              <w:tr2bl w:val="nil"/>
            </w:tcBorders>
            <w:shd w:val="clear" w:color="auto" w:fill="auto"/>
            <w:vAlign w:val="center"/>
          </w:tcPr>
          <w:p w14:paraId="7BED60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2.26</w:t>
            </w:r>
          </w:p>
        </w:tc>
      </w:tr>
      <w:tr w14:paraId="16066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81097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3110.00</w:t>
            </w:r>
          </w:p>
        </w:tc>
        <w:tc>
          <w:tcPr>
            <w:tcW w:w="1979" w:type="dxa"/>
            <w:tcBorders>
              <w:tl2br w:val="nil"/>
              <w:tr2bl w:val="nil"/>
            </w:tcBorders>
            <w:shd w:val="clear" w:color="auto" w:fill="auto"/>
            <w:vAlign w:val="center"/>
          </w:tcPr>
          <w:p w14:paraId="6C9B72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32.92</w:t>
            </w:r>
          </w:p>
        </w:tc>
        <w:tc>
          <w:tcPr>
            <w:tcW w:w="1981" w:type="dxa"/>
            <w:tcBorders>
              <w:tl2br w:val="nil"/>
              <w:tr2bl w:val="nil"/>
            </w:tcBorders>
            <w:shd w:val="clear" w:color="auto" w:fill="auto"/>
            <w:vAlign w:val="center"/>
          </w:tcPr>
          <w:p w14:paraId="720EF31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2.21</w:t>
            </w:r>
          </w:p>
        </w:tc>
      </w:tr>
      <w:tr w14:paraId="2F5601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1E7AF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3160.00</w:t>
            </w:r>
          </w:p>
        </w:tc>
        <w:tc>
          <w:tcPr>
            <w:tcW w:w="1979" w:type="dxa"/>
            <w:tcBorders>
              <w:tl2br w:val="nil"/>
              <w:tr2bl w:val="nil"/>
            </w:tcBorders>
            <w:shd w:val="clear" w:color="auto" w:fill="auto"/>
            <w:vAlign w:val="center"/>
          </w:tcPr>
          <w:p w14:paraId="22B997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33.33</w:t>
            </w:r>
          </w:p>
        </w:tc>
        <w:tc>
          <w:tcPr>
            <w:tcW w:w="1981" w:type="dxa"/>
            <w:tcBorders>
              <w:tl2br w:val="nil"/>
              <w:tr2bl w:val="nil"/>
            </w:tcBorders>
            <w:shd w:val="clear" w:color="auto" w:fill="auto"/>
            <w:vAlign w:val="center"/>
          </w:tcPr>
          <w:p w14:paraId="69FBC7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2.16</w:t>
            </w:r>
          </w:p>
        </w:tc>
      </w:tr>
      <w:tr w14:paraId="659EE5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2DECF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3210.00</w:t>
            </w:r>
          </w:p>
        </w:tc>
        <w:tc>
          <w:tcPr>
            <w:tcW w:w="1979" w:type="dxa"/>
            <w:tcBorders>
              <w:tl2br w:val="nil"/>
              <w:tr2bl w:val="nil"/>
            </w:tcBorders>
            <w:shd w:val="clear" w:color="auto" w:fill="auto"/>
            <w:vAlign w:val="center"/>
          </w:tcPr>
          <w:p w14:paraId="7C2A3D2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33.75</w:t>
            </w:r>
          </w:p>
        </w:tc>
        <w:tc>
          <w:tcPr>
            <w:tcW w:w="1981" w:type="dxa"/>
            <w:tcBorders>
              <w:tl2br w:val="nil"/>
              <w:tr2bl w:val="nil"/>
            </w:tcBorders>
            <w:shd w:val="clear" w:color="auto" w:fill="auto"/>
            <w:vAlign w:val="center"/>
          </w:tcPr>
          <w:p w14:paraId="3609A58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2.12</w:t>
            </w:r>
          </w:p>
        </w:tc>
      </w:tr>
      <w:tr w14:paraId="40DB4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1F5D07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3260.00</w:t>
            </w:r>
          </w:p>
        </w:tc>
        <w:tc>
          <w:tcPr>
            <w:tcW w:w="1979" w:type="dxa"/>
            <w:tcBorders>
              <w:tl2br w:val="nil"/>
              <w:tr2bl w:val="nil"/>
            </w:tcBorders>
            <w:shd w:val="clear" w:color="auto" w:fill="auto"/>
            <w:vAlign w:val="center"/>
          </w:tcPr>
          <w:p w14:paraId="49D7D57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34.17</w:t>
            </w:r>
          </w:p>
        </w:tc>
        <w:tc>
          <w:tcPr>
            <w:tcW w:w="1981" w:type="dxa"/>
            <w:tcBorders>
              <w:tl2br w:val="nil"/>
              <w:tr2bl w:val="nil"/>
            </w:tcBorders>
            <w:shd w:val="clear" w:color="auto" w:fill="auto"/>
            <w:vAlign w:val="center"/>
          </w:tcPr>
          <w:p w14:paraId="6EDC80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2.07</w:t>
            </w:r>
          </w:p>
        </w:tc>
      </w:tr>
      <w:tr w14:paraId="0BB67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B25624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3310.00</w:t>
            </w:r>
          </w:p>
        </w:tc>
        <w:tc>
          <w:tcPr>
            <w:tcW w:w="1979" w:type="dxa"/>
            <w:tcBorders>
              <w:tl2br w:val="nil"/>
              <w:tr2bl w:val="nil"/>
            </w:tcBorders>
            <w:shd w:val="clear" w:color="auto" w:fill="auto"/>
            <w:vAlign w:val="center"/>
          </w:tcPr>
          <w:p w14:paraId="6AF01DA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35.58</w:t>
            </w:r>
          </w:p>
        </w:tc>
        <w:tc>
          <w:tcPr>
            <w:tcW w:w="1981" w:type="dxa"/>
            <w:tcBorders>
              <w:tl2br w:val="nil"/>
              <w:tr2bl w:val="nil"/>
            </w:tcBorders>
            <w:shd w:val="clear" w:color="auto" w:fill="auto"/>
            <w:vAlign w:val="center"/>
          </w:tcPr>
          <w:p w14:paraId="271CD8F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2.03</w:t>
            </w:r>
          </w:p>
        </w:tc>
      </w:tr>
      <w:tr w14:paraId="1B5554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B564E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3360.00</w:t>
            </w:r>
          </w:p>
        </w:tc>
        <w:tc>
          <w:tcPr>
            <w:tcW w:w="1979" w:type="dxa"/>
            <w:tcBorders>
              <w:tl2br w:val="nil"/>
              <w:tr2bl w:val="nil"/>
            </w:tcBorders>
            <w:shd w:val="clear" w:color="auto" w:fill="auto"/>
            <w:vAlign w:val="center"/>
          </w:tcPr>
          <w:p w14:paraId="02044E8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36.00</w:t>
            </w:r>
          </w:p>
        </w:tc>
        <w:tc>
          <w:tcPr>
            <w:tcW w:w="1981" w:type="dxa"/>
            <w:tcBorders>
              <w:tl2br w:val="nil"/>
              <w:tr2bl w:val="nil"/>
            </w:tcBorders>
            <w:shd w:val="clear" w:color="auto" w:fill="auto"/>
            <w:vAlign w:val="center"/>
          </w:tcPr>
          <w:p w14:paraId="4A12E9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1.99</w:t>
            </w:r>
          </w:p>
        </w:tc>
      </w:tr>
      <w:tr w14:paraId="253DB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7BC0D4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3410.00</w:t>
            </w:r>
          </w:p>
        </w:tc>
        <w:tc>
          <w:tcPr>
            <w:tcW w:w="1979" w:type="dxa"/>
            <w:tcBorders>
              <w:tl2br w:val="nil"/>
              <w:tr2bl w:val="nil"/>
            </w:tcBorders>
            <w:shd w:val="clear" w:color="auto" w:fill="auto"/>
            <w:vAlign w:val="center"/>
          </w:tcPr>
          <w:p w14:paraId="42EAA83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36.42</w:t>
            </w:r>
          </w:p>
        </w:tc>
        <w:tc>
          <w:tcPr>
            <w:tcW w:w="1981" w:type="dxa"/>
            <w:tcBorders>
              <w:tl2br w:val="nil"/>
              <w:tr2bl w:val="nil"/>
            </w:tcBorders>
            <w:shd w:val="clear" w:color="auto" w:fill="auto"/>
            <w:vAlign w:val="center"/>
          </w:tcPr>
          <w:p w14:paraId="7347443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1.95</w:t>
            </w:r>
          </w:p>
        </w:tc>
      </w:tr>
      <w:tr w14:paraId="21D31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C9E46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3460.00</w:t>
            </w:r>
          </w:p>
        </w:tc>
        <w:tc>
          <w:tcPr>
            <w:tcW w:w="1979" w:type="dxa"/>
            <w:tcBorders>
              <w:tl2br w:val="nil"/>
              <w:tr2bl w:val="nil"/>
            </w:tcBorders>
            <w:shd w:val="clear" w:color="auto" w:fill="auto"/>
            <w:vAlign w:val="center"/>
          </w:tcPr>
          <w:p w14:paraId="3BF267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36.83</w:t>
            </w:r>
          </w:p>
        </w:tc>
        <w:tc>
          <w:tcPr>
            <w:tcW w:w="1981" w:type="dxa"/>
            <w:tcBorders>
              <w:tl2br w:val="nil"/>
              <w:tr2bl w:val="nil"/>
            </w:tcBorders>
            <w:shd w:val="clear" w:color="auto" w:fill="auto"/>
            <w:vAlign w:val="center"/>
          </w:tcPr>
          <w:p w14:paraId="1A69B1C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1.91</w:t>
            </w:r>
          </w:p>
        </w:tc>
      </w:tr>
      <w:tr w14:paraId="18D7B5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7235D4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3510.00</w:t>
            </w:r>
          </w:p>
        </w:tc>
        <w:tc>
          <w:tcPr>
            <w:tcW w:w="1979" w:type="dxa"/>
            <w:tcBorders>
              <w:tl2br w:val="nil"/>
              <w:tr2bl w:val="nil"/>
            </w:tcBorders>
            <w:shd w:val="clear" w:color="auto" w:fill="auto"/>
            <w:vAlign w:val="center"/>
          </w:tcPr>
          <w:p w14:paraId="6BC9980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37.25</w:t>
            </w:r>
          </w:p>
        </w:tc>
        <w:tc>
          <w:tcPr>
            <w:tcW w:w="1981" w:type="dxa"/>
            <w:tcBorders>
              <w:tl2br w:val="nil"/>
              <w:tr2bl w:val="nil"/>
            </w:tcBorders>
            <w:shd w:val="clear" w:color="auto" w:fill="auto"/>
            <w:vAlign w:val="center"/>
          </w:tcPr>
          <w:p w14:paraId="35D274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1.88</w:t>
            </w:r>
          </w:p>
        </w:tc>
      </w:tr>
      <w:tr w14:paraId="78C74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4ED646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3560.00</w:t>
            </w:r>
          </w:p>
        </w:tc>
        <w:tc>
          <w:tcPr>
            <w:tcW w:w="1979" w:type="dxa"/>
            <w:tcBorders>
              <w:tl2br w:val="nil"/>
              <w:tr2bl w:val="nil"/>
            </w:tcBorders>
            <w:shd w:val="clear" w:color="auto" w:fill="auto"/>
            <w:vAlign w:val="center"/>
          </w:tcPr>
          <w:p w14:paraId="6E07221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37.67</w:t>
            </w:r>
          </w:p>
        </w:tc>
        <w:tc>
          <w:tcPr>
            <w:tcW w:w="1981" w:type="dxa"/>
            <w:tcBorders>
              <w:tl2br w:val="nil"/>
              <w:tr2bl w:val="nil"/>
            </w:tcBorders>
            <w:shd w:val="clear" w:color="auto" w:fill="auto"/>
            <w:vAlign w:val="center"/>
          </w:tcPr>
          <w:p w14:paraId="26D2DB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1.84</w:t>
            </w:r>
          </w:p>
        </w:tc>
      </w:tr>
      <w:tr w14:paraId="6B594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3F004F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3610.00</w:t>
            </w:r>
          </w:p>
        </w:tc>
        <w:tc>
          <w:tcPr>
            <w:tcW w:w="1979" w:type="dxa"/>
            <w:tcBorders>
              <w:tl2br w:val="nil"/>
              <w:tr2bl w:val="nil"/>
            </w:tcBorders>
            <w:shd w:val="clear" w:color="auto" w:fill="auto"/>
            <w:vAlign w:val="center"/>
          </w:tcPr>
          <w:p w14:paraId="66D3239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38.08</w:t>
            </w:r>
          </w:p>
        </w:tc>
        <w:tc>
          <w:tcPr>
            <w:tcW w:w="1981" w:type="dxa"/>
            <w:tcBorders>
              <w:tl2br w:val="nil"/>
              <w:tr2bl w:val="nil"/>
            </w:tcBorders>
            <w:shd w:val="clear" w:color="auto" w:fill="auto"/>
            <w:vAlign w:val="center"/>
          </w:tcPr>
          <w:p w14:paraId="47A2421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1.81</w:t>
            </w:r>
          </w:p>
        </w:tc>
      </w:tr>
      <w:tr w14:paraId="6A907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89325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3660.00</w:t>
            </w:r>
          </w:p>
        </w:tc>
        <w:tc>
          <w:tcPr>
            <w:tcW w:w="1979" w:type="dxa"/>
            <w:tcBorders>
              <w:tl2br w:val="nil"/>
              <w:tr2bl w:val="nil"/>
            </w:tcBorders>
            <w:shd w:val="clear" w:color="auto" w:fill="auto"/>
            <w:vAlign w:val="center"/>
          </w:tcPr>
          <w:p w14:paraId="4FF35C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38.50</w:t>
            </w:r>
          </w:p>
        </w:tc>
        <w:tc>
          <w:tcPr>
            <w:tcW w:w="1981" w:type="dxa"/>
            <w:tcBorders>
              <w:tl2br w:val="nil"/>
              <w:tr2bl w:val="nil"/>
            </w:tcBorders>
            <w:shd w:val="clear" w:color="auto" w:fill="auto"/>
            <w:vAlign w:val="center"/>
          </w:tcPr>
          <w:p w14:paraId="0F8308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1.78</w:t>
            </w:r>
          </w:p>
        </w:tc>
      </w:tr>
      <w:tr w14:paraId="66E4D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347666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3710.00</w:t>
            </w:r>
          </w:p>
        </w:tc>
        <w:tc>
          <w:tcPr>
            <w:tcW w:w="1979" w:type="dxa"/>
            <w:tcBorders>
              <w:tl2br w:val="nil"/>
              <w:tr2bl w:val="nil"/>
            </w:tcBorders>
            <w:shd w:val="clear" w:color="auto" w:fill="auto"/>
            <w:vAlign w:val="center"/>
          </w:tcPr>
          <w:p w14:paraId="4F2F15A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38.92</w:t>
            </w:r>
          </w:p>
        </w:tc>
        <w:tc>
          <w:tcPr>
            <w:tcW w:w="1981" w:type="dxa"/>
            <w:tcBorders>
              <w:tl2br w:val="nil"/>
              <w:tr2bl w:val="nil"/>
            </w:tcBorders>
            <w:shd w:val="clear" w:color="auto" w:fill="auto"/>
            <w:vAlign w:val="center"/>
          </w:tcPr>
          <w:p w14:paraId="46320A7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1.74</w:t>
            </w:r>
          </w:p>
        </w:tc>
      </w:tr>
      <w:tr w14:paraId="5BE6C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CF9C39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3760.00</w:t>
            </w:r>
          </w:p>
        </w:tc>
        <w:tc>
          <w:tcPr>
            <w:tcW w:w="1979" w:type="dxa"/>
            <w:tcBorders>
              <w:tl2br w:val="nil"/>
              <w:tr2bl w:val="nil"/>
            </w:tcBorders>
            <w:shd w:val="clear" w:color="auto" w:fill="auto"/>
            <w:vAlign w:val="center"/>
          </w:tcPr>
          <w:p w14:paraId="1D15BE5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39.33</w:t>
            </w:r>
          </w:p>
        </w:tc>
        <w:tc>
          <w:tcPr>
            <w:tcW w:w="1981" w:type="dxa"/>
            <w:tcBorders>
              <w:tl2br w:val="nil"/>
              <w:tr2bl w:val="nil"/>
            </w:tcBorders>
            <w:shd w:val="clear" w:color="auto" w:fill="auto"/>
            <w:vAlign w:val="center"/>
          </w:tcPr>
          <w:p w14:paraId="17ED6A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1.71</w:t>
            </w:r>
          </w:p>
        </w:tc>
      </w:tr>
      <w:tr w14:paraId="4DD51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6AD80C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3810.00</w:t>
            </w:r>
          </w:p>
        </w:tc>
        <w:tc>
          <w:tcPr>
            <w:tcW w:w="1979" w:type="dxa"/>
            <w:tcBorders>
              <w:tl2br w:val="nil"/>
              <w:tr2bl w:val="nil"/>
            </w:tcBorders>
            <w:shd w:val="clear" w:color="auto" w:fill="auto"/>
            <w:vAlign w:val="center"/>
          </w:tcPr>
          <w:p w14:paraId="5E5F14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39.75</w:t>
            </w:r>
          </w:p>
        </w:tc>
        <w:tc>
          <w:tcPr>
            <w:tcW w:w="1981" w:type="dxa"/>
            <w:tcBorders>
              <w:tl2br w:val="nil"/>
              <w:tr2bl w:val="nil"/>
            </w:tcBorders>
            <w:shd w:val="clear" w:color="auto" w:fill="auto"/>
            <w:vAlign w:val="center"/>
          </w:tcPr>
          <w:p w14:paraId="56DA8B1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1.68</w:t>
            </w:r>
          </w:p>
        </w:tc>
      </w:tr>
      <w:tr w14:paraId="770E3A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9344F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3860.00</w:t>
            </w:r>
          </w:p>
        </w:tc>
        <w:tc>
          <w:tcPr>
            <w:tcW w:w="1979" w:type="dxa"/>
            <w:tcBorders>
              <w:tl2br w:val="nil"/>
              <w:tr2bl w:val="nil"/>
            </w:tcBorders>
            <w:shd w:val="clear" w:color="auto" w:fill="auto"/>
            <w:vAlign w:val="center"/>
          </w:tcPr>
          <w:p w14:paraId="1FEBC5E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39.17</w:t>
            </w:r>
          </w:p>
        </w:tc>
        <w:tc>
          <w:tcPr>
            <w:tcW w:w="1981" w:type="dxa"/>
            <w:tcBorders>
              <w:tl2br w:val="nil"/>
              <w:tr2bl w:val="nil"/>
            </w:tcBorders>
            <w:shd w:val="clear" w:color="auto" w:fill="auto"/>
            <w:vAlign w:val="center"/>
          </w:tcPr>
          <w:p w14:paraId="449807A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1.65</w:t>
            </w:r>
          </w:p>
        </w:tc>
      </w:tr>
      <w:tr w14:paraId="09E2D3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FDC31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3910.00</w:t>
            </w:r>
          </w:p>
        </w:tc>
        <w:tc>
          <w:tcPr>
            <w:tcW w:w="1979" w:type="dxa"/>
            <w:tcBorders>
              <w:tl2br w:val="nil"/>
              <w:tr2bl w:val="nil"/>
            </w:tcBorders>
            <w:shd w:val="clear" w:color="auto" w:fill="auto"/>
            <w:vAlign w:val="center"/>
          </w:tcPr>
          <w:p w14:paraId="1B4305F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39.58</w:t>
            </w:r>
          </w:p>
        </w:tc>
        <w:tc>
          <w:tcPr>
            <w:tcW w:w="1981" w:type="dxa"/>
            <w:tcBorders>
              <w:tl2br w:val="nil"/>
              <w:tr2bl w:val="nil"/>
            </w:tcBorders>
            <w:shd w:val="clear" w:color="auto" w:fill="auto"/>
            <w:vAlign w:val="center"/>
          </w:tcPr>
          <w:p w14:paraId="7092F11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1.63</w:t>
            </w:r>
          </w:p>
        </w:tc>
      </w:tr>
      <w:tr w14:paraId="6A2C9E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005FF2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3960.00</w:t>
            </w:r>
          </w:p>
        </w:tc>
        <w:tc>
          <w:tcPr>
            <w:tcW w:w="1979" w:type="dxa"/>
            <w:tcBorders>
              <w:tl2br w:val="nil"/>
              <w:tr2bl w:val="nil"/>
            </w:tcBorders>
            <w:shd w:val="clear" w:color="auto" w:fill="auto"/>
            <w:vAlign w:val="center"/>
          </w:tcPr>
          <w:p w14:paraId="6B6B794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40.00</w:t>
            </w:r>
          </w:p>
        </w:tc>
        <w:tc>
          <w:tcPr>
            <w:tcW w:w="1981" w:type="dxa"/>
            <w:tcBorders>
              <w:tl2br w:val="nil"/>
              <w:tr2bl w:val="nil"/>
            </w:tcBorders>
            <w:shd w:val="clear" w:color="auto" w:fill="auto"/>
            <w:vAlign w:val="center"/>
          </w:tcPr>
          <w:p w14:paraId="3B22913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1.60</w:t>
            </w:r>
          </w:p>
        </w:tc>
      </w:tr>
      <w:tr w14:paraId="0D8EC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AAA1E1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4010.00</w:t>
            </w:r>
          </w:p>
        </w:tc>
        <w:tc>
          <w:tcPr>
            <w:tcW w:w="1979" w:type="dxa"/>
            <w:tcBorders>
              <w:tl2br w:val="nil"/>
              <w:tr2bl w:val="nil"/>
            </w:tcBorders>
            <w:shd w:val="clear" w:color="auto" w:fill="auto"/>
            <w:vAlign w:val="center"/>
          </w:tcPr>
          <w:p w14:paraId="1E6A448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40.42</w:t>
            </w:r>
          </w:p>
        </w:tc>
        <w:tc>
          <w:tcPr>
            <w:tcW w:w="1981" w:type="dxa"/>
            <w:tcBorders>
              <w:tl2br w:val="nil"/>
              <w:tr2bl w:val="nil"/>
            </w:tcBorders>
            <w:shd w:val="clear" w:color="auto" w:fill="auto"/>
            <w:vAlign w:val="center"/>
          </w:tcPr>
          <w:p w14:paraId="73FC1E2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1.57</w:t>
            </w:r>
          </w:p>
        </w:tc>
      </w:tr>
      <w:tr w14:paraId="57B247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0" w:hRule="atLeast"/>
          <w:jc w:val="center"/>
        </w:trPr>
        <w:tc>
          <w:tcPr>
            <w:tcW w:w="1979" w:type="dxa"/>
            <w:tcBorders>
              <w:tl2br w:val="nil"/>
              <w:tr2bl w:val="nil"/>
            </w:tcBorders>
            <w:shd w:val="clear" w:color="auto" w:fill="auto"/>
            <w:vAlign w:val="center"/>
          </w:tcPr>
          <w:p w14:paraId="5D19B0A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4060.00</w:t>
            </w:r>
          </w:p>
        </w:tc>
        <w:tc>
          <w:tcPr>
            <w:tcW w:w="1979" w:type="dxa"/>
            <w:tcBorders>
              <w:tl2br w:val="nil"/>
              <w:tr2bl w:val="nil"/>
            </w:tcBorders>
            <w:shd w:val="clear" w:color="auto" w:fill="auto"/>
            <w:vAlign w:val="center"/>
          </w:tcPr>
          <w:p w14:paraId="5E09E2F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40.83</w:t>
            </w:r>
          </w:p>
        </w:tc>
        <w:tc>
          <w:tcPr>
            <w:tcW w:w="1981" w:type="dxa"/>
            <w:tcBorders>
              <w:tl2br w:val="nil"/>
              <w:tr2bl w:val="nil"/>
            </w:tcBorders>
            <w:shd w:val="clear" w:color="auto" w:fill="auto"/>
            <w:vAlign w:val="center"/>
          </w:tcPr>
          <w:p w14:paraId="5DE3EA4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1.55</w:t>
            </w:r>
          </w:p>
        </w:tc>
      </w:tr>
      <w:tr w14:paraId="304E3B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5DC04C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4110.00</w:t>
            </w:r>
          </w:p>
        </w:tc>
        <w:tc>
          <w:tcPr>
            <w:tcW w:w="1979" w:type="dxa"/>
            <w:tcBorders>
              <w:tl2br w:val="nil"/>
              <w:tr2bl w:val="nil"/>
            </w:tcBorders>
            <w:shd w:val="clear" w:color="auto" w:fill="auto"/>
            <w:vAlign w:val="center"/>
          </w:tcPr>
          <w:p w14:paraId="0A89FD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41.25</w:t>
            </w:r>
          </w:p>
        </w:tc>
        <w:tc>
          <w:tcPr>
            <w:tcW w:w="1981" w:type="dxa"/>
            <w:tcBorders>
              <w:tl2br w:val="nil"/>
              <w:tr2bl w:val="nil"/>
            </w:tcBorders>
            <w:shd w:val="clear" w:color="auto" w:fill="auto"/>
            <w:vAlign w:val="center"/>
          </w:tcPr>
          <w:p w14:paraId="0B78712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1.52</w:t>
            </w:r>
          </w:p>
        </w:tc>
      </w:tr>
      <w:tr w14:paraId="6C875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680FF8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4160.00</w:t>
            </w:r>
          </w:p>
        </w:tc>
        <w:tc>
          <w:tcPr>
            <w:tcW w:w="1979" w:type="dxa"/>
            <w:tcBorders>
              <w:tl2br w:val="nil"/>
              <w:tr2bl w:val="nil"/>
            </w:tcBorders>
            <w:shd w:val="clear" w:color="auto" w:fill="auto"/>
            <w:vAlign w:val="center"/>
          </w:tcPr>
          <w:p w14:paraId="6845C8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41.67</w:t>
            </w:r>
          </w:p>
        </w:tc>
        <w:tc>
          <w:tcPr>
            <w:tcW w:w="1981" w:type="dxa"/>
            <w:tcBorders>
              <w:tl2br w:val="nil"/>
              <w:tr2bl w:val="nil"/>
            </w:tcBorders>
            <w:shd w:val="clear" w:color="auto" w:fill="auto"/>
            <w:vAlign w:val="center"/>
          </w:tcPr>
          <w:p w14:paraId="74CACCC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1.50</w:t>
            </w:r>
          </w:p>
        </w:tc>
      </w:tr>
      <w:tr w14:paraId="6CF6B9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19865E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4210.00</w:t>
            </w:r>
          </w:p>
        </w:tc>
        <w:tc>
          <w:tcPr>
            <w:tcW w:w="1979" w:type="dxa"/>
            <w:tcBorders>
              <w:tl2br w:val="nil"/>
              <w:tr2bl w:val="nil"/>
            </w:tcBorders>
            <w:shd w:val="clear" w:color="auto" w:fill="auto"/>
            <w:vAlign w:val="center"/>
          </w:tcPr>
          <w:p w14:paraId="5FA05C2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42.08</w:t>
            </w:r>
          </w:p>
        </w:tc>
        <w:tc>
          <w:tcPr>
            <w:tcW w:w="1981" w:type="dxa"/>
            <w:tcBorders>
              <w:tl2br w:val="nil"/>
              <w:tr2bl w:val="nil"/>
            </w:tcBorders>
            <w:shd w:val="clear" w:color="auto" w:fill="auto"/>
            <w:vAlign w:val="center"/>
          </w:tcPr>
          <w:p w14:paraId="73CB77B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1.47</w:t>
            </w:r>
          </w:p>
        </w:tc>
      </w:tr>
      <w:tr w14:paraId="3C8C3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630EDA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4260.00</w:t>
            </w:r>
          </w:p>
        </w:tc>
        <w:tc>
          <w:tcPr>
            <w:tcW w:w="1979" w:type="dxa"/>
            <w:tcBorders>
              <w:tl2br w:val="nil"/>
              <w:tr2bl w:val="nil"/>
            </w:tcBorders>
            <w:shd w:val="clear" w:color="auto" w:fill="auto"/>
            <w:vAlign w:val="center"/>
          </w:tcPr>
          <w:p w14:paraId="2F3DC99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42.50</w:t>
            </w:r>
          </w:p>
        </w:tc>
        <w:tc>
          <w:tcPr>
            <w:tcW w:w="1981" w:type="dxa"/>
            <w:tcBorders>
              <w:tl2br w:val="nil"/>
              <w:tr2bl w:val="nil"/>
            </w:tcBorders>
            <w:shd w:val="clear" w:color="auto" w:fill="auto"/>
            <w:vAlign w:val="center"/>
          </w:tcPr>
          <w:p w14:paraId="378F290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1.45</w:t>
            </w:r>
          </w:p>
        </w:tc>
      </w:tr>
      <w:tr w14:paraId="325F7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228AD8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4310.00</w:t>
            </w:r>
          </w:p>
        </w:tc>
        <w:tc>
          <w:tcPr>
            <w:tcW w:w="1979" w:type="dxa"/>
            <w:tcBorders>
              <w:tl2br w:val="nil"/>
              <w:tr2bl w:val="nil"/>
            </w:tcBorders>
            <w:shd w:val="clear" w:color="auto" w:fill="auto"/>
            <w:vAlign w:val="center"/>
          </w:tcPr>
          <w:p w14:paraId="476AF4D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42.92</w:t>
            </w:r>
          </w:p>
        </w:tc>
        <w:tc>
          <w:tcPr>
            <w:tcW w:w="1981" w:type="dxa"/>
            <w:tcBorders>
              <w:tl2br w:val="nil"/>
              <w:tr2bl w:val="nil"/>
            </w:tcBorders>
            <w:shd w:val="clear" w:color="auto" w:fill="auto"/>
            <w:vAlign w:val="center"/>
          </w:tcPr>
          <w:p w14:paraId="37FE530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1.43</w:t>
            </w:r>
          </w:p>
        </w:tc>
      </w:tr>
      <w:tr w14:paraId="51ED0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0C3F2D4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4360.00</w:t>
            </w:r>
          </w:p>
        </w:tc>
        <w:tc>
          <w:tcPr>
            <w:tcW w:w="1979" w:type="dxa"/>
            <w:tcBorders>
              <w:tl2br w:val="nil"/>
              <w:tr2bl w:val="nil"/>
            </w:tcBorders>
            <w:shd w:val="clear" w:color="auto" w:fill="auto"/>
            <w:vAlign w:val="center"/>
          </w:tcPr>
          <w:p w14:paraId="6450B6D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43.33</w:t>
            </w:r>
          </w:p>
        </w:tc>
        <w:tc>
          <w:tcPr>
            <w:tcW w:w="1981" w:type="dxa"/>
            <w:tcBorders>
              <w:tl2br w:val="nil"/>
              <w:tr2bl w:val="nil"/>
            </w:tcBorders>
            <w:shd w:val="clear" w:color="auto" w:fill="auto"/>
            <w:vAlign w:val="center"/>
          </w:tcPr>
          <w:p w14:paraId="4D62A80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1.40</w:t>
            </w:r>
          </w:p>
        </w:tc>
      </w:tr>
      <w:tr w14:paraId="68C525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B2221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4410.00</w:t>
            </w:r>
          </w:p>
        </w:tc>
        <w:tc>
          <w:tcPr>
            <w:tcW w:w="1979" w:type="dxa"/>
            <w:tcBorders>
              <w:tl2br w:val="nil"/>
              <w:tr2bl w:val="nil"/>
            </w:tcBorders>
            <w:shd w:val="clear" w:color="auto" w:fill="auto"/>
            <w:vAlign w:val="center"/>
          </w:tcPr>
          <w:p w14:paraId="08D5F6F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43.75</w:t>
            </w:r>
          </w:p>
        </w:tc>
        <w:tc>
          <w:tcPr>
            <w:tcW w:w="1981" w:type="dxa"/>
            <w:tcBorders>
              <w:tl2br w:val="nil"/>
              <w:tr2bl w:val="nil"/>
            </w:tcBorders>
            <w:shd w:val="clear" w:color="auto" w:fill="auto"/>
            <w:vAlign w:val="center"/>
          </w:tcPr>
          <w:p w14:paraId="16DD2AA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1.38</w:t>
            </w:r>
          </w:p>
        </w:tc>
      </w:tr>
      <w:tr w14:paraId="3B1DC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5BD753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4460.00</w:t>
            </w:r>
          </w:p>
        </w:tc>
        <w:tc>
          <w:tcPr>
            <w:tcW w:w="1979" w:type="dxa"/>
            <w:tcBorders>
              <w:tl2br w:val="nil"/>
              <w:tr2bl w:val="nil"/>
            </w:tcBorders>
            <w:shd w:val="clear" w:color="auto" w:fill="auto"/>
            <w:vAlign w:val="center"/>
          </w:tcPr>
          <w:p w14:paraId="2224410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44.17</w:t>
            </w:r>
          </w:p>
        </w:tc>
        <w:tc>
          <w:tcPr>
            <w:tcW w:w="1981" w:type="dxa"/>
            <w:tcBorders>
              <w:tl2br w:val="nil"/>
              <w:tr2bl w:val="nil"/>
            </w:tcBorders>
            <w:shd w:val="clear" w:color="auto" w:fill="auto"/>
            <w:vAlign w:val="center"/>
          </w:tcPr>
          <w:p w14:paraId="3CF0755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1.36</w:t>
            </w:r>
          </w:p>
        </w:tc>
      </w:tr>
      <w:tr w14:paraId="2BD91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C08C68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4510.00</w:t>
            </w:r>
          </w:p>
        </w:tc>
        <w:tc>
          <w:tcPr>
            <w:tcW w:w="1979" w:type="dxa"/>
            <w:tcBorders>
              <w:tl2br w:val="nil"/>
              <w:tr2bl w:val="nil"/>
            </w:tcBorders>
            <w:shd w:val="clear" w:color="auto" w:fill="auto"/>
            <w:vAlign w:val="center"/>
          </w:tcPr>
          <w:p w14:paraId="5BF34A3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44.58</w:t>
            </w:r>
          </w:p>
        </w:tc>
        <w:tc>
          <w:tcPr>
            <w:tcW w:w="1981" w:type="dxa"/>
            <w:tcBorders>
              <w:tl2br w:val="nil"/>
              <w:tr2bl w:val="nil"/>
            </w:tcBorders>
            <w:shd w:val="clear" w:color="auto" w:fill="auto"/>
            <w:vAlign w:val="center"/>
          </w:tcPr>
          <w:p w14:paraId="6FAE6A9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1.34</w:t>
            </w:r>
          </w:p>
        </w:tc>
      </w:tr>
      <w:tr w14:paraId="47C5BE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250BF31">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4560.00</w:t>
            </w:r>
          </w:p>
        </w:tc>
        <w:tc>
          <w:tcPr>
            <w:tcW w:w="1979" w:type="dxa"/>
            <w:tcBorders>
              <w:tl2br w:val="nil"/>
              <w:tr2bl w:val="nil"/>
            </w:tcBorders>
            <w:shd w:val="clear" w:color="auto" w:fill="auto"/>
            <w:vAlign w:val="center"/>
          </w:tcPr>
          <w:p w14:paraId="5ACAF4E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45.00</w:t>
            </w:r>
          </w:p>
        </w:tc>
        <w:tc>
          <w:tcPr>
            <w:tcW w:w="1981" w:type="dxa"/>
            <w:tcBorders>
              <w:tl2br w:val="nil"/>
              <w:tr2bl w:val="nil"/>
            </w:tcBorders>
            <w:shd w:val="clear" w:color="auto" w:fill="auto"/>
            <w:vAlign w:val="center"/>
          </w:tcPr>
          <w:p w14:paraId="33AEAFD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1.32</w:t>
            </w:r>
          </w:p>
        </w:tc>
      </w:tr>
      <w:tr w14:paraId="280C4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7D2B30D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4610.00</w:t>
            </w:r>
          </w:p>
        </w:tc>
        <w:tc>
          <w:tcPr>
            <w:tcW w:w="1979" w:type="dxa"/>
            <w:tcBorders>
              <w:tl2br w:val="nil"/>
              <w:tr2bl w:val="nil"/>
            </w:tcBorders>
            <w:shd w:val="clear" w:color="auto" w:fill="auto"/>
            <w:vAlign w:val="center"/>
          </w:tcPr>
          <w:p w14:paraId="7ABC98A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45.42</w:t>
            </w:r>
          </w:p>
        </w:tc>
        <w:tc>
          <w:tcPr>
            <w:tcW w:w="1981" w:type="dxa"/>
            <w:tcBorders>
              <w:tl2br w:val="nil"/>
              <w:tr2bl w:val="nil"/>
            </w:tcBorders>
            <w:shd w:val="clear" w:color="auto" w:fill="auto"/>
            <w:vAlign w:val="center"/>
          </w:tcPr>
          <w:p w14:paraId="4F81DB8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1.30</w:t>
            </w:r>
          </w:p>
        </w:tc>
      </w:tr>
      <w:tr w14:paraId="52D2A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64525BD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4660.00</w:t>
            </w:r>
          </w:p>
        </w:tc>
        <w:tc>
          <w:tcPr>
            <w:tcW w:w="1979" w:type="dxa"/>
            <w:tcBorders>
              <w:tl2br w:val="nil"/>
              <w:tr2bl w:val="nil"/>
            </w:tcBorders>
            <w:shd w:val="clear" w:color="auto" w:fill="auto"/>
            <w:vAlign w:val="center"/>
          </w:tcPr>
          <w:p w14:paraId="358AF06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45.83</w:t>
            </w:r>
          </w:p>
        </w:tc>
        <w:tc>
          <w:tcPr>
            <w:tcW w:w="1981" w:type="dxa"/>
            <w:tcBorders>
              <w:tl2br w:val="nil"/>
              <w:tr2bl w:val="nil"/>
            </w:tcBorders>
            <w:shd w:val="clear" w:color="auto" w:fill="auto"/>
            <w:vAlign w:val="center"/>
          </w:tcPr>
          <w:p w14:paraId="2924AB6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1.28</w:t>
            </w:r>
          </w:p>
        </w:tc>
      </w:tr>
      <w:tr w14:paraId="0994DC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16E2C7C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4710.00</w:t>
            </w:r>
          </w:p>
        </w:tc>
        <w:tc>
          <w:tcPr>
            <w:tcW w:w="1979" w:type="dxa"/>
            <w:tcBorders>
              <w:tl2br w:val="nil"/>
              <w:tr2bl w:val="nil"/>
            </w:tcBorders>
            <w:shd w:val="clear" w:color="auto" w:fill="auto"/>
            <w:vAlign w:val="center"/>
          </w:tcPr>
          <w:p w14:paraId="5939445D">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46.25</w:t>
            </w:r>
          </w:p>
        </w:tc>
        <w:tc>
          <w:tcPr>
            <w:tcW w:w="1981" w:type="dxa"/>
            <w:tcBorders>
              <w:tl2br w:val="nil"/>
              <w:tr2bl w:val="nil"/>
            </w:tcBorders>
            <w:shd w:val="clear" w:color="auto" w:fill="auto"/>
            <w:vAlign w:val="center"/>
          </w:tcPr>
          <w:p w14:paraId="6E26B0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1.27</w:t>
            </w:r>
          </w:p>
        </w:tc>
      </w:tr>
      <w:tr w14:paraId="69EC65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9AA9539">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4760.00</w:t>
            </w:r>
          </w:p>
        </w:tc>
        <w:tc>
          <w:tcPr>
            <w:tcW w:w="1979" w:type="dxa"/>
            <w:tcBorders>
              <w:tl2br w:val="nil"/>
              <w:tr2bl w:val="nil"/>
            </w:tcBorders>
            <w:shd w:val="clear" w:color="auto" w:fill="auto"/>
            <w:vAlign w:val="center"/>
          </w:tcPr>
          <w:p w14:paraId="6A49EE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46.67</w:t>
            </w:r>
          </w:p>
        </w:tc>
        <w:tc>
          <w:tcPr>
            <w:tcW w:w="1981" w:type="dxa"/>
            <w:tcBorders>
              <w:tl2br w:val="nil"/>
              <w:tr2bl w:val="nil"/>
            </w:tcBorders>
            <w:shd w:val="clear" w:color="auto" w:fill="auto"/>
            <w:vAlign w:val="center"/>
          </w:tcPr>
          <w:p w14:paraId="019E68C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1.25</w:t>
            </w:r>
          </w:p>
        </w:tc>
      </w:tr>
      <w:tr w14:paraId="47664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25FD399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4810.00</w:t>
            </w:r>
          </w:p>
        </w:tc>
        <w:tc>
          <w:tcPr>
            <w:tcW w:w="1979" w:type="dxa"/>
            <w:tcBorders>
              <w:tl2br w:val="nil"/>
              <w:tr2bl w:val="nil"/>
            </w:tcBorders>
            <w:shd w:val="clear" w:color="auto" w:fill="auto"/>
            <w:vAlign w:val="center"/>
          </w:tcPr>
          <w:p w14:paraId="2D1EBE7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47.08</w:t>
            </w:r>
          </w:p>
        </w:tc>
        <w:tc>
          <w:tcPr>
            <w:tcW w:w="1981" w:type="dxa"/>
            <w:tcBorders>
              <w:tl2br w:val="nil"/>
              <w:tr2bl w:val="nil"/>
            </w:tcBorders>
            <w:shd w:val="clear" w:color="auto" w:fill="auto"/>
            <w:vAlign w:val="center"/>
          </w:tcPr>
          <w:p w14:paraId="13848CB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1.23</w:t>
            </w:r>
          </w:p>
        </w:tc>
      </w:tr>
      <w:tr w14:paraId="49791F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33FF45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4860.00</w:t>
            </w:r>
          </w:p>
        </w:tc>
        <w:tc>
          <w:tcPr>
            <w:tcW w:w="1979" w:type="dxa"/>
            <w:tcBorders>
              <w:tl2br w:val="nil"/>
              <w:tr2bl w:val="nil"/>
            </w:tcBorders>
            <w:shd w:val="clear" w:color="auto" w:fill="auto"/>
            <w:vAlign w:val="center"/>
          </w:tcPr>
          <w:p w14:paraId="323655C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47.50</w:t>
            </w:r>
          </w:p>
        </w:tc>
        <w:tc>
          <w:tcPr>
            <w:tcW w:w="1981" w:type="dxa"/>
            <w:tcBorders>
              <w:tl2br w:val="nil"/>
              <w:tr2bl w:val="nil"/>
            </w:tcBorders>
            <w:shd w:val="clear" w:color="auto" w:fill="auto"/>
            <w:vAlign w:val="center"/>
          </w:tcPr>
          <w:p w14:paraId="6228CEA8">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1.21</w:t>
            </w:r>
          </w:p>
        </w:tc>
      </w:tr>
      <w:tr w14:paraId="71E751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4673B5E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4910.00</w:t>
            </w:r>
          </w:p>
        </w:tc>
        <w:tc>
          <w:tcPr>
            <w:tcW w:w="1979" w:type="dxa"/>
            <w:tcBorders>
              <w:tl2br w:val="nil"/>
              <w:tr2bl w:val="nil"/>
            </w:tcBorders>
            <w:shd w:val="clear" w:color="auto" w:fill="auto"/>
            <w:vAlign w:val="center"/>
          </w:tcPr>
          <w:p w14:paraId="4BADDA1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47.92</w:t>
            </w:r>
          </w:p>
        </w:tc>
        <w:tc>
          <w:tcPr>
            <w:tcW w:w="1981" w:type="dxa"/>
            <w:tcBorders>
              <w:tl2br w:val="nil"/>
              <w:tr2bl w:val="nil"/>
            </w:tcBorders>
            <w:shd w:val="clear" w:color="auto" w:fill="auto"/>
            <w:vAlign w:val="center"/>
          </w:tcPr>
          <w:p w14:paraId="09AFD355">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1.20</w:t>
            </w:r>
          </w:p>
        </w:tc>
      </w:tr>
      <w:tr w14:paraId="68A9EF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90" w:hRule="atLeast"/>
          <w:jc w:val="center"/>
        </w:trPr>
        <w:tc>
          <w:tcPr>
            <w:tcW w:w="1979" w:type="dxa"/>
            <w:tcBorders>
              <w:tl2br w:val="nil"/>
              <w:tr2bl w:val="nil"/>
            </w:tcBorders>
            <w:shd w:val="clear" w:color="auto" w:fill="auto"/>
            <w:vAlign w:val="center"/>
          </w:tcPr>
          <w:p w14:paraId="55DCACBF">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4960.00</w:t>
            </w:r>
          </w:p>
        </w:tc>
        <w:tc>
          <w:tcPr>
            <w:tcW w:w="1979" w:type="dxa"/>
            <w:tcBorders>
              <w:tl2br w:val="nil"/>
              <w:tr2bl w:val="nil"/>
            </w:tcBorders>
            <w:shd w:val="clear" w:color="auto" w:fill="auto"/>
            <w:vAlign w:val="center"/>
          </w:tcPr>
          <w:p w14:paraId="6D35D12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48.33</w:t>
            </w:r>
          </w:p>
        </w:tc>
        <w:tc>
          <w:tcPr>
            <w:tcW w:w="1981" w:type="dxa"/>
            <w:tcBorders>
              <w:tl2br w:val="nil"/>
              <w:tr2bl w:val="nil"/>
            </w:tcBorders>
            <w:shd w:val="clear" w:color="auto" w:fill="auto"/>
            <w:vAlign w:val="center"/>
          </w:tcPr>
          <w:p w14:paraId="7F3BB41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1.18</w:t>
            </w:r>
          </w:p>
        </w:tc>
      </w:tr>
    </w:tbl>
    <w:p w14:paraId="42149F0E">
      <w:pPr>
        <w:pStyle w:val="15"/>
        <w:bidi w:val="0"/>
        <w:rPr>
          <w:rFonts w:hint="eastAsia"/>
        </w:rPr>
      </w:pPr>
    </w:p>
    <w:p w14:paraId="738A0EA2">
      <w:pPr>
        <w:pStyle w:val="15"/>
        <w:bidi w:val="0"/>
        <w:rPr>
          <w:rFonts w:hint="eastAsia"/>
        </w:rPr>
      </w:pPr>
      <w:r>
        <w:rPr>
          <w:rFonts w:hint="eastAsia"/>
        </w:rPr>
        <w:t>表6-</w:t>
      </w:r>
      <w:r>
        <w:rPr>
          <w:rFonts w:hint="eastAsia"/>
          <w:lang w:val="en-US" w:eastAsia="zh-CN"/>
        </w:rPr>
        <w:t>9</w:t>
      </w:r>
      <w:r>
        <w:rPr>
          <w:rFonts w:hint="eastAsia"/>
        </w:rPr>
        <w:t xml:space="preserve"> 氨对周边</w:t>
      </w:r>
      <w:r>
        <w:rPr>
          <w:rFonts w:hint="eastAsia"/>
          <w:lang w:eastAsia="zh-CN"/>
        </w:rPr>
        <w:t>最近</w:t>
      </w:r>
      <w:r>
        <w:rPr>
          <w:rFonts w:hint="eastAsia"/>
        </w:rPr>
        <w:t>敏感点的环境影响预测结果 单位：mg/m</w:t>
      </w:r>
      <w:r>
        <w:rPr>
          <w:rFonts w:hint="eastAsia"/>
          <w:vertAlign w:val="superscript"/>
        </w:rPr>
        <w:t>3</w:t>
      </w:r>
    </w:p>
    <w:tbl>
      <w:tblPr>
        <w:tblStyle w:val="1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02"/>
        <w:gridCol w:w="745"/>
        <w:gridCol w:w="601"/>
        <w:gridCol w:w="601"/>
        <w:gridCol w:w="318"/>
        <w:gridCol w:w="1323"/>
        <w:gridCol w:w="644"/>
        <w:gridCol w:w="711"/>
        <w:gridCol w:w="1063"/>
        <w:gridCol w:w="684"/>
        <w:gridCol w:w="697"/>
        <w:gridCol w:w="706"/>
      </w:tblGrid>
      <w:tr w14:paraId="0A32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02" w:type="dxa"/>
            <w:vAlign w:val="center"/>
          </w:tcPr>
          <w:p w14:paraId="5FF6BF55">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序号</w:t>
            </w:r>
          </w:p>
        </w:tc>
        <w:tc>
          <w:tcPr>
            <w:tcW w:w="745" w:type="dxa"/>
            <w:vAlign w:val="center"/>
          </w:tcPr>
          <w:p w14:paraId="6B537C5A">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名称</w:t>
            </w:r>
          </w:p>
        </w:tc>
        <w:tc>
          <w:tcPr>
            <w:tcW w:w="601" w:type="dxa"/>
            <w:vAlign w:val="center"/>
          </w:tcPr>
          <w:p w14:paraId="5A113289">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X</w:t>
            </w:r>
          </w:p>
        </w:tc>
        <w:tc>
          <w:tcPr>
            <w:tcW w:w="601" w:type="dxa"/>
            <w:vAlign w:val="center"/>
          </w:tcPr>
          <w:p w14:paraId="4EB3FEB3">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Y</w:t>
            </w:r>
          </w:p>
        </w:tc>
        <w:tc>
          <w:tcPr>
            <w:tcW w:w="318" w:type="dxa"/>
            <w:vAlign w:val="center"/>
          </w:tcPr>
          <w:p w14:paraId="33946B04">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离地高度</w:t>
            </w:r>
          </w:p>
        </w:tc>
        <w:tc>
          <w:tcPr>
            <w:tcW w:w="1323" w:type="dxa"/>
            <w:vAlign w:val="center"/>
          </w:tcPr>
          <w:p w14:paraId="57EEB905">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最大浓度|时间(min)</w:t>
            </w:r>
          </w:p>
        </w:tc>
        <w:tc>
          <w:tcPr>
            <w:tcW w:w="644" w:type="dxa"/>
            <w:vAlign w:val="center"/>
          </w:tcPr>
          <w:p w14:paraId="72F08F78">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5min</w:t>
            </w:r>
          </w:p>
        </w:tc>
        <w:tc>
          <w:tcPr>
            <w:tcW w:w="711" w:type="dxa"/>
            <w:vAlign w:val="center"/>
          </w:tcPr>
          <w:p w14:paraId="2F19FF48">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10min</w:t>
            </w:r>
          </w:p>
        </w:tc>
        <w:tc>
          <w:tcPr>
            <w:tcW w:w="1063" w:type="dxa"/>
            <w:vAlign w:val="center"/>
          </w:tcPr>
          <w:p w14:paraId="02C5A982">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15min</w:t>
            </w:r>
          </w:p>
        </w:tc>
        <w:tc>
          <w:tcPr>
            <w:tcW w:w="684" w:type="dxa"/>
            <w:vAlign w:val="center"/>
          </w:tcPr>
          <w:p w14:paraId="411E0B3F">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20min</w:t>
            </w:r>
          </w:p>
        </w:tc>
        <w:tc>
          <w:tcPr>
            <w:tcW w:w="697" w:type="dxa"/>
            <w:vAlign w:val="center"/>
          </w:tcPr>
          <w:p w14:paraId="41B78618">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25min</w:t>
            </w:r>
          </w:p>
        </w:tc>
        <w:tc>
          <w:tcPr>
            <w:tcW w:w="706" w:type="dxa"/>
            <w:vAlign w:val="center"/>
          </w:tcPr>
          <w:p w14:paraId="492ACCD1">
            <w:pPr>
              <w:widowControl w:val="0"/>
              <w:bidi w:val="0"/>
              <w:adjustRightInd w:val="0"/>
              <w:snapToGrid w:val="0"/>
              <w:spacing w:line="240" w:lineRule="auto"/>
              <w:jc w:val="center"/>
              <w:rPr>
                <w:rFonts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30min</w:t>
            </w:r>
          </w:p>
        </w:tc>
      </w:tr>
      <w:tr w14:paraId="5A59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7" w:hRule="atLeast"/>
          <w:jc w:val="center"/>
        </w:trPr>
        <w:tc>
          <w:tcPr>
            <w:tcW w:w="402" w:type="dxa"/>
            <w:vAlign w:val="center"/>
          </w:tcPr>
          <w:p w14:paraId="6D057E4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745" w:type="dxa"/>
            <w:vAlign w:val="center"/>
          </w:tcPr>
          <w:p w14:paraId="21100AD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道城洞</w:t>
            </w:r>
          </w:p>
        </w:tc>
        <w:tc>
          <w:tcPr>
            <w:tcW w:w="601" w:type="dxa"/>
            <w:vAlign w:val="center"/>
          </w:tcPr>
          <w:p w14:paraId="24F49C1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-28</w:t>
            </w:r>
          </w:p>
        </w:tc>
        <w:tc>
          <w:tcPr>
            <w:tcW w:w="601" w:type="dxa"/>
            <w:vAlign w:val="center"/>
          </w:tcPr>
          <w:p w14:paraId="33AB8A0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474</w:t>
            </w:r>
          </w:p>
        </w:tc>
        <w:tc>
          <w:tcPr>
            <w:tcW w:w="318" w:type="dxa"/>
            <w:vAlign w:val="center"/>
          </w:tcPr>
          <w:p w14:paraId="270E658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3767722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644" w:type="dxa"/>
            <w:vAlign w:val="center"/>
          </w:tcPr>
          <w:p w14:paraId="205458EC">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45BEFEC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63" w:type="dxa"/>
            <w:vAlign w:val="center"/>
          </w:tcPr>
          <w:p w14:paraId="3CA68AEA">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3B0D548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6F02B30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06" w:type="dxa"/>
            <w:vAlign w:val="center"/>
          </w:tcPr>
          <w:p w14:paraId="4BF493DB">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14:paraId="78ED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7" w:hRule="atLeast"/>
          <w:jc w:val="center"/>
        </w:trPr>
        <w:tc>
          <w:tcPr>
            <w:tcW w:w="402" w:type="dxa"/>
            <w:vAlign w:val="center"/>
          </w:tcPr>
          <w:p w14:paraId="328A0356">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p>
        </w:tc>
        <w:tc>
          <w:tcPr>
            <w:tcW w:w="745" w:type="dxa"/>
            <w:vAlign w:val="center"/>
          </w:tcPr>
          <w:p w14:paraId="6093979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石仔墩</w:t>
            </w:r>
          </w:p>
        </w:tc>
        <w:tc>
          <w:tcPr>
            <w:tcW w:w="601" w:type="dxa"/>
            <w:vAlign w:val="center"/>
          </w:tcPr>
          <w:p w14:paraId="647D6E1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1283</w:t>
            </w:r>
          </w:p>
        </w:tc>
        <w:tc>
          <w:tcPr>
            <w:tcW w:w="601" w:type="dxa"/>
            <w:vAlign w:val="center"/>
          </w:tcPr>
          <w:p w14:paraId="32C652E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-327</w:t>
            </w:r>
          </w:p>
        </w:tc>
        <w:tc>
          <w:tcPr>
            <w:tcW w:w="318" w:type="dxa"/>
            <w:vAlign w:val="center"/>
          </w:tcPr>
          <w:p w14:paraId="65C785C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7E58B11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644" w:type="dxa"/>
            <w:vAlign w:val="center"/>
          </w:tcPr>
          <w:p w14:paraId="6C4AFBD3">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2A4422F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63" w:type="dxa"/>
            <w:vAlign w:val="center"/>
          </w:tcPr>
          <w:p w14:paraId="78C1F92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5B64985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715DC8C3">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06" w:type="dxa"/>
            <w:vAlign w:val="center"/>
          </w:tcPr>
          <w:p w14:paraId="70C0F3D2">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14:paraId="7226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97" w:hRule="atLeast"/>
          <w:jc w:val="center"/>
        </w:trPr>
        <w:tc>
          <w:tcPr>
            <w:tcW w:w="402" w:type="dxa"/>
            <w:vAlign w:val="center"/>
          </w:tcPr>
          <w:p w14:paraId="34AEDC6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c>
          <w:tcPr>
            <w:tcW w:w="745" w:type="dxa"/>
            <w:vAlign w:val="center"/>
          </w:tcPr>
          <w:p w14:paraId="6A7F223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冬城村</w:t>
            </w:r>
          </w:p>
        </w:tc>
        <w:tc>
          <w:tcPr>
            <w:tcW w:w="601" w:type="dxa"/>
            <w:vAlign w:val="center"/>
          </w:tcPr>
          <w:p w14:paraId="17BBD6A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-1900</w:t>
            </w:r>
          </w:p>
        </w:tc>
        <w:tc>
          <w:tcPr>
            <w:tcW w:w="601" w:type="dxa"/>
            <w:vAlign w:val="center"/>
          </w:tcPr>
          <w:p w14:paraId="62024CE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16</w:t>
            </w:r>
          </w:p>
        </w:tc>
        <w:tc>
          <w:tcPr>
            <w:tcW w:w="318" w:type="dxa"/>
            <w:vAlign w:val="center"/>
          </w:tcPr>
          <w:p w14:paraId="3ED76AE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66997F7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644" w:type="dxa"/>
            <w:vAlign w:val="center"/>
          </w:tcPr>
          <w:p w14:paraId="1654E41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19E33ADC">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63" w:type="dxa"/>
            <w:vAlign w:val="center"/>
          </w:tcPr>
          <w:p w14:paraId="72E38C8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84" w:type="dxa"/>
            <w:vAlign w:val="center"/>
          </w:tcPr>
          <w:p w14:paraId="69A4AE6B">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304DFB6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06" w:type="dxa"/>
            <w:vAlign w:val="center"/>
          </w:tcPr>
          <w:p w14:paraId="6FF077E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r w14:paraId="729A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9" w:hRule="atLeast"/>
          <w:jc w:val="center"/>
        </w:trPr>
        <w:tc>
          <w:tcPr>
            <w:tcW w:w="402" w:type="dxa"/>
            <w:vAlign w:val="center"/>
          </w:tcPr>
          <w:p w14:paraId="0F47A8C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w:t>
            </w:r>
          </w:p>
        </w:tc>
        <w:tc>
          <w:tcPr>
            <w:tcW w:w="745" w:type="dxa"/>
            <w:vAlign w:val="center"/>
          </w:tcPr>
          <w:p w14:paraId="487C7E2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林屋</w:t>
            </w:r>
          </w:p>
        </w:tc>
        <w:tc>
          <w:tcPr>
            <w:tcW w:w="601" w:type="dxa"/>
            <w:vAlign w:val="center"/>
          </w:tcPr>
          <w:p w14:paraId="7DB67948">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-1332</w:t>
            </w:r>
          </w:p>
        </w:tc>
        <w:tc>
          <w:tcPr>
            <w:tcW w:w="601" w:type="dxa"/>
            <w:vAlign w:val="center"/>
          </w:tcPr>
          <w:p w14:paraId="2889A681">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-1381</w:t>
            </w:r>
          </w:p>
        </w:tc>
        <w:tc>
          <w:tcPr>
            <w:tcW w:w="318" w:type="dxa"/>
            <w:vAlign w:val="center"/>
          </w:tcPr>
          <w:p w14:paraId="4688CC3D">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323" w:type="dxa"/>
            <w:vAlign w:val="center"/>
          </w:tcPr>
          <w:p w14:paraId="34878F23">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1.17</w:t>
            </w:r>
            <w:r>
              <w:rPr>
                <w:rFonts w:hint="eastAsia" w:ascii="Times New Roman" w:hAnsi="Times New Roman" w:eastAsia="宋体" w:cs="Times New Roman"/>
                <w:kern w:val="2"/>
                <w:sz w:val="21"/>
                <w:szCs w:val="24"/>
                <w:lang w:val="en-US" w:eastAsia="zh-CN" w:bidi="ar-SA"/>
              </w:rPr>
              <w:t>×10</w:t>
            </w:r>
            <w:r>
              <w:rPr>
                <w:rFonts w:hint="eastAsia" w:ascii="Times New Roman" w:hAnsi="Times New Roman" w:eastAsia="宋体" w:cs="Times New Roman"/>
                <w:kern w:val="2"/>
                <w:sz w:val="21"/>
                <w:szCs w:val="24"/>
                <w:vertAlign w:val="superscript"/>
                <w:lang w:val="en-US" w:eastAsia="zh-CN" w:bidi="ar-SA"/>
              </w:rPr>
              <w:t>-</w:t>
            </w:r>
            <w:r>
              <w:rPr>
                <w:rFonts w:hint="eastAsia" w:cs="Times New Roman"/>
                <w:kern w:val="2"/>
                <w:sz w:val="21"/>
                <w:szCs w:val="24"/>
                <w:vertAlign w:val="superscript"/>
                <w:lang w:val="en-US" w:eastAsia="zh-CN" w:bidi="ar-SA"/>
              </w:rPr>
              <w:t>42</w:t>
            </w:r>
            <w:r>
              <w:rPr>
                <w:rFonts w:hint="eastAsia" w:ascii="Times New Roman" w:hAnsi="Times New Roman" w:eastAsia="宋体" w:cs="Times New Roman"/>
                <w:kern w:val="2"/>
                <w:sz w:val="21"/>
                <w:szCs w:val="24"/>
                <w:lang w:val="en-US" w:eastAsia="zh-CN" w:bidi="ar-SA"/>
              </w:rPr>
              <w:t>|</w:t>
            </w:r>
            <w:r>
              <w:rPr>
                <w:rFonts w:hint="eastAsia" w:cs="Times New Roman"/>
                <w:kern w:val="2"/>
                <w:sz w:val="21"/>
                <w:szCs w:val="24"/>
                <w:lang w:val="en-US" w:eastAsia="zh-CN" w:bidi="ar-SA"/>
              </w:rPr>
              <w:t>15</w:t>
            </w:r>
          </w:p>
        </w:tc>
        <w:tc>
          <w:tcPr>
            <w:tcW w:w="644" w:type="dxa"/>
            <w:vAlign w:val="center"/>
          </w:tcPr>
          <w:p w14:paraId="1CD44920">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11" w:type="dxa"/>
            <w:vAlign w:val="center"/>
          </w:tcPr>
          <w:p w14:paraId="2CF4D684">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1063" w:type="dxa"/>
            <w:vAlign w:val="center"/>
          </w:tcPr>
          <w:p w14:paraId="328FB597">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1.17</w:t>
            </w:r>
            <w:r>
              <w:rPr>
                <w:rFonts w:hint="eastAsia" w:ascii="Times New Roman" w:hAnsi="Times New Roman" w:eastAsia="宋体" w:cs="Times New Roman"/>
                <w:kern w:val="2"/>
                <w:sz w:val="21"/>
                <w:szCs w:val="24"/>
                <w:lang w:val="en-US" w:eastAsia="zh-CN" w:bidi="ar-SA"/>
              </w:rPr>
              <w:t>×10</w:t>
            </w:r>
            <w:r>
              <w:rPr>
                <w:rFonts w:hint="eastAsia" w:ascii="Times New Roman" w:hAnsi="Times New Roman" w:eastAsia="宋体" w:cs="Times New Roman"/>
                <w:kern w:val="2"/>
                <w:sz w:val="21"/>
                <w:szCs w:val="24"/>
                <w:vertAlign w:val="superscript"/>
                <w:lang w:val="en-US" w:eastAsia="zh-CN" w:bidi="ar-SA"/>
              </w:rPr>
              <w:t>-</w:t>
            </w:r>
            <w:r>
              <w:rPr>
                <w:rFonts w:hint="eastAsia" w:cs="Times New Roman"/>
                <w:kern w:val="2"/>
                <w:sz w:val="21"/>
                <w:szCs w:val="24"/>
                <w:vertAlign w:val="superscript"/>
                <w:lang w:val="en-US" w:eastAsia="zh-CN" w:bidi="ar-SA"/>
              </w:rPr>
              <w:t>42</w:t>
            </w:r>
          </w:p>
        </w:tc>
        <w:tc>
          <w:tcPr>
            <w:tcW w:w="684" w:type="dxa"/>
            <w:vAlign w:val="center"/>
          </w:tcPr>
          <w:p w14:paraId="148D22FE">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697" w:type="dxa"/>
            <w:vAlign w:val="center"/>
          </w:tcPr>
          <w:p w14:paraId="6A715205">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c>
          <w:tcPr>
            <w:tcW w:w="706" w:type="dxa"/>
            <w:vAlign w:val="center"/>
          </w:tcPr>
          <w:p w14:paraId="2AB134CF">
            <w:pPr>
              <w:widowControl w:val="0"/>
              <w:bidi w:val="0"/>
              <w:adjustRightInd w:val="0"/>
              <w:snapToGrid w:val="0"/>
              <w:spacing w:line="240" w:lineRule="auto"/>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w:t>
            </w:r>
          </w:p>
        </w:tc>
      </w:tr>
    </w:tbl>
    <w:p w14:paraId="01A7DB28">
      <w:pPr>
        <w:autoSpaceDE w:val="0"/>
        <w:autoSpaceDN w:val="0"/>
        <w:adjustRightInd w:val="0"/>
        <w:snapToGrid w:val="0"/>
        <w:spacing w:line="240" w:lineRule="auto"/>
        <w:jc w:val="both"/>
        <w:textAlignment w:val="baseline"/>
        <w:rPr>
          <w:b/>
          <w:color w:val="000000"/>
          <w:kern w:val="24"/>
          <w:szCs w:val="20"/>
        </w:rPr>
      </w:pPr>
    </w:p>
    <w:p w14:paraId="522163AB">
      <w:pPr>
        <w:pStyle w:val="14"/>
        <w:bidi w:val="0"/>
        <w:rPr>
          <w:rFonts w:hint="eastAsia"/>
          <w:lang w:val="en-US" w:eastAsia="zh-CN"/>
        </w:rPr>
      </w:pPr>
      <w:r>
        <w:drawing>
          <wp:inline distT="0" distB="0" distL="114300" distR="114300">
            <wp:extent cx="5271135" cy="2651125"/>
            <wp:effectExtent l="0" t="0" r="5715" b="15875"/>
            <wp:docPr id="1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0"/>
                    <pic:cNvPicPr>
                      <a:picLocks noChangeAspect="1"/>
                    </pic:cNvPicPr>
                  </pic:nvPicPr>
                  <pic:blipFill>
                    <a:blip r:embed="rId62"/>
                    <a:stretch>
                      <a:fillRect/>
                    </a:stretch>
                  </pic:blipFill>
                  <pic:spPr>
                    <a:xfrm>
                      <a:off x="0" y="0"/>
                      <a:ext cx="5271135" cy="2651125"/>
                    </a:xfrm>
                    <a:prstGeom prst="rect">
                      <a:avLst/>
                    </a:prstGeom>
                    <a:noFill/>
                    <a:ln>
                      <a:noFill/>
                    </a:ln>
                  </pic:spPr>
                </pic:pic>
              </a:graphicData>
            </a:graphic>
          </wp:inline>
        </w:drawing>
      </w:r>
    </w:p>
    <w:p w14:paraId="782F18F6">
      <w:pPr>
        <w:pStyle w:val="16"/>
        <w:bidi w:val="0"/>
        <w:rPr>
          <w:rFonts w:hint="eastAsia"/>
          <w:lang w:val="en-US" w:eastAsia="zh-CN"/>
        </w:rPr>
      </w:pPr>
      <w:r>
        <w:rPr>
          <w:rFonts w:hint="eastAsia"/>
          <w:lang w:val="en-US" w:eastAsia="zh-CN"/>
        </w:rPr>
        <w:t>图6-7 氨气轴线最大浓度-距离曲线</w:t>
      </w:r>
    </w:p>
    <w:p w14:paraId="67ACED5B">
      <w:pPr>
        <w:pStyle w:val="15"/>
        <w:bidi w:val="0"/>
        <w:rPr>
          <w:rFonts w:hint="eastAsia"/>
          <w:lang w:val="en-US" w:eastAsia="zh-CN"/>
        </w:rPr>
      </w:pPr>
      <w:r>
        <w:rPr>
          <w:rFonts w:hint="eastAsia"/>
          <w:lang w:val="en-US" w:eastAsia="zh-CN"/>
        </w:rPr>
        <w:t>表6-10 氨气各阈值的廓线一览表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157"/>
        <w:gridCol w:w="1157"/>
        <w:gridCol w:w="1375"/>
        <w:gridCol w:w="2000"/>
      </w:tblGrid>
      <w:tr w14:paraId="4B8F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left w:val="single" w:color="auto" w:sz="12" w:space="0"/>
            </w:tcBorders>
            <w:vAlign w:val="center"/>
          </w:tcPr>
          <w:p w14:paraId="54DD0FE5">
            <w:pPr>
              <w:pStyle w:val="14"/>
              <w:bidi w:val="0"/>
              <w:jc w:val="center"/>
              <w:rPr>
                <w:b/>
                <w:bCs/>
              </w:rPr>
            </w:pPr>
            <w:r>
              <w:rPr>
                <w:rFonts w:hint="eastAsia"/>
                <w:b/>
                <w:bCs/>
                <w:lang w:val="en-US" w:eastAsia="zh-CN"/>
              </w:rPr>
              <w:t>阈值(mg/m</w:t>
            </w:r>
            <w:r>
              <w:rPr>
                <w:rFonts w:hint="eastAsia"/>
                <w:b/>
                <w:bCs/>
                <w:vertAlign w:val="superscript"/>
                <w:lang w:val="en-US" w:eastAsia="zh-CN"/>
              </w:rPr>
              <w:t>3</w:t>
            </w:r>
            <w:r>
              <w:rPr>
                <w:rFonts w:hint="eastAsia"/>
                <w:b/>
                <w:bCs/>
                <w:lang w:val="en-US" w:eastAsia="zh-CN"/>
              </w:rPr>
              <w:t>)</w:t>
            </w:r>
          </w:p>
        </w:tc>
        <w:tc>
          <w:tcPr>
            <w:tcW w:w="0" w:type="auto"/>
            <w:tcBorders>
              <w:top w:val="single" w:color="auto" w:sz="12" w:space="0"/>
            </w:tcBorders>
            <w:vAlign w:val="center"/>
          </w:tcPr>
          <w:p w14:paraId="2CA433B6">
            <w:pPr>
              <w:pStyle w:val="14"/>
              <w:bidi w:val="0"/>
              <w:jc w:val="center"/>
              <w:rPr>
                <w:b/>
                <w:bCs/>
              </w:rPr>
            </w:pPr>
            <w:r>
              <w:rPr>
                <w:rFonts w:hint="eastAsia"/>
                <w:b/>
                <w:bCs/>
                <w:lang w:val="en-US" w:eastAsia="zh-CN"/>
              </w:rPr>
              <w:t>X起点(m)</w:t>
            </w:r>
          </w:p>
        </w:tc>
        <w:tc>
          <w:tcPr>
            <w:tcW w:w="0" w:type="auto"/>
            <w:tcBorders>
              <w:top w:val="single" w:color="auto" w:sz="12" w:space="0"/>
            </w:tcBorders>
            <w:vAlign w:val="center"/>
          </w:tcPr>
          <w:p w14:paraId="3CF51DB0">
            <w:pPr>
              <w:pStyle w:val="14"/>
              <w:bidi w:val="0"/>
              <w:jc w:val="center"/>
              <w:rPr>
                <w:b/>
                <w:bCs/>
              </w:rPr>
            </w:pPr>
            <w:r>
              <w:rPr>
                <w:rFonts w:hint="eastAsia"/>
                <w:b/>
                <w:bCs/>
                <w:lang w:val="en-US" w:eastAsia="zh-CN"/>
              </w:rPr>
              <w:t>X终点(m)</w:t>
            </w:r>
          </w:p>
        </w:tc>
        <w:tc>
          <w:tcPr>
            <w:tcW w:w="0" w:type="auto"/>
            <w:tcBorders>
              <w:top w:val="single" w:color="auto" w:sz="12" w:space="0"/>
            </w:tcBorders>
            <w:vAlign w:val="center"/>
          </w:tcPr>
          <w:p w14:paraId="1E6DE177">
            <w:pPr>
              <w:pStyle w:val="14"/>
              <w:bidi w:val="0"/>
              <w:jc w:val="center"/>
              <w:rPr>
                <w:b/>
                <w:bCs/>
              </w:rPr>
            </w:pPr>
            <w:r>
              <w:rPr>
                <w:rFonts w:hint="eastAsia"/>
                <w:b/>
                <w:bCs/>
                <w:lang w:val="en-US" w:eastAsia="zh-CN"/>
              </w:rPr>
              <w:t>最大半宽(m)</w:t>
            </w:r>
          </w:p>
        </w:tc>
        <w:tc>
          <w:tcPr>
            <w:tcW w:w="0" w:type="auto"/>
            <w:tcBorders>
              <w:top w:val="single" w:color="auto" w:sz="12" w:space="0"/>
              <w:right w:val="single" w:color="auto" w:sz="12" w:space="0"/>
            </w:tcBorders>
            <w:vAlign w:val="center"/>
          </w:tcPr>
          <w:p w14:paraId="62B66278">
            <w:pPr>
              <w:pStyle w:val="14"/>
              <w:bidi w:val="0"/>
              <w:jc w:val="center"/>
              <w:rPr>
                <w:b/>
                <w:bCs/>
              </w:rPr>
            </w:pPr>
            <w:r>
              <w:rPr>
                <w:rFonts w:hint="eastAsia"/>
                <w:b/>
                <w:bCs/>
                <w:lang w:val="en-US" w:eastAsia="zh-CN"/>
              </w:rPr>
              <w:t>最大半宽对应X(m)</w:t>
            </w:r>
          </w:p>
        </w:tc>
      </w:tr>
      <w:tr w14:paraId="442A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14:paraId="6A66917A">
            <w:pPr>
              <w:pStyle w:val="14"/>
              <w:bidi w:val="0"/>
              <w:jc w:val="center"/>
              <w:rPr>
                <w:rFonts w:hint="default"/>
                <w:lang w:val="en-US"/>
              </w:rPr>
            </w:pPr>
            <w:r>
              <w:rPr>
                <w:rFonts w:hint="eastAsia"/>
                <w:lang w:val="en-US" w:eastAsia="zh-CN"/>
              </w:rPr>
              <w:t>110</w:t>
            </w:r>
          </w:p>
        </w:tc>
        <w:tc>
          <w:tcPr>
            <w:tcW w:w="0" w:type="auto"/>
            <w:vAlign w:val="center"/>
          </w:tcPr>
          <w:p w14:paraId="7795C862">
            <w:pPr>
              <w:pStyle w:val="14"/>
              <w:bidi w:val="0"/>
              <w:jc w:val="center"/>
            </w:pPr>
            <w:r>
              <w:rPr>
                <w:rFonts w:hint="eastAsia"/>
                <w:lang w:val="en-US" w:eastAsia="zh-CN"/>
              </w:rPr>
              <w:t>10</w:t>
            </w:r>
          </w:p>
        </w:tc>
        <w:tc>
          <w:tcPr>
            <w:tcW w:w="0" w:type="auto"/>
            <w:vAlign w:val="center"/>
          </w:tcPr>
          <w:p w14:paraId="1D501CBC">
            <w:pPr>
              <w:pStyle w:val="14"/>
              <w:bidi w:val="0"/>
              <w:jc w:val="center"/>
              <w:rPr>
                <w:rFonts w:hint="default"/>
                <w:lang w:val="en-US"/>
              </w:rPr>
            </w:pPr>
            <w:r>
              <w:rPr>
                <w:rFonts w:hint="eastAsia"/>
                <w:lang w:val="en-US" w:eastAsia="zh-CN"/>
              </w:rPr>
              <w:t>250</w:t>
            </w:r>
          </w:p>
        </w:tc>
        <w:tc>
          <w:tcPr>
            <w:tcW w:w="0" w:type="auto"/>
            <w:vAlign w:val="center"/>
          </w:tcPr>
          <w:p w14:paraId="72063B0C">
            <w:pPr>
              <w:pStyle w:val="14"/>
              <w:bidi w:val="0"/>
              <w:jc w:val="center"/>
              <w:rPr>
                <w:rFonts w:hint="default"/>
                <w:lang w:val="en-US"/>
              </w:rPr>
            </w:pPr>
            <w:r>
              <w:rPr>
                <w:rFonts w:hint="eastAsia"/>
                <w:lang w:val="en-US" w:eastAsia="zh-CN"/>
              </w:rPr>
              <w:t>16</w:t>
            </w:r>
          </w:p>
        </w:tc>
        <w:tc>
          <w:tcPr>
            <w:tcW w:w="0" w:type="auto"/>
            <w:tcBorders>
              <w:right w:val="single" w:color="auto" w:sz="12" w:space="0"/>
            </w:tcBorders>
            <w:vAlign w:val="center"/>
          </w:tcPr>
          <w:p w14:paraId="7DBAC3E6">
            <w:pPr>
              <w:pStyle w:val="14"/>
              <w:bidi w:val="0"/>
              <w:jc w:val="center"/>
            </w:pPr>
            <w:r>
              <w:rPr>
                <w:rFonts w:hint="eastAsia"/>
                <w:lang w:val="en-US" w:eastAsia="zh-CN"/>
              </w:rPr>
              <w:t>110</w:t>
            </w:r>
          </w:p>
        </w:tc>
      </w:tr>
      <w:tr w14:paraId="5293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Borders>
              <w:left w:val="single" w:color="auto" w:sz="12" w:space="0"/>
              <w:bottom w:val="single" w:color="auto" w:sz="12" w:space="0"/>
            </w:tcBorders>
            <w:vAlign w:val="center"/>
          </w:tcPr>
          <w:p w14:paraId="3733EE9F">
            <w:pPr>
              <w:pStyle w:val="14"/>
              <w:bidi w:val="0"/>
              <w:jc w:val="center"/>
              <w:rPr>
                <w:rFonts w:hint="default"/>
                <w:lang w:val="en-US"/>
              </w:rPr>
            </w:pPr>
            <w:r>
              <w:rPr>
                <w:rFonts w:hint="eastAsia"/>
                <w:lang w:val="en-US" w:eastAsia="zh-CN"/>
              </w:rPr>
              <w:t>770</w:t>
            </w:r>
          </w:p>
        </w:tc>
        <w:tc>
          <w:tcPr>
            <w:tcW w:w="0" w:type="auto"/>
            <w:tcBorders>
              <w:bottom w:val="single" w:color="auto" w:sz="12" w:space="0"/>
            </w:tcBorders>
            <w:vAlign w:val="center"/>
          </w:tcPr>
          <w:p w14:paraId="021AEE64">
            <w:pPr>
              <w:pStyle w:val="14"/>
              <w:bidi w:val="0"/>
              <w:jc w:val="center"/>
            </w:pPr>
            <w:r>
              <w:rPr>
                <w:rFonts w:hint="eastAsia"/>
                <w:lang w:val="en-US" w:eastAsia="zh-CN"/>
              </w:rPr>
              <w:t>10</w:t>
            </w:r>
          </w:p>
        </w:tc>
        <w:tc>
          <w:tcPr>
            <w:tcW w:w="0" w:type="auto"/>
            <w:tcBorders>
              <w:bottom w:val="single" w:color="auto" w:sz="12" w:space="0"/>
            </w:tcBorders>
            <w:vAlign w:val="center"/>
          </w:tcPr>
          <w:p w14:paraId="5DB810E6">
            <w:pPr>
              <w:pStyle w:val="14"/>
              <w:bidi w:val="0"/>
              <w:jc w:val="center"/>
              <w:rPr>
                <w:rFonts w:hint="default"/>
                <w:lang w:val="en-US"/>
              </w:rPr>
            </w:pPr>
            <w:r>
              <w:rPr>
                <w:rFonts w:hint="eastAsia"/>
                <w:lang w:val="en-US" w:eastAsia="zh-CN"/>
              </w:rPr>
              <w:t>70</w:t>
            </w:r>
          </w:p>
        </w:tc>
        <w:tc>
          <w:tcPr>
            <w:tcW w:w="0" w:type="auto"/>
            <w:tcBorders>
              <w:bottom w:val="single" w:color="auto" w:sz="12" w:space="0"/>
            </w:tcBorders>
            <w:vAlign w:val="center"/>
          </w:tcPr>
          <w:p w14:paraId="5A54E18E">
            <w:pPr>
              <w:pStyle w:val="14"/>
              <w:bidi w:val="0"/>
              <w:jc w:val="center"/>
            </w:pPr>
            <w:r>
              <w:rPr>
                <w:rFonts w:hint="eastAsia"/>
                <w:lang w:val="en-US" w:eastAsia="zh-CN"/>
              </w:rPr>
              <w:t>4</w:t>
            </w:r>
          </w:p>
        </w:tc>
        <w:tc>
          <w:tcPr>
            <w:tcW w:w="0" w:type="auto"/>
            <w:tcBorders>
              <w:bottom w:val="single" w:color="auto" w:sz="12" w:space="0"/>
              <w:right w:val="single" w:color="auto" w:sz="12" w:space="0"/>
            </w:tcBorders>
            <w:vAlign w:val="center"/>
          </w:tcPr>
          <w:p w14:paraId="5BECC67F">
            <w:pPr>
              <w:pStyle w:val="14"/>
              <w:bidi w:val="0"/>
              <w:jc w:val="center"/>
            </w:pPr>
            <w:r>
              <w:rPr>
                <w:rFonts w:hint="eastAsia"/>
                <w:lang w:val="en-US" w:eastAsia="zh-CN"/>
              </w:rPr>
              <w:t>70</w:t>
            </w:r>
          </w:p>
        </w:tc>
      </w:tr>
    </w:tbl>
    <w:p w14:paraId="14D58B66">
      <w:pPr>
        <w:ind w:firstLine="480" w:firstLineChars="200"/>
        <w:rPr>
          <w:rFonts w:hint="eastAsia"/>
          <w:lang w:val="en-US" w:eastAsia="zh-CN"/>
        </w:rPr>
      </w:pPr>
    </w:p>
    <w:p w14:paraId="5ACFDCC7">
      <w:pPr>
        <w:pStyle w:val="14"/>
        <w:bidi w:val="0"/>
        <w:rPr>
          <w:rFonts w:hint="eastAsia"/>
          <w:lang w:val="en-US" w:eastAsia="zh-CN"/>
        </w:rPr>
      </w:pPr>
      <w:r>
        <w:drawing>
          <wp:inline distT="0" distB="0" distL="114300" distR="114300">
            <wp:extent cx="5259070" cy="3209925"/>
            <wp:effectExtent l="0" t="0" r="17780" b="9525"/>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pic:cNvPicPr>
                      <a:picLocks noChangeAspect="1"/>
                    </pic:cNvPicPr>
                  </pic:nvPicPr>
                  <pic:blipFill>
                    <a:blip r:embed="rId63"/>
                    <a:stretch>
                      <a:fillRect/>
                    </a:stretch>
                  </pic:blipFill>
                  <pic:spPr>
                    <a:xfrm>
                      <a:off x="0" y="0"/>
                      <a:ext cx="5259070" cy="3209925"/>
                    </a:xfrm>
                    <a:prstGeom prst="rect">
                      <a:avLst/>
                    </a:prstGeom>
                    <a:noFill/>
                    <a:ln>
                      <a:noFill/>
                    </a:ln>
                  </pic:spPr>
                </pic:pic>
              </a:graphicData>
            </a:graphic>
          </wp:inline>
        </w:drawing>
      </w:r>
    </w:p>
    <w:p w14:paraId="2FDC7639">
      <w:pPr>
        <w:pStyle w:val="16"/>
        <w:bidi w:val="0"/>
        <w:rPr>
          <w:rFonts w:hint="eastAsia"/>
          <w:lang w:val="en-US" w:eastAsia="zh-CN"/>
        </w:rPr>
      </w:pPr>
      <w:r>
        <w:rPr>
          <w:rFonts w:hint="eastAsia"/>
          <w:lang w:val="en-US" w:eastAsia="zh-CN"/>
        </w:rPr>
        <w:t>图6-8 氨影响范围图</w:t>
      </w:r>
    </w:p>
    <w:p w14:paraId="4A2DB684">
      <w:pPr>
        <w:pStyle w:val="3"/>
        <w:bidi w:val="0"/>
        <w:rPr>
          <w:rFonts w:hint="eastAsia"/>
          <w:lang w:val="en-US" w:eastAsia="zh-CN"/>
        </w:rPr>
      </w:pPr>
      <w:r>
        <w:rPr>
          <w:rFonts w:hint="eastAsia"/>
          <w:lang w:val="en-US" w:eastAsia="zh-CN"/>
        </w:rPr>
        <w:t>6.2地表水环境风险分析</w:t>
      </w:r>
    </w:p>
    <w:p w14:paraId="5BE0F04A">
      <w:pPr>
        <w:ind w:firstLine="480" w:firstLineChars="200"/>
        <w:rPr>
          <w:rFonts w:hint="eastAsia"/>
          <w:lang w:val="en-US" w:eastAsia="zh-CN"/>
        </w:rPr>
      </w:pPr>
      <w:r>
        <w:rPr>
          <w:rFonts w:hint="eastAsia"/>
          <w:lang w:val="en-US" w:eastAsia="zh-CN"/>
        </w:rPr>
        <w:t>项目物料发生泄漏后，如不能被妥善控制会存在通过雨水系统排放至外界水环境，可能导致水体污染的风险。若不及时有效处理泄漏的液体，可能会对水环境产生一定不利的影响。液氨和氨水属于危害水生环境-急性毒性类别1物质，一旦泄露进入水环境，会对水生动植物产生毒害影响。</w:t>
      </w:r>
    </w:p>
    <w:p w14:paraId="5449891C">
      <w:pPr>
        <w:ind w:firstLine="480" w:firstLineChars="200"/>
        <w:rPr>
          <w:rFonts w:hint="eastAsia"/>
          <w:lang w:val="en-US" w:eastAsia="zh-CN"/>
        </w:rPr>
      </w:pPr>
      <w:r>
        <w:rPr>
          <w:rFonts w:hint="eastAsia"/>
          <w:lang w:val="en-US" w:eastAsia="zh-CN"/>
        </w:rPr>
        <w:t>另外，在火灾爆炸事故的扑救中，会产生的大量的消防废水，其中可能含有大量的氨水，如果该废水经雨水排放系统排放至外环境，存在水体污染的风险。本项目雨水经园区雨水管道进入逢源河，若发生事故时，事故废水进入逢源河，再流入西江流域，可能会对逢源河、西江流域水质产生一定的影响。</w:t>
      </w:r>
    </w:p>
    <w:p w14:paraId="47D65730">
      <w:pPr>
        <w:ind w:firstLine="480" w:firstLineChars="200"/>
        <w:rPr>
          <w:rFonts w:hint="eastAsia"/>
          <w:lang w:val="en-US" w:eastAsia="zh-CN"/>
        </w:rPr>
      </w:pPr>
      <w:r>
        <w:rPr>
          <w:rFonts w:hint="eastAsia"/>
          <w:lang w:val="en-US" w:eastAsia="zh-CN"/>
        </w:rPr>
        <w:t>项目设有“三级防控”：</w:t>
      </w:r>
    </w:p>
    <w:p w14:paraId="001B512C">
      <w:pPr>
        <w:ind w:firstLine="480" w:firstLineChars="200"/>
        <w:rPr>
          <w:rFonts w:hint="eastAsia"/>
          <w:lang w:val="en-US" w:eastAsia="zh-CN"/>
        </w:rPr>
      </w:pPr>
      <w:r>
        <w:rPr>
          <w:rFonts w:hint="eastAsia"/>
          <w:lang w:val="en-US" w:eastAsia="zh-CN"/>
        </w:rPr>
        <w:t>一级预防与控制体系：项目设有雨水截流阀，事故状态下能够关闭雨水截流阀，将事故状态下的雨水引流至事故应急池，事故废水按危险废物处理，交由有资质的单位清运处置。</w:t>
      </w:r>
    </w:p>
    <w:p w14:paraId="7F27738D">
      <w:pPr>
        <w:ind w:firstLine="480" w:firstLineChars="200"/>
        <w:rPr>
          <w:rFonts w:hint="eastAsia"/>
          <w:lang w:val="en-US" w:eastAsia="zh-CN"/>
        </w:rPr>
      </w:pPr>
      <w:r>
        <w:rPr>
          <w:rFonts w:hint="eastAsia"/>
          <w:lang w:val="en-US" w:eastAsia="zh-CN"/>
        </w:rPr>
        <w:t>二级预防与控制体系：液氨、氨水储罐区设有围堰，可将发生泄漏的污染控制在厂内；且各处与液氨罐和氨水储罐相连管道，储罐根部都安装有切断阀，当发生管道泄漏时，储罐根部紧急切断阀会及时切断。生产装置区的液氨充装区和液氨卸车位周边设置集水沟收集事故废水，收集后并引流至事故应急池。可有效防止生产事故泄漏物料、受污染的消防水、受污染的染雨水和事故泄漏造成的环境污染事故。</w:t>
      </w:r>
    </w:p>
    <w:p w14:paraId="4970C73E">
      <w:pPr>
        <w:ind w:firstLine="480" w:firstLineChars="200"/>
        <w:rPr>
          <w:rFonts w:hint="eastAsia"/>
          <w:lang w:val="en-US" w:eastAsia="zh-CN"/>
        </w:rPr>
      </w:pPr>
      <w:r>
        <w:rPr>
          <w:rFonts w:hint="eastAsia"/>
          <w:lang w:val="en-US" w:eastAsia="zh-CN"/>
        </w:rPr>
        <w:t>三级级预防与控制体系：本项目各储罐均设置有泄漏报警装置和压力感应装置，当储罐或管线压力异常时，报警装置预警，项目内工作人员可立即到场处置。</w:t>
      </w:r>
    </w:p>
    <w:p w14:paraId="28F933AD">
      <w:pPr>
        <w:ind w:firstLine="480" w:firstLineChars="200"/>
        <w:rPr>
          <w:rFonts w:hint="eastAsia"/>
          <w:lang w:val="en-US" w:eastAsia="zh-CN"/>
        </w:rPr>
      </w:pPr>
      <w:r>
        <w:rPr>
          <w:rFonts w:hint="eastAsia"/>
          <w:lang w:val="en-US" w:eastAsia="zh-CN"/>
        </w:rPr>
        <w:t>综上，本项目物料泄漏时可防可控，对地表水环境影响较小。</w:t>
      </w:r>
    </w:p>
    <w:p w14:paraId="4D0FF164">
      <w:pPr>
        <w:pStyle w:val="3"/>
        <w:bidi w:val="0"/>
        <w:rPr>
          <w:rFonts w:hint="eastAsia"/>
          <w:lang w:val="en-US" w:eastAsia="zh-CN"/>
        </w:rPr>
      </w:pPr>
      <w:r>
        <w:rPr>
          <w:rFonts w:hint="eastAsia"/>
          <w:lang w:val="en-US" w:eastAsia="zh-CN"/>
        </w:rPr>
        <w:t>6.3地下水环境风险分析</w:t>
      </w:r>
    </w:p>
    <w:p w14:paraId="42B600E0">
      <w:pPr>
        <w:ind w:firstLine="480" w:firstLineChars="200"/>
        <w:rPr>
          <w:rFonts w:hint="eastAsia"/>
          <w:lang w:val="en-US" w:eastAsia="zh-CN"/>
        </w:rPr>
      </w:pPr>
      <w:r>
        <w:rPr>
          <w:rFonts w:hint="eastAsia"/>
          <w:lang w:val="en-US" w:eastAsia="zh-CN"/>
        </w:rPr>
        <w:t>本项目液氨、氨水及固体废物等对地下水造成的影响为液氨或氨水管线出现泄漏对地下水环境造成影响。本项目位于的厂区已做好地面硬化工作，厂房使用钢筋混凝土结构，厂区四面围闭，厂区通过保持通风及大门出入，能有效防止危险物质、危险废物发生漏、溢流及水淋湿从而流入到地下水环境。同时，建设单位通过加强原辅料运输及储存、危险废物储存及运输管理，在正常运行工况下，不会对地下水环境质量造成显著的不利影响。</w:t>
      </w:r>
    </w:p>
    <w:p w14:paraId="32262CF9">
      <w:pPr>
        <w:pStyle w:val="3"/>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360B47C">
      <w:pPr>
        <w:pStyle w:val="3"/>
        <w:bidi w:val="0"/>
        <w:rPr>
          <w:rFonts w:hint="eastAsia"/>
          <w:lang w:val="en-US" w:eastAsia="zh-CN"/>
        </w:rPr>
      </w:pPr>
      <w:r>
        <w:rPr>
          <w:rFonts w:hint="eastAsia"/>
          <w:lang w:val="en-US" w:eastAsia="zh-CN"/>
        </w:rPr>
        <w:t>6.5事故源项及事故后果基本信息表</w:t>
      </w:r>
    </w:p>
    <w:p w14:paraId="1547F222">
      <w:pPr>
        <w:pStyle w:val="15"/>
        <w:bidi w:val="0"/>
        <w:rPr>
          <w:rFonts w:hint="eastAsia"/>
          <w:lang w:val="en-US" w:eastAsia="zh-CN"/>
        </w:rPr>
      </w:pPr>
      <w:r>
        <w:rPr>
          <w:rFonts w:hint="eastAsia"/>
          <w:lang w:val="en-US" w:eastAsia="zh-CN"/>
        </w:rPr>
        <w:t>表6-11 液氨、氨水管道泄漏基础信息表</w:t>
      </w:r>
    </w:p>
    <w:tbl>
      <w:tblPr>
        <w:tblStyle w:val="11"/>
        <w:tblW w:w="914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1807"/>
        <w:gridCol w:w="1194"/>
        <w:gridCol w:w="1501"/>
        <w:gridCol w:w="562"/>
        <w:gridCol w:w="374"/>
        <w:gridCol w:w="857"/>
        <w:gridCol w:w="1555"/>
        <w:gridCol w:w="1290"/>
      </w:tblGrid>
      <w:tr w14:paraId="3F0AE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09" w:hRule="atLeast"/>
          <w:jc w:val="center"/>
        </w:trPr>
        <w:tc>
          <w:tcPr>
            <w:tcW w:w="9140" w:type="dxa"/>
            <w:gridSpan w:val="8"/>
            <w:tcBorders>
              <w:tl2br w:val="nil"/>
              <w:tr2bl w:val="nil"/>
            </w:tcBorders>
            <w:vAlign w:val="center"/>
          </w:tcPr>
          <w:p w14:paraId="7EB5681B">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风险事故情形分析</w:t>
            </w:r>
          </w:p>
        </w:tc>
      </w:tr>
      <w:tr w14:paraId="59299B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tcBorders>
              <w:tl2br w:val="nil"/>
              <w:tr2bl w:val="nil"/>
            </w:tcBorders>
            <w:vAlign w:val="center"/>
          </w:tcPr>
          <w:p w14:paraId="0599589E">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代表性风险事故情形描述</w:t>
            </w:r>
          </w:p>
        </w:tc>
        <w:tc>
          <w:tcPr>
            <w:tcW w:w="7333" w:type="dxa"/>
            <w:gridSpan w:val="7"/>
            <w:tcBorders>
              <w:tl2br w:val="nil"/>
              <w:tr2bl w:val="nil"/>
            </w:tcBorders>
            <w:vAlign w:val="center"/>
          </w:tcPr>
          <w:p w14:paraId="4F4B3F29">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液氨管线、氨水管线泄漏</w:t>
            </w:r>
          </w:p>
        </w:tc>
      </w:tr>
      <w:tr w14:paraId="1E5F21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53FE7480">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环境风险类型</w:t>
            </w:r>
          </w:p>
        </w:tc>
        <w:tc>
          <w:tcPr>
            <w:tcW w:w="7333" w:type="dxa"/>
            <w:gridSpan w:val="7"/>
            <w:tcBorders>
              <w:tl2br w:val="nil"/>
              <w:tr2bl w:val="nil"/>
            </w:tcBorders>
            <w:vAlign w:val="center"/>
          </w:tcPr>
          <w:p w14:paraId="08AB0396">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液氨泄漏</w:t>
            </w:r>
          </w:p>
        </w:tc>
      </w:tr>
      <w:tr w14:paraId="5E0A0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405487F5">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泄漏设备类型</w:t>
            </w:r>
          </w:p>
        </w:tc>
        <w:tc>
          <w:tcPr>
            <w:tcW w:w="1194" w:type="dxa"/>
            <w:tcBorders>
              <w:tl2br w:val="nil"/>
              <w:tr2bl w:val="nil"/>
            </w:tcBorders>
            <w:vAlign w:val="center"/>
          </w:tcPr>
          <w:p w14:paraId="40A48E93">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压力管道</w:t>
            </w:r>
          </w:p>
        </w:tc>
        <w:tc>
          <w:tcPr>
            <w:tcW w:w="2063" w:type="dxa"/>
            <w:gridSpan w:val="2"/>
            <w:tcBorders>
              <w:tl2br w:val="nil"/>
              <w:tr2bl w:val="nil"/>
            </w:tcBorders>
            <w:vAlign w:val="center"/>
          </w:tcPr>
          <w:p w14:paraId="7026E90B">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操作温度</w:t>
            </w:r>
            <w:r>
              <w:rPr>
                <w:rFonts w:ascii="Times New Roman" w:hAnsi="Times New Roman" w:eastAsia="宋体" w:cs="Times New Roman"/>
                <w:b/>
                <w:bCs/>
                <w:kern w:val="0"/>
                <w:sz w:val="21"/>
                <w:szCs w:val="20"/>
                <w:lang w:val="en-US" w:eastAsia="zh-CN" w:bidi="ar-SA"/>
              </w:rPr>
              <w:t>/</w:t>
            </w:r>
            <w:r>
              <w:rPr>
                <w:rFonts w:hint="eastAsia" w:ascii="Times New Roman" w:hAnsi="Times New Roman" w:eastAsia="宋体" w:cs="Times New Roman"/>
                <w:b/>
                <w:bCs/>
                <w:kern w:val="0"/>
                <w:sz w:val="21"/>
                <w:szCs w:val="20"/>
                <w:lang w:val="en-US" w:eastAsia="zh-CN" w:bidi="ar-SA"/>
              </w:rPr>
              <w:t>℃</w:t>
            </w:r>
          </w:p>
        </w:tc>
        <w:tc>
          <w:tcPr>
            <w:tcW w:w="1231" w:type="dxa"/>
            <w:gridSpan w:val="2"/>
            <w:tcBorders>
              <w:tl2br w:val="nil"/>
              <w:tr2bl w:val="nil"/>
            </w:tcBorders>
            <w:vAlign w:val="center"/>
          </w:tcPr>
          <w:p w14:paraId="71CC046C">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33</w:t>
            </w:r>
          </w:p>
        </w:tc>
        <w:tc>
          <w:tcPr>
            <w:tcW w:w="1555" w:type="dxa"/>
            <w:tcBorders>
              <w:tl2br w:val="nil"/>
              <w:tr2bl w:val="nil"/>
            </w:tcBorders>
            <w:vAlign w:val="center"/>
          </w:tcPr>
          <w:p w14:paraId="124254D4">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操作压力</w:t>
            </w:r>
            <w:r>
              <w:rPr>
                <w:rFonts w:ascii="Times New Roman" w:hAnsi="Times New Roman" w:eastAsia="宋体" w:cs="Times New Roman"/>
                <w:b/>
                <w:bCs/>
                <w:kern w:val="0"/>
                <w:sz w:val="21"/>
                <w:szCs w:val="20"/>
                <w:lang w:val="en-US" w:eastAsia="zh-CN" w:bidi="ar-SA"/>
              </w:rPr>
              <w:t>/Mpa</w:t>
            </w:r>
          </w:p>
        </w:tc>
        <w:tc>
          <w:tcPr>
            <w:tcW w:w="1290" w:type="dxa"/>
            <w:tcBorders>
              <w:tl2br w:val="nil"/>
              <w:tr2bl w:val="nil"/>
            </w:tcBorders>
            <w:vAlign w:val="center"/>
          </w:tcPr>
          <w:p w14:paraId="207CB9AA">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1.2</w:t>
            </w:r>
          </w:p>
        </w:tc>
      </w:tr>
      <w:tr w14:paraId="7434C0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1B5F6ACE">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泄漏危险物质</w:t>
            </w:r>
          </w:p>
        </w:tc>
        <w:tc>
          <w:tcPr>
            <w:tcW w:w="1194" w:type="dxa"/>
            <w:tcBorders>
              <w:tl2br w:val="nil"/>
              <w:tr2bl w:val="nil"/>
            </w:tcBorders>
            <w:vAlign w:val="center"/>
          </w:tcPr>
          <w:p w14:paraId="293F55F9">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氨</w:t>
            </w:r>
          </w:p>
        </w:tc>
        <w:tc>
          <w:tcPr>
            <w:tcW w:w="2063" w:type="dxa"/>
            <w:gridSpan w:val="2"/>
            <w:tcBorders>
              <w:tl2br w:val="nil"/>
              <w:tr2bl w:val="nil"/>
            </w:tcBorders>
            <w:vAlign w:val="center"/>
          </w:tcPr>
          <w:p w14:paraId="0313B865">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最大存在量</w:t>
            </w:r>
            <w:r>
              <w:rPr>
                <w:rFonts w:ascii="Times New Roman" w:hAnsi="Times New Roman" w:eastAsia="宋体" w:cs="Times New Roman"/>
                <w:b/>
                <w:bCs/>
                <w:kern w:val="0"/>
                <w:sz w:val="21"/>
                <w:szCs w:val="20"/>
                <w:lang w:val="en-US" w:eastAsia="zh-CN" w:bidi="ar-SA"/>
              </w:rPr>
              <w:t>/kg</w:t>
            </w:r>
          </w:p>
        </w:tc>
        <w:tc>
          <w:tcPr>
            <w:tcW w:w="1231" w:type="dxa"/>
            <w:gridSpan w:val="2"/>
            <w:tcBorders>
              <w:tl2br w:val="nil"/>
              <w:tr2bl w:val="nil"/>
            </w:tcBorders>
            <w:vAlign w:val="center"/>
          </w:tcPr>
          <w:p w14:paraId="001E6221">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1866200</w:t>
            </w:r>
          </w:p>
        </w:tc>
        <w:tc>
          <w:tcPr>
            <w:tcW w:w="1555" w:type="dxa"/>
            <w:tcBorders>
              <w:tl2br w:val="nil"/>
              <w:tr2bl w:val="nil"/>
            </w:tcBorders>
            <w:vAlign w:val="center"/>
          </w:tcPr>
          <w:p w14:paraId="23074DCE">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泄漏孔径</w:t>
            </w:r>
            <w:r>
              <w:rPr>
                <w:rFonts w:ascii="Times New Roman" w:hAnsi="Times New Roman" w:eastAsia="宋体" w:cs="Times New Roman"/>
                <w:b/>
                <w:bCs/>
                <w:kern w:val="0"/>
                <w:sz w:val="21"/>
                <w:szCs w:val="20"/>
                <w:lang w:val="en-US" w:eastAsia="zh-CN" w:bidi="ar-SA"/>
              </w:rPr>
              <w:t>/mm</w:t>
            </w:r>
          </w:p>
        </w:tc>
        <w:tc>
          <w:tcPr>
            <w:tcW w:w="1290" w:type="dxa"/>
            <w:tcBorders>
              <w:tl2br w:val="nil"/>
              <w:tr2bl w:val="nil"/>
            </w:tcBorders>
            <w:vAlign w:val="center"/>
          </w:tcPr>
          <w:p w14:paraId="047C328A">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7.5</w:t>
            </w:r>
          </w:p>
        </w:tc>
      </w:tr>
      <w:tr w14:paraId="3EB153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71DD6809">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泄漏速率</w:t>
            </w:r>
            <w:r>
              <w:rPr>
                <w:rFonts w:ascii="Times New Roman" w:hAnsi="Times New Roman" w:eastAsia="宋体" w:cs="Times New Roman"/>
                <w:b/>
                <w:bCs/>
                <w:kern w:val="0"/>
                <w:sz w:val="21"/>
                <w:szCs w:val="20"/>
                <w:lang w:val="en-US" w:eastAsia="zh-CN" w:bidi="ar-SA"/>
              </w:rPr>
              <w:t>/(kg/s)</w:t>
            </w:r>
          </w:p>
        </w:tc>
        <w:tc>
          <w:tcPr>
            <w:tcW w:w="1194" w:type="dxa"/>
            <w:tcBorders>
              <w:tl2br w:val="nil"/>
              <w:tr2bl w:val="nil"/>
            </w:tcBorders>
            <w:vAlign w:val="center"/>
          </w:tcPr>
          <w:p w14:paraId="2C3998BB">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0.10666</w:t>
            </w:r>
          </w:p>
        </w:tc>
        <w:tc>
          <w:tcPr>
            <w:tcW w:w="2063" w:type="dxa"/>
            <w:gridSpan w:val="2"/>
            <w:tcBorders>
              <w:tl2br w:val="nil"/>
              <w:tr2bl w:val="nil"/>
            </w:tcBorders>
            <w:vAlign w:val="center"/>
          </w:tcPr>
          <w:p w14:paraId="0BE88FD0">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泄漏时间</w:t>
            </w:r>
            <w:r>
              <w:rPr>
                <w:rFonts w:ascii="Times New Roman" w:hAnsi="Times New Roman" w:eastAsia="宋体" w:cs="Times New Roman"/>
                <w:b/>
                <w:bCs/>
                <w:kern w:val="0"/>
                <w:sz w:val="21"/>
                <w:szCs w:val="20"/>
                <w:lang w:val="en-US" w:eastAsia="zh-CN" w:bidi="ar-SA"/>
              </w:rPr>
              <w:t>/min</w:t>
            </w:r>
          </w:p>
        </w:tc>
        <w:tc>
          <w:tcPr>
            <w:tcW w:w="1231" w:type="dxa"/>
            <w:gridSpan w:val="2"/>
            <w:tcBorders>
              <w:tl2br w:val="nil"/>
              <w:tr2bl w:val="nil"/>
            </w:tcBorders>
            <w:vAlign w:val="center"/>
          </w:tcPr>
          <w:p w14:paraId="758AB275">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10</w:t>
            </w:r>
          </w:p>
        </w:tc>
        <w:tc>
          <w:tcPr>
            <w:tcW w:w="1555" w:type="dxa"/>
            <w:tcBorders>
              <w:tl2br w:val="nil"/>
              <w:tr2bl w:val="nil"/>
            </w:tcBorders>
            <w:vAlign w:val="center"/>
          </w:tcPr>
          <w:p w14:paraId="53FA1C10">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泄漏量</w:t>
            </w:r>
            <w:r>
              <w:rPr>
                <w:rFonts w:ascii="Times New Roman" w:hAnsi="Times New Roman" w:eastAsia="宋体" w:cs="Times New Roman"/>
                <w:b/>
                <w:bCs/>
                <w:kern w:val="0"/>
                <w:sz w:val="21"/>
                <w:szCs w:val="20"/>
                <w:lang w:val="en-US" w:eastAsia="zh-CN" w:bidi="ar-SA"/>
              </w:rPr>
              <w:t>/kg</w:t>
            </w:r>
          </w:p>
        </w:tc>
        <w:tc>
          <w:tcPr>
            <w:tcW w:w="1290" w:type="dxa"/>
            <w:tcBorders>
              <w:tl2br w:val="nil"/>
              <w:tr2bl w:val="nil"/>
            </w:tcBorders>
            <w:vAlign w:val="center"/>
          </w:tcPr>
          <w:p w14:paraId="2892681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3839.76</w:t>
            </w:r>
          </w:p>
        </w:tc>
      </w:tr>
      <w:tr w14:paraId="5EF651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4E90E6F0">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泄漏高度</w:t>
            </w:r>
            <w:r>
              <w:rPr>
                <w:rFonts w:ascii="Times New Roman" w:hAnsi="Times New Roman" w:eastAsia="宋体" w:cs="Times New Roman"/>
                <w:b/>
                <w:bCs/>
                <w:kern w:val="0"/>
                <w:sz w:val="21"/>
                <w:szCs w:val="20"/>
                <w:lang w:val="en-US" w:eastAsia="zh-CN" w:bidi="ar-SA"/>
              </w:rPr>
              <w:t>/m</w:t>
            </w:r>
          </w:p>
        </w:tc>
        <w:tc>
          <w:tcPr>
            <w:tcW w:w="1194" w:type="dxa"/>
            <w:tcBorders>
              <w:tl2br w:val="nil"/>
              <w:tr2bl w:val="nil"/>
            </w:tcBorders>
            <w:vAlign w:val="center"/>
          </w:tcPr>
          <w:p w14:paraId="72F61754">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2063" w:type="dxa"/>
            <w:gridSpan w:val="2"/>
            <w:tcBorders>
              <w:tl2br w:val="nil"/>
              <w:tr2bl w:val="nil"/>
            </w:tcBorders>
            <w:vAlign w:val="center"/>
          </w:tcPr>
          <w:p w14:paraId="6DD6D57D">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泄漏液体蒸发量</w:t>
            </w:r>
            <w:r>
              <w:rPr>
                <w:rFonts w:ascii="Times New Roman" w:hAnsi="Times New Roman" w:eastAsia="宋体" w:cs="Times New Roman"/>
                <w:b/>
                <w:bCs/>
                <w:kern w:val="0"/>
                <w:sz w:val="21"/>
                <w:szCs w:val="20"/>
                <w:lang w:val="en-US" w:eastAsia="zh-CN" w:bidi="ar-SA"/>
              </w:rPr>
              <w:t>/kg</w:t>
            </w:r>
          </w:p>
        </w:tc>
        <w:tc>
          <w:tcPr>
            <w:tcW w:w="1231" w:type="dxa"/>
            <w:gridSpan w:val="2"/>
            <w:tcBorders>
              <w:tl2br w:val="nil"/>
              <w:tr2bl w:val="nil"/>
            </w:tcBorders>
            <w:vAlign w:val="center"/>
          </w:tcPr>
          <w:p w14:paraId="130DA9C5">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1886.49</w:t>
            </w:r>
          </w:p>
        </w:tc>
        <w:tc>
          <w:tcPr>
            <w:tcW w:w="1555" w:type="dxa"/>
            <w:tcBorders>
              <w:tl2br w:val="nil"/>
              <w:tr2bl w:val="nil"/>
            </w:tcBorders>
            <w:vAlign w:val="center"/>
          </w:tcPr>
          <w:p w14:paraId="240034F1">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泄漏频率</w:t>
            </w:r>
          </w:p>
        </w:tc>
        <w:tc>
          <w:tcPr>
            <w:tcW w:w="1290" w:type="dxa"/>
            <w:tcBorders>
              <w:tl2br w:val="nil"/>
              <w:tr2bl w:val="nil"/>
            </w:tcBorders>
            <w:vAlign w:val="center"/>
          </w:tcPr>
          <w:p w14:paraId="10CBFE6A">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5×10</w:t>
            </w:r>
            <w:r>
              <w:rPr>
                <w:rFonts w:hint="eastAsia" w:ascii="Times New Roman" w:hAnsi="Times New Roman" w:eastAsia="宋体" w:cs="Times New Roman"/>
                <w:kern w:val="0"/>
                <w:sz w:val="21"/>
                <w:szCs w:val="20"/>
                <w:vertAlign w:val="superscript"/>
                <w:lang w:val="en-US" w:eastAsia="zh-CN" w:bidi="ar-SA"/>
              </w:rPr>
              <w:t>-6</w:t>
            </w:r>
            <w:r>
              <w:rPr>
                <w:rFonts w:hint="eastAsia" w:ascii="Times New Roman" w:hAnsi="Times New Roman" w:eastAsia="宋体" w:cs="Times New Roman"/>
                <w:kern w:val="0"/>
                <w:sz w:val="21"/>
                <w:szCs w:val="20"/>
                <w:lang w:val="en-US" w:eastAsia="zh-CN" w:bidi="ar-SA"/>
              </w:rPr>
              <w:t>/a</w:t>
            </w:r>
          </w:p>
        </w:tc>
      </w:tr>
      <w:tr w14:paraId="2D65F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54036094">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环境风险类型</w:t>
            </w:r>
          </w:p>
        </w:tc>
        <w:tc>
          <w:tcPr>
            <w:tcW w:w="7333" w:type="dxa"/>
            <w:gridSpan w:val="7"/>
            <w:tcBorders>
              <w:tl2br w:val="nil"/>
              <w:tr2bl w:val="nil"/>
            </w:tcBorders>
            <w:vAlign w:val="center"/>
          </w:tcPr>
          <w:p w14:paraId="283C1264">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氨水泄漏</w:t>
            </w:r>
          </w:p>
        </w:tc>
      </w:tr>
      <w:tr w14:paraId="3425F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3D40B864">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泄漏设备类型</w:t>
            </w:r>
          </w:p>
        </w:tc>
        <w:tc>
          <w:tcPr>
            <w:tcW w:w="1194" w:type="dxa"/>
            <w:tcBorders>
              <w:tl2br w:val="nil"/>
              <w:tr2bl w:val="nil"/>
            </w:tcBorders>
            <w:vAlign w:val="center"/>
          </w:tcPr>
          <w:p w14:paraId="3A371292">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压力管道</w:t>
            </w:r>
          </w:p>
        </w:tc>
        <w:tc>
          <w:tcPr>
            <w:tcW w:w="2063" w:type="dxa"/>
            <w:gridSpan w:val="2"/>
            <w:tcBorders>
              <w:tl2br w:val="nil"/>
              <w:tr2bl w:val="nil"/>
            </w:tcBorders>
            <w:vAlign w:val="center"/>
          </w:tcPr>
          <w:p w14:paraId="2FBC9FFF">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操作温度</w:t>
            </w:r>
            <w:r>
              <w:rPr>
                <w:rFonts w:ascii="Times New Roman" w:hAnsi="Times New Roman" w:eastAsia="宋体" w:cs="Times New Roman"/>
                <w:b/>
                <w:bCs/>
                <w:kern w:val="0"/>
                <w:sz w:val="21"/>
                <w:szCs w:val="20"/>
                <w:lang w:val="en-US" w:eastAsia="zh-CN" w:bidi="ar-SA"/>
              </w:rPr>
              <w:t>/</w:t>
            </w:r>
            <w:r>
              <w:rPr>
                <w:rFonts w:hint="eastAsia" w:ascii="Times New Roman" w:hAnsi="Times New Roman" w:eastAsia="宋体" w:cs="Times New Roman"/>
                <w:b/>
                <w:bCs/>
                <w:kern w:val="0"/>
                <w:sz w:val="21"/>
                <w:szCs w:val="20"/>
                <w:lang w:val="en-US" w:eastAsia="zh-CN" w:bidi="ar-SA"/>
              </w:rPr>
              <w:t>℃</w:t>
            </w:r>
          </w:p>
        </w:tc>
        <w:tc>
          <w:tcPr>
            <w:tcW w:w="1231" w:type="dxa"/>
            <w:gridSpan w:val="2"/>
            <w:tcBorders>
              <w:tl2br w:val="nil"/>
              <w:tr2bl w:val="nil"/>
            </w:tcBorders>
            <w:vAlign w:val="center"/>
          </w:tcPr>
          <w:p w14:paraId="3D99393F">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33</w:t>
            </w:r>
          </w:p>
        </w:tc>
        <w:tc>
          <w:tcPr>
            <w:tcW w:w="1555" w:type="dxa"/>
            <w:tcBorders>
              <w:tl2br w:val="nil"/>
              <w:tr2bl w:val="nil"/>
            </w:tcBorders>
            <w:vAlign w:val="center"/>
          </w:tcPr>
          <w:p w14:paraId="1FB8DFE9">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操作压力</w:t>
            </w:r>
            <w:r>
              <w:rPr>
                <w:rFonts w:ascii="Times New Roman" w:hAnsi="Times New Roman" w:eastAsia="宋体" w:cs="Times New Roman"/>
                <w:b/>
                <w:bCs/>
                <w:kern w:val="0"/>
                <w:sz w:val="21"/>
                <w:szCs w:val="20"/>
                <w:lang w:val="en-US" w:eastAsia="zh-CN" w:bidi="ar-SA"/>
              </w:rPr>
              <w:t>/Mpa</w:t>
            </w:r>
          </w:p>
        </w:tc>
        <w:tc>
          <w:tcPr>
            <w:tcW w:w="1290" w:type="dxa"/>
            <w:tcBorders>
              <w:tl2br w:val="nil"/>
              <w:tr2bl w:val="nil"/>
            </w:tcBorders>
            <w:vAlign w:val="center"/>
          </w:tcPr>
          <w:p w14:paraId="61669982">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0.3</w:t>
            </w:r>
          </w:p>
        </w:tc>
      </w:tr>
      <w:tr w14:paraId="72A0E2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361B9173">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泄漏危险物质</w:t>
            </w:r>
          </w:p>
        </w:tc>
        <w:tc>
          <w:tcPr>
            <w:tcW w:w="1194" w:type="dxa"/>
            <w:tcBorders>
              <w:tl2br w:val="nil"/>
              <w:tr2bl w:val="nil"/>
            </w:tcBorders>
            <w:vAlign w:val="center"/>
          </w:tcPr>
          <w:p w14:paraId="20BD6B4D">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氨</w:t>
            </w:r>
          </w:p>
        </w:tc>
        <w:tc>
          <w:tcPr>
            <w:tcW w:w="2063" w:type="dxa"/>
            <w:gridSpan w:val="2"/>
            <w:tcBorders>
              <w:tl2br w:val="nil"/>
              <w:tr2bl w:val="nil"/>
            </w:tcBorders>
            <w:vAlign w:val="center"/>
          </w:tcPr>
          <w:p w14:paraId="6E231FCB">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最大存在量</w:t>
            </w:r>
            <w:r>
              <w:rPr>
                <w:rFonts w:ascii="Times New Roman" w:hAnsi="Times New Roman" w:eastAsia="宋体" w:cs="Times New Roman"/>
                <w:b/>
                <w:bCs/>
                <w:kern w:val="0"/>
                <w:sz w:val="21"/>
                <w:szCs w:val="20"/>
                <w:lang w:val="en-US" w:eastAsia="zh-CN" w:bidi="ar-SA"/>
              </w:rPr>
              <w:t>/kg</w:t>
            </w:r>
          </w:p>
        </w:tc>
        <w:tc>
          <w:tcPr>
            <w:tcW w:w="1231" w:type="dxa"/>
            <w:gridSpan w:val="2"/>
            <w:tcBorders>
              <w:tl2br w:val="nil"/>
              <w:tr2bl w:val="nil"/>
            </w:tcBorders>
            <w:vAlign w:val="center"/>
          </w:tcPr>
          <w:p w14:paraId="2037424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875</w:t>
            </w:r>
          </w:p>
        </w:tc>
        <w:tc>
          <w:tcPr>
            <w:tcW w:w="1555" w:type="dxa"/>
            <w:tcBorders>
              <w:tl2br w:val="nil"/>
              <w:tr2bl w:val="nil"/>
            </w:tcBorders>
            <w:vAlign w:val="center"/>
          </w:tcPr>
          <w:p w14:paraId="389AC389">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泄漏孔径</w:t>
            </w:r>
            <w:r>
              <w:rPr>
                <w:rFonts w:ascii="Times New Roman" w:hAnsi="Times New Roman" w:eastAsia="宋体" w:cs="Times New Roman"/>
                <w:b/>
                <w:bCs/>
                <w:kern w:val="0"/>
                <w:sz w:val="21"/>
                <w:szCs w:val="20"/>
                <w:lang w:val="en-US" w:eastAsia="zh-CN" w:bidi="ar-SA"/>
              </w:rPr>
              <w:t>/mm</w:t>
            </w:r>
          </w:p>
        </w:tc>
        <w:tc>
          <w:tcPr>
            <w:tcW w:w="1290" w:type="dxa"/>
            <w:tcBorders>
              <w:tl2br w:val="nil"/>
              <w:tr2bl w:val="nil"/>
            </w:tcBorders>
            <w:vAlign w:val="center"/>
          </w:tcPr>
          <w:p w14:paraId="23AB60A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7</w:t>
            </w:r>
            <w:r>
              <w:rPr>
                <w:rFonts w:ascii="Times New Roman" w:hAnsi="Times New Roman" w:eastAsia="宋体" w:cs="Times New Roman"/>
                <w:kern w:val="0"/>
                <w:sz w:val="21"/>
                <w:szCs w:val="20"/>
                <w:lang w:val="en-US" w:eastAsia="zh-CN" w:bidi="ar-SA"/>
              </w:rPr>
              <w:t>.5</w:t>
            </w:r>
          </w:p>
        </w:tc>
      </w:tr>
      <w:tr w14:paraId="5FAE54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447A00E3">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泄漏速率</w:t>
            </w:r>
            <w:r>
              <w:rPr>
                <w:rFonts w:ascii="Times New Roman" w:hAnsi="Times New Roman" w:eastAsia="宋体" w:cs="Times New Roman"/>
                <w:b/>
                <w:bCs/>
                <w:kern w:val="0"/>
                <w:sz w:val="21"/>
                <w:szCs w:val="20"/>
                <w:lang w:val="en-US" w:eastAsia="zh-CN" w:bidi="ar-SA"/>
              </w:rPr>
              <w:t>/(kg/s)</w:t>
            </w:r>
          </w:p>
        </w:tc>
        <w:tc>
          <w:tcPr>
            <w:tcW w:w="1194" w:type="dxa"/>
            <w:tcBorders>
              <w:tl2br w:val="nil"/>
              <w:tr2bl w:val="nil"/>
            </w:tcBorders>
            <w:vAlign w:val="center"/>
          </w:tcPr>
          <w:p w14:paraId="1F27A4A2">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0.1719</w:t>
            </w:r>
          </w:p>
        </w:tc>
        <w:tc>
          <w:tcPr>
            <w:tcW w:w="2063" w:type="dxa"/>
            <w:gridSpan w:val="2"/>
            <w:tcBorders>
              <w:tl2br w:val="nil"/>
              <w:tr2bl w:val="nil"/>
            </w:tcBorders>
            <w:vAlign w:val="center"/>
          </w:tcPr>
          <w:p w14:paraId="155D545E">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泄漏时间</w:t>
            </w:r>
            <w:r>
              <w:rPr>
                <w:rFonts w:ascii="Times New Roman" w:hAnsi="Times New Roman" w:eastAsia="宋体" w:cs="Times New Roman"/>
                <w:b/>
                <w:bCs/>
                <w:kern w:val="0"/>
                <w:sz w:val="21"/>
                <w:szCs w:val="20"/>
                <w:lang w:val="en-US" w:eastAsia="zh-CN" w:bidi="ar-SA"/>
              </w:rPr>
              <w:t>/min</w:t>
            </w:r>
          </w:p>
        </w:tc>
        <w:tc>
          <w:tcPr>
            <w:tcW w:w="1231" w:type="dxa"/>
            <w:gridSpan w:val="2"/>
            <w:tcBorders>
              <w:tl2br w:val="nil"/>
              <w:tr2bl w:val="nil"/>
            </w:tcBorders>
            <w:vAlign w:val="center"/>
          </w:tcPr>
          <w:p w14:paraId="7D2E185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10</w:t>
            </w:r>
          </w:p>
        </w:tc>
        <w:tc>
          <w:tcPr>
            <w:tcW w:w="1555" w:type="dxa"/>
            <w:tcBorders>
              <w:tl2br w:val="nil"/>
              <w:tr2bl w:val="nil"/>
            </w:tcBorders>
            <w:vAlign w:val="center"/>
          </w:tcPr>
          <w:p w14:paraId="6DC44D84">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泄漏量</w:t>
            </w:r>
            <w:r>
              <w:rPr>
                <w:rFonts w:ascii="Times New Roman" w:hAnsi="Times New Roman" w:eastAsia="宋体" w:cs="Times New Roman"/>
                <w:b/>
                <w:bCs/>
                <w:kern w:val="0"/>
                <w:sz w:val="21"/>
                <w:szCs w:val="20"/>
                <w:lang w:val="en-US" w:eastAsia="zh-CN" w:bidi="ar-SA"/>
              </w:rPr>
              <w:t>/kg</w:t>
            </w:r>
          </w:p>
        </w:tc>
        <w:tc>
          <w:tcPr>
            <w:tcW w:w="1290" w:type="dxa"/>
            <w:tcBorders>
              <w:tl2br w:val="nil"/>
              <w:tr2bl w:val="nil"/>
            </w:tcBorders>
            <w:vAlign w:val="center"/>
          </w:tcPr>
          <w:p w14:paraId="7045B5F7">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103.14</w:t>
            </w:r>
          </w:p>
        </w:tc>
      </w:tr>
      <w:tr w14:paraId="7BDE2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tcBorders>
              <w:tl2br w:val="nil"/>
              <w:tr2bl w:val="nil"/>
            </w:tcBorders>
            <w:vAlign w:val="center"/>
          </w:tcPr>
          <w:p w14:paraId="06F979A1">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泄漏高度</w:t>
            </w:r>
            <w:r>
              <w:rPr>
                <w:rFonts w:ascii="Times New Roman" w:hAnsi="Times New Roman" w:eastAsia="宋体" w:cs="Times New Roman"/>
                <w:b/>
                <w:bCs/>
                <w:kern w:val="0"/>
                <w:sz w:val="21"/>
                <w:szCs w:val="20"/>
                <w:lang w:val="en-US" w:eastAsia="zh-CN" w:bidi="ar-SA"/>
              </w:rPr>
              <w:t>/m</w:t>
            </w:r>
          </w:p>
        </w:tc>
        <w:tc>
          <w:tcPr>
            <w:tcW w:w="1194" w:type="dxa"/>
            <w:tcBorders>
              <w:tl2br w:val="nil"/>
              <w:tr2bl w:val="nil"/>
            </w:tcBorders>
            <w:vAlign w:val="center"/>
          </w:tcPr>
          <w:p w14:paraId="552F1C41">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2063" w:type="dxa"/>
            <w:gridSpan w:val="2"/>
            <w:tcBorders>
              <w:tl2br w:val="nil"/>
              <w:tr2bl w:val="nil"/>
            </w:tcBorders>
            <w:vAlign w:val="center"/>
          </w:tcPr>
          <w:p w14:paraId="56B1E9A1">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泄漏液体蒸发量</w:t>
            </w:r>
            <w:r>
              <w:rPr>
                <w:rFonts w:ascii="Times New Roman" w:hAnsi="Times New Roman" w:eastAsia="宋体" w:cs="Times New Roman"/>
                <w:b/>
                <w:bCs/>
                <w:kern w:val="0"/>
                <w:sz w:val="21"/>
                <w:szCs w:val="20"/>
                <w:lang w:val="en-US" w:eastAsia="zh-CN" w:bidi="ar-SA"/>
              </w:rPr>
              <w:t>/kg</w:t>
            </w:r>
          </w:p>
        </w:tc>
        <w:tc>
          <w:tcPr>
            <w:tcW w:w="1231" w:type="dxa"/>
            <w:gridSpan w:val="2"/>
            <w:tcBorders>
              <w:tl2br w:val="nil"/>
              <w:tr2bl w:val="nil"/>
            </w:tcBorders>
            <w:vAlign w:val="center"/>
          </w:tcPr>
          <w:p w14:paraId="1A7A8DD4">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62.37</w:t>
            </w:r>
          </w:p>
        </w:tc>
        <w:tc>
          <w:tcPr>
            <w:tcW w:w="1555" w:type="dxa"/>
            <w:tcBorders>
              <w:tl2br w:val="nil"/>
              <w:tr2bl w:val="nil"/>
            </w:tcBorders>
            <w:vAlign w:val="center"/>
          </w:tcPr>
          <w:p w14:paraId="54A6AA23">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泄漏频率</w:t>
            </w:r>
          </w:p>
        </w:tc>
        <w:tc>
          <w:tcPr>
            <w:tcW w:w="1290" w:type="dxa"/>
            <w:tcBorders>
              <w:tl2br w:val="nil"/>
              <w:tr2bl w:val="nil"/>
            </w:tcBorders>
            <w:vAlign w:val="center"/>
          </w:tcPr>
          <w:p w14:paraId="431ED7D1">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5×10</w:t>
            </w:r>
            <w:r>
              <w:rPr>
                <w:rFonts w:hint="eastAsia" w:ascii="Times New Roman" w:hAnsi="Times New Roman" w:eastAsia="宋体" w:cs="Times New Roman"/>
                <w:kern w:val="0"/>
                <w:sz w:val="21"/>
                <w:szCs w:val="20"/>
                <w:vertAlign w:val="superscript"/>
                <w:lang w:val="en-US" w:eastAsia="zh-CN" w:bidi="ar-SA"/>
              </w:rPr>
              <w:t>-6</w:t>
            </w:r>
            <w:r>
              <w:rPr>
                <w:rFonts w:hint="eastAsia" w:ascii="Times New Roman" w:hAnsi="Times New Roman" w:eastAsia="宋体" w:cs="Times New Roman"/>
                <w:kern w:val="0"/>
                <w:sz w:val="21"/>
                <w:szCs w:val="20"/>
                <w:lang w:val="en-US" w:eastAsia="zh-CN" w:bidi="ar-SA"/>
              </w:rPr>
              <w:t>/a</w:t>
            </w:r>
          </w:p>
        </w:tc>
      </w:tr>
      <w:tr w14:paraId="7092E8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9140" w:type="dxa"/>
            <w:gridSpan w:val="8"/>
            <w:tcBorders>
              <w:tl2br w:val="nil"/>
              <w:tr2bl w:val="nil"/>
            </w:tcBorders>
            <w:vAlign w:val="center"/>
          </w:tcPr>
          <w:p w14:paraId="3E609CE5">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事故后果预测</w:t>
            </w:r>
          </w:p>
        </w:tc>
      </w:tr>
      <w:tr w14:paraId="487203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restart"/>
            <w:tcBorders>
              <w:tl2br w:val="nil"/>
              <w:tr2bl w:val="nil"/>
            </w:tcBorders>
            <w:vAlign w:val="center"/>
          </w:tcPr>
          <w:p w14:paraId="7EF3A9E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p w14:paraId="3317E268">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大气</w:t>
            </w:r>
          </w:p>
        </w:tc>
        <w:tc>
          <w:tcPr>
            <w:tcW w:w="1194" w:type="dxa"/>
            <w:tcBorders>
              <w:tl2br w:val="nil"/>
              <w:tr2bl w:val="nil"/>
            </w:tcBorders>
            <w:vAlign w:val="center"/>
          </w:tcPr>
          <w:p w14:paraId="527D7B04">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危险物质</w:t>
            </w:r>
          </w:p>
        </w:tc>
        <w:tc>
          <w:tcPr>
            <w:tcW w:w="6139" w:type="dxa"/>
            <w:gridSpan w:val="6"/>
            <w:tcBorders>
              <w:tl2br w:val="nil"/>
              <w:tr2bl w:val="nil"/>
            </w:tcBorders>
            <w:vAlign w:val="center"/>
          </w:tcPr>
          <w:p w14:paraId="4A3BF8FB">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大气环境影响</w:t>
            </w:r>
          </w:p>
        </w:tc>
      </w:tr>
      <w:tr w14:paraId="79B73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2" w:hRule="atLeast"/>
          <w:jc w:val="center"/>
        </w:trPr>
        <w:tc>
          <w:tcPr>
            <w:tcW w:w="1807" w:type="dxa"/>
            <w:vMerge w:val="continue"/>
            <w:tcBorders>
              <w:tl2br w:val="nil"/>
              <w:tr2bl w:val="nil"/>
            </w:tcBorders>
            <w:vAlign w:val="center"/>
          </w:tcPr>
          <w:p w14:paraId="5DACB54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restart"/>
            <w:tcBorders>
              <w:tl2br w:val="nil"/>
              <w:tr2bl w:val="nil"/>
            </w:tcBorders>
            <w:vAlign w:val="center"/>
          </w:tcPr>
          <w:p w14:paraId="7F62D48E">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液氨</w:t>
            </w:r>
          </w:p>
        </w:tc>
        <w:tc>
          <w:tcPr>
            <w:tcW w:w="1501" w:type="dxa"/>
            <w:tcBorders>
              <w:tl2br w:val="nil"/>
              <w:tr2bl w:val="nil"/>
            </w:tcBorders>
            <w:vAlign w:val="center"/>
          </w:tcPr>
          <w:p w14:paraId="0BA6BA67">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指标</w:t>
            </w:r>
          </w:p>
        </w:tc>
        <w:tc>
          <w:tcPr>
            <w:tcW w:w="1793" w:type="dxa"/>
            <w:gridSpan w:val="3"/>
            <w:tcBorders>
              <w:tl2br w:val="nil"/>
              <w:tr2bl w:val="nil"/>
            </w:tcBorders>
            <w:vAlign w:val="center"/>
          </w:tcPr>
          <w:p w14:paraId="4020992B">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浓度值</w:t>
            </w:r>
            <w:r>
              <w:rPr>
                <w:rFonts w:ascii="Times New Roman" w:hAnsi="Times New Roman" w:eastAsia="宋体" w:cs="Times New Roman"/>
                <w:b/>
                <w:bCs/>
                <w:kern w:val="0"/>
                <w:sz w:val="21"/>
                <w:szCs w:val="20"/>
                <w:lang w:val="en-US" w:eastAsia="zh-CN" w:bidi="ar-SA"/>
              </w:rPr>
              <w:t>/(mg/m</w:t>
            </w:r>
            <w:r>
              <w:rPr>
                <w:rFonts w:ascii="Times New Roman" w:hAnsi="Times New Roman" w:eastAsia="宋体" w:cs="Times New Roman"/>
                <w:b/>
                <w:bCs/>
                <w:kern w:val="0"/>
                <w:sz w:val="21"/>
                <w:szCs w:val="20"/>
                <w:vertAlign w:val="superscript"/>
                <w:lang w:val="en-US" w:eastAsia="zh-CN" w:bidi="ar-SA"/>
              </w:rPr>
              <w:t>3</w:t>
            </w:r>
            <w:r>
              <w:rPr>
                <w:rFonts w:ascii="Times New Roman" w:hAnsi="Times New Roman" w:eastAsia="宋体" w:cs="Times New Roman"/>
                <w:b/>
                <w:bCs/>
                <w:kern w:val="0"/>
                <w:sz w:val="21"/>
                <w:szCs w:val="20"/>
                <w:lang w:val="en-US" w:eastAsia="zh-CN" w:bidi="ar-SA"/>
              </w:rPr>
              <w:t>)</w:t>
            </w:r>
          </w:p>
        </w:tc>
        <w:tc>
          <w:tcPr>
            <w:tcW w:w="1555" w:type="dxa"/>
            <w:tcBorders>
              <w:tl2br w:val="nil"/>
              <w:tr2bl w:val="nil"/>
            </w:tcBorders>
            <w:vAlign w:val="center"/>
          </w:tcPr>
          <w:p w14:paraId="4299C9BC">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最远影响距离</w:t>
            </w:r>
            <w:r>
              <w:rPr>
                <w:rFonts w:ascii="Times New Roman" w:hAnsi="Times New Roman" w:eastAsia="宋体" w:cs="Times New Roman"/>
                <w:b/>
                <w:bCs/>
                <w:kern w:val="0"/>
                <w:sz w:val="21"/>
                <w:szCs w:val="20"/>
                <w:lang w:val="en-US" w:eastAsia="zh-CN" w:bidi="ar-SA"/>
              </w:rPr>
              <w:t>/m</w:t>
            </w:r>
          </w:p>
        </w:tc>
        <w:tc>
          <w:tcPr>
            <w:tcW w:w="1290" w:type="dxa"/>
            <w:tcBorders>
              <w:tl2br w:val="nil"/>
              <w:tr2bl w:val="nil"/>
            </w:tcBorders>
            <w:vAlign w:val="center"/>
          </w:tcPr>
          <w:p w14:paraId="2055F1D1">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到达时间</w:t>
            </w:r>
            <w:r>
              <w:rPr>
                <w:rFonts w:ascii="Times New Roman" w:hAnsi="Times New Roman" w:eastAsia="宋体" w:cs="Times New Roman"/>
                <w:b/>
                <w:bCs/>
                <w:kern w:val="0"/>
                <w:sz w:val="21"/>
                <w:szCs w:val="20"/>
                <w:lang w:val="en-US" w:eastAsia="zh-CN" w:bidi="ar-SA"/>
              </w:rPr>
              <w:t>/min</w:t>
            </w:r>
          </w:p>
        </w:tc>
      </w:tr>
      <w:tr w14:paraId="7CCAA6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vMerge w:val="continue"/>
            <w:tcBorders>
              <w:tl2br w:val="nil"/>
              <w:tr2bl w:val="nil"/>
            </w:tcBorders>
            <w:vAlign w:val="center"/>
          </w:tcPr>
          <w:p w14:paraId="4D5727A3">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0437DA4D">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c>
          <w:tcPr>
            <w:tcW w:w="1501" w:type="dxa"/>
            <w:tcBorders>
              <w:tl2br w:val="nil"/>
              <w:tr2bl w:val="nil"/>
            </w:tcBorders>
            <w:vAlign w:val="center"/>
          </w:tcPr>
          <w:p w14:paraId="43B92E87">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大气毒性终点浓度</w:t>
            </w:r>
            <w:r>
              <w:rPr>
                <w:rFonts w:ascii="Times New Roman" w:hAnsi="Times New Roman" w:eastAsia="宋体" w:cs="Times New Roman"/>
                <w:kern w:val="2"/>
                <w:sz w:val="21"/>
                <w:szCs w:val="24"/>
                <w:lang w:val="en-US" w:eastAsia="zh-CN" w:bidi="ar-SA"/>
              </w:rPr>
              <w:t>-1</w:t>
            </w:r>
          </w:p>
        </w:tc>
        <w:tc>
          <w:tcPr>
            <w:tcW w:w="1793" w:type="dxa"/>
            <w:gridSpan w:val="3"/>
            <w:tcBorders>
              <w:tl2br w:val="nil"/>
              <w:tr2bl w:val="nil"/>
            </w:tcBorders>
            <w:vAlign w:val="center"/>
          </w:tcPr>
          <w:p w14:paraId="13F70544">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770</w:t>
            </w:r>
          </w:p>
        </w:tc>
        <w:tc>
          <w:tcPr>
            <w:tcW w:w="1555" w:type="dxa"/>
            <w:tcBorders>
              <w:tl2br w:val="nil"/>
              <w:tr2bl w:val="nil"/>
            </w:tcBorders>
            <w:vAlign w:val="center"/>
          </w:tcPr>
          <w:p w14:paraId="34349E96">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3200</w:t>
            </w:r>
          </w:p>
        </w:tc>
        <w:tc>
          <w:tcPr>
            <w:tcW w:w="1290" w:type="dxa"/>
            <w:tcBorders>
              <w:tl2br w:val="nil"/>
              <w:tr2bl w:val="nil"/>
            </w:tcBorders>
            <w:vAlign w:val="center"/>
          </w:tcPr>
          <w:p w14:paraId="4F0334A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37.474</w:t>
            </w:r>
          </w:p>
        </w:tc>
      </w:tr>
      <w:tr w14:paraId="482DDC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vMerge w:val="continue"/>
            <w:tcBorders>
              <w:tl2br w:val="nil"/>
              <w:tr2bl w:val="nil"/>
            </w:tcBorders>
            <w:vAlign w:val="center"/>
          </w:tcPr>
          <w:p w14:paraId="5304E3E7">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51E12296">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c>
          <w:tcPr>
            <w:tcW w:w="1501" w:type="dxa"/>
            <w:tcBorders>
              <w:tl2br w:val="nil"/>
              <w:tr2bl w:val="nil"/>
            </w:tcBorders>
            <w:vAlign w:val="center"/>
          </w:tcPr>
          <w:p w14:paraId="1A1678FE">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大气毒性终点浓度</w:t>
            </w:r>
            <w:r>
              <w:rPr>
                <w:rFonts w:ascii="Times New Roman" w:hAnsi="Times New Roman" w:eastAsia="宋体" w:cs="Times New Roman"/>
                <w:kern w:val="2"/>
                <w:sz w:val="21"/>
                <w:szCs w:val="24"/>
                <w:lang w:val="en-US" w:eastAsia="zh-CN" w:bidi="ar-SA"/>
              </w:rPr>
              <w:t>-2</w:t>
            </w:r>
          </w:p>
        </w:tc>
        <w:tc>
          <w:tcPr>
            <w:tcW w:w="1793" w:type="dxa"/>
            <w:gridSpan w:val="3"/>
            <w:tcBorders>
              <w:tl2br w:val="nil"/>
              <w:tr2bl w:val="nil"/>
            </w:tcBorders>
            <w:vAlign w:val="center"/>
          </w:tcPr>
          <w:p w14:paraId="439A0BDA">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110</w:t>
            </w:r>
          </w:p>
        </w:tc>
        <w:tc>
          <w:tcPr>
            <w:tcW w:w="1555" w:type="dxa"/>
            <w:tcBorders>
              <w:tl2br w:val="nil"/>
              <w:tr2bl w:val="nil"/>
            </w:tcBorders>
            <w:vAlign w:val="center"/>
          </w:tcPr>
          <w:p w14:paraId="63630070">
            <w:pPr>
              <w:widowControl w:val="0"/>
              <w:bidi w:val="0"/>
              <w:adjustRightInd w:val="0"/>
              <w:snapToGrid w:val="0"/>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740</w:t>
            </w:r>
          </w:p>
        </w:tc>
        <w:tc>
          <w:tcPr>
            <w:tcW w:w="1290" w:type="dxa"/>
            <w:tcBorders>
              <w:tl2br w:val="nil"/>
              <w:tr2bl w:val="nil"/>
            </w:tcBorders>
            <w:vAlign w:val="center"/>
          </w:tcPr>
          <w:p w14:paraId="1FA3E5B4">
            <w:pPr>
              <w:widowControl w:val="0"/>
              <w:bidi w:val="0"/>
              <w:adjustRightInd w:val="0"/>
              <w:snapToGrid w:val="0"/>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12.413</w:t>
            </w:r>
          </w:p>
        </w:tc>
      </w:tr>
      <w:tr w14:paraId="4AEE44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2" w:hRule="atLeast"/>
          <w:jc w:val="center"/>
        </w:trPr>
        <w:tc>
          <w:tcPr>
            <w:tcW w:w="1807" w:type="dxa"/>
            <w:vMerge w:val="continue"/>
            <w:tcBorders>
              <w:tl2br w:val="nil"/>
              <w:tr2bl w:val="nil"/>
            </w:tcBorders>
            <w:vAlign w:val="center"/>
          </w:tcPr>
          <w:p w14:paraId="33953BDF">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067186E1">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c>
          <w:tcPr>
            <w:tcW w:w="1501" w:type="dxa"/>
            <w:tcBorders>
              <w:tl2br w:val="nil"/>
              <w:tr2bl w:val="nil"/>
            </w:tcBorders>
            <w:vAlign w:val="center"/>
          </w:tcPr>
          <w:p w14:paraId="72D46E53">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敏感目标名称</w:t>
            </w:r>
          </w:p>
        </w:tc>
        <w:tc>
          <w:tcPr>
            <w:tcW w:w="1793" w:type="dxa"/>
            <w:gridSpan w:val="3"/>
            <w:tcBorders>
              <w:tl2br w:val="nil"/>
              <w:tr2bl w:val="nil"/>
            </w:tcBorders>
            <w:vAlign w:val="center"/>
          </w:tcPr>
          <w:p w14:paraId="6207D846">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超标时间</w:t>
            </w:r>
            <w:r>
              <w:rPr>
                <w:rFonts w:ascii="Times New Roman" w:hAnsi="Times New Roman" w:eastAsia="宋体" w:cs="Times New Roman"/>
                <w:b/>
                <w:bCs/>
                <w:kern w:val="2"/>
                <w:sz w:val="21"/>
                <w:szCs w:val="24"/>
                <w:lang w:val="en-US" w:eastAsia="zh-CN" w:bidi="ar-SA"/>
              </w:rPr>
              <w:t>/min</w:t>
            </w:r>
          </w:p>
        </w:tc>
        <w:tc>
          <w:tcPr>
            <w:tcW w:w="1555" w:type="dxa"/>
            <w:tcBorders>
              <w:tl2br w:val="nil"/>
              <w:tr2bl w:val="nil"/>
            </w:tcBorders>
            <w:vAlign w:val="center"/>
          </w:tcPr>
          <w:p w14:paraId="45FA4D99">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超标持续时间</w:t>
            </w:r>
            <w:r>
              <w:rPr>
                <w:rFonts w:ascii="Times New Roman" w:hAnsi="Times New Roman" w:eastAsia="宋体" w:cs="Times New Roman"/>
                <w:b/>
                <w:bCs/>
                <w:kern w:val="2"/>
                <w:sz w:val="21"/>
                <w:szCs w:val="24"/>
                <w:lang w:val="en-US" w:eastAsia="zh-CN" w:bidi="ar-SA"/>
              </w:rPr>
              <w:t>/min</w:t>
            </w:r>
          </w:p>
        </w:tc>
        <w:tc>
          <w:tcPr>
            <w:tcW w:w="1290" w:type="dxa"/>
            <w:tcBorders>
              <w:tl2br w:val="nil"/>
              <w:tr2bl w:val="nil"/>
            </w:tcBorders>
            <w:vAlign w:val="center"/>
          </w:tcPr>
          <w:p w14:paraId="7608D16F">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最大浓度</w:t>
            </w:r>
          </w:p>
          <w:p w14:paraId="128F9017">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ascii="Times New Roman" w:hAnsi="Times New Roman" w:eastAsia="宋体" w:cs="Times New Roman"/>
                <w:b/>
                <w:bCs/>
                <w:kern w:val="2"/>
                <w:sz w:val="21"/>
                <w:szCs w:val="24"/>
                <w:lang w:val="en-US" w:eastAsia="zh-CN" w:bidi="ar-SA"/>
              </w:rPr>
              <w:t>/(mg/m</w:t>
            </w:r>
            <w:r>
              <w:rPr>
                <w:rFonts w:ascii="Times New Roman" w:hAnsi="Times New Roman" w:eastAsia="宋体" w:cs="Times New Roman"/>
                <w:b/>
                <w:bCs/>
                <w:kern w:val="2"/>
                <w:sz w:val="21"/>
                <w:szCs w:val="24"/>
                <w:vertAlign w:val="superscript"/>
                <w:lang w:val="en-US" w:eastAsia="zh-CN" w:bidi="ar-SA"/>
              </w:rPr>
              <w:t>3</w:t>
            </w:r>
            <w:r>
              <w:rPr>
                <w:rFonts w:ascii="Times New Roman" w:hAnsi="Times New Roman" w:eastAsia="宋体" w:cs="Times New Roman"/>
                <w:b/>
                <w:bCs/>
                <w:kern w:val="2"/>
                <w:sz w:val="21"/>
                <w:szCs w:val="24"/>
                <w:lang w:val="en-US" w:eastAsia="zh-CN" w:bidi="ar-SA"/>
              </w:rPr>
              <w:t>)</w:t>
            </w:r>
          </w:p>
        </w:tc>
      </w:tr>
      <w:tr w14:paraId="3C072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43BC204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0F694D5C">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32EE780F">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道城洞</w:t>
            </w:r>
          </w:p>
        </w:tc>
        <w:tc>
          <w:tcPr>
            <w:tcW w:w="1793" w:type="dxa"/>
            <w:gridSpan w:val="3"/>
            <w:tcBorders>
              <w:tl2br w:val="nil"/>
              <w:tr2bl w:val="nil"/>
            </w:tcBorders>
            <w:vAlign w:val="center"/>
          </w:tcPr>
          <w:p w14:paraId="1AE84864">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3808CE3F">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17152DEB">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14:paraId="39248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685FB404">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633734C4">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2380DE7B">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石仔墩</w:t>
            </w:r>
          </w:p>
        </w:tc>
        <w:tc>
          <w:tcPr>
            <w:tcW w:w="1793" w:type="dxa"/>
            <w:gridSpan w:val="3"/>
            <w:tcBorders>
              <w:tl2br w:val="nil"/>
              <w:tr2bl w:val="nil"/>
            </w:tcBorders>
            <w:vAlign w:val="center"/>
          </w:tcPr>
          <w:p w14:paraId="77F09279">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35F301E4">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68E02031">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14:paraId="63C3BF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5B39C6F0">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5ECC8394">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4B331A8F">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冬城村</w:t>
            </w:r>
          </w:p>
        </w:tc>
        <w:tc>
          <w:tcPr>
            <w:tcW w:w="1793" w:type="dxa"/>
            <w:gridSpan w:val="3"/>
            <w:tcBorders>
              <w:tl2br w:val="nil"/>
              <w:tr2bl w:val="nil"/>
            </w:tcBorders>
            <w:vAlign w:val="center"/>
          </w:tcPr>
          <w:p w14:paraId="7E838BA4">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41430CF6">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0D9A1974">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14:paraId="21A08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04C36A9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16CAB1E0">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2EFB38A9">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林屋</w:t>
            </w:r>
          </w:p>
        </w:tc>
        <w:tc>
          <w:tcPr>
            <w:tcW w:w="1793" w:type="dxa"/>
            <w:gridSpan w:val="3"/>
            <w:tcBorders>
              <w:tl2br w:val="nil"/>
              <w:tr2bl w:val="nil"/>
            </w:tcBorders>
            <w:vAlign w:val="center"/>
          </w:tcPr>
          <w:p w14:paraId="705371E5">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4D9A38F5">
            <w:pPr>
              <w:widowControl w:val="0"/>
              <w:bidi w:val="0"/>
              <w:adjustRightInd w:val="0"/>
              <w:snapToGrid w:val="0"/>
              <w:spacing w:line="240" w:lineRule="auto"/>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6788EA0C">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4.81×10</w:t>
            </w:r>
            <w:r>
              <w:rPr>
                <w:rFonts w:hint="eastAsia" w:ascii="Times New Roman" w:hAnsi="Times New Roman" w:eastAsia="宋体" w:cs="Times New Roman"/>
                <w:kern w:val="2"/>
                <w:sz w:val="21"/>
                <w:szCs w:val="24"/>
                <w:vertAlign w:val="superscript"/>
                <w:lang w:val="en-US" w:eastAsia="zh-CN" w:bidi="ar-SA"/>
              </w:rPr>
              <w:t>-15</w:t>
            </w:r>
          </w:p>
        </w:tc>
      </w:tr>
      <w:tr w14:paraId="39B51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2" w:hRule="atLeast"/>
          <w:jc w:val="center"/>
        </w:trPr>
        <w:tc>
          <w:tcPr>
            <w:tcW w:w="1807" w:type="dxa"/>
            <w:vMerge w:val="continue"/>
            <w:tcBorders>
              <w:tl2br w:val="nil"/>
              <w:tr2bl w:val="nil"/>
            </w:tcBorders>
            <w:vAlign w:val="center"/>
          </w:tcPr>
          <w:p w14:paraId="2F3E1A8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restart"/>
            <w:tcBorders>
              <w:tl2br w:val="nil"/>
              <w:tr2bl w:val="nil"/>
            </w:tcBorders>
            <w:vAlign w:val="center"/>
          </w:tcPr>
          <w:p w14:paraId="5390B5EF">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氨水</w:t>
            </w:r>
          </w:p>
        </w:tc>
        <w:tc>
          <w:tcPr>
            <w:tcW w:w="1501" w:type="dxa"/>
            <w:tcBorders>
              <w:tl2br w:val="nil"/>
              <w:tr2bl w:val="nil"/>
            </w:tcBorders>
            <w:vAlign w:val="center"/>
          </w:tcPr>
          <w:p w14:paraId="64ACFCC4">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指标</w:t>
            </w:r>
          </w:p>
        </w:tc>
        <w:tc>
          <w:tcPr>
            <w:tcW w:w="1793" w:type="dxa"/>
            <w:gridSpan w:val="3"/>
            <w:tcBorders>
              <w:tl2br w:val="nil"/>
              <w:tr2bl w:val="nil"/>
            </w:tcBorders>
            <w:vAlign w:val="center"/>
          </w:tcPr>
          <w:p w14:paraId="0546951A">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浓度值</w:t>
            </w:r>
            <w:r>
              <w:rPr>
                <w:rFonts w:ascii="Times New Roman" w:hAnsi="Times New Roman" w:eastAsia="宋体" w:cs="Times New Roman"/>
                <w:b/>
                <w:bCs/>
                <w:kern w:val="0"/>
                <w:sz w:val="21"/>
                <w:szCs w:val="20"/>
                <w:lang w:val="en-US" w:eastAsia="zh-CN" w:bidi="ar-SA"/>
              </w:rPr>
              <w:t>/(mg/m</w:t>
            </w:r>
            <w:r>
              <w:rPr>
                <w:rFonts w:ascii="Times New Roman" w:hAnsi="Times New Roman" w:eastAsia="宋体" w:cs="Times New Roman"/>
                <w:b/>
                <w:bCs/>
                <w:kern w:val="0"/>
                <w:sz w:val="21"/>
                <w:szCs w:val="20"/>
                <w:vertAlign w:val="superscript"/>
                <w:lang w:val="en-US" w:eastAsia="zh-CN" w:bidi="ar-SA"/>
              </w:rPr>
              <w:t>3</w:t>
            </w:r>
            <w:r>
              <w:rPr>
                <w:rFonts w:ascii="Times New Roman" w:hAnsi="Times New Roman" w:eastAsia="宋体" w:cs="Times New Roman"/>
                <w:b/>
                <w:bCs/>
                <w:kern w:val="0"/>
                <w:sz w:val="21"/>
                <w:szCs w:val="20"/>
                <w:lang w:val="en-US" w:eastAsia="zh-CN" w:bidi="ar-SA"/>
              </w:rPr>
              <w:t>)</w:t>
            </w:r>
          </w:p>
        </w:tc>
        <w:tc>
          <w:tcPr>
            <w:tcW w:w="1555" w:type="dxa"/>
            <w:tcBorders>
              <w:tl2br w:val="nil"/>
              <w:tr2bl w:val="nil"/>
            </w:tcBorders>
            <w:vAlign w:val="center"/>
          </w:tcPr>
          <w:p w14:paraId="61FD6C7D">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最远影响距离</w:t>
            </w:r>
            <w:r>
              <w:rPr>
                <w:rFonts w:ascii="Times New Roman" w:hAnsi="Times New Roman" w:eastAsia="宋体" w:cs="Times New Roman"/>
                <w:b/>
                <w:bCs/>
                <w:kern w:val="0"/>
                <w:sz w:val="21"/>
                <w:szCs w:val="20"/>
                <w:lang w:val="en-US" w:eastAsia="zh-CN" w:bidi="ar-SA"/>
              </w:rPr>
              <w:t>/m</w:t>
            </w:r>
          </w:p>
        </w:tc>
        <w:tc>
          <w:tcPr>
            <w:tcW w:w="1290" w:type="dxa"/>
            <w:tcBorders>
              <w:tl2br w:val="nil"/>
              <w:tr2bl w:val="nil"/>
            </w:tcBorders>
            <w:vAlign w:val="center"/>
          </w:tcPr>
          <w:p w14:paraId="21BDC773">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到达时间</w:t>
            </w:r>
            <w:r>
              <w:rPr>
                <w:rFonts w:ascii="Times New Roman" w:hAnsi="Times New Roman" w:eastAsia="宋体" w:cs="Times New Roman"/>
                <w:b/>
                <w:bCs/>
                <w:kern w:val="0"/>
                <w:sz w:val="21"/>
                <w:szCs w:val="20"/>
                <w:lang w:val="en-US" w:eastAsia="zh-CN" w:bidi="ar-SA"/>
              </w:rPr>
              <w:t>/min</w:t>
            </w:r>
          </w:p>
        </w:tc>
      </w:tr>
      <w:tr w14:paraId="31B0F4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vMerge w:val="continue"/>
            <w:tcBorders>
              <w:tl2br w:val="nil"/>
              <w:tr2bl w:val="nil"/>
            </w:tcBorders>
            <w:vAlign w:val="center"/>
          </w:tcPr>
          <w:p w14:paraId="3E659DD6">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01176322">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c>
          <w:tcPr>
            <w:tcW w:w="1501" w:type="dxa"/>
            <w:tcBorders>
              <w:tl2br w:val="nil"/>
              <w:tr2bl w:val="nil"/>
            </w:tcBorders>
            <w:vAlign w:val="center"/>
          </w:tcPr>
          <w:p w14:paraId="12909947">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kern w:val="2"/>
                <w:sz w:val="21"/>
                <w:szCs w:val="24"/>
                <w:lang w:val="en-US" w:eastAsia="zh-CN" w:bidi="ar-SA"/>
              </w:rPr>
              <w:t>大气毒性终点浓度</w:t>
            </w:r>
            <w:r>
              <w:rPr>
                <w:rFonts w:ascii="Times New Roman" w:hAnsi="Times New Roman" w:eastAsia="宋体" w:cs="Times New Roman"/>
                <w:kern w:val="2"/>
                <w:sz w:val="21"/>
                <w:szCs w:val="24"/>
                <w:lang w:val="en-US" w:eastAsia="zh-CN" w:bidi="ar-SA"/>
              </w:rPr>
              <w:t>-1</w:t>
            </w:r>
          </w:p>
        </w:tc>
        <w:tc>
          <w:tcPr>
            <w:tcW w:w="1793" w:type="dxa"/>
            <w:gridSpan w:val="3"/>
            <w:tcBorders>
              <w:tl2br w:val="nil"/>
              <w:tr2bl w:val="nil"/>
            </w:tcBorders>
            <w:vAlign w:val="center"/>
          </w:tcPr>
          <w:p w14:paraId="7B8A00AA">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ascii="Times New Roman" w:hAnsi="Times New Roman" w:eastAsia="宋体" w:cs="Times New Roman"/>
                <w:kern w:val="2"/>
                <w:sz w:val="21"/>
                <w:szCs w:val="24"/>
                <w:lang w:val="en-US" w:eastAsia="zh-CN" w:bidi="ar-SA"/>
              </w:rPr>
              <w:t>770</w:t>
            </w:r>
          </w:p>
        </w:tc>
        <w:tc>
          <w:tcPr>
            <w:tcW w:w="1555" w:type="dxa"/>
            <w:tcBorders>
              <w:tl2br w:val="nil"/>
              <w:tr2bl w:val="nil"/>
            </w:tcBorders>
            <w:vAlign w:val="center"/>
          </w:tcPr>
          <w:p w14:paraId="7AEE0E01">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kern w:val="2"/>
                <w:sz w:val="21"/>
                <w:szCs w:val="24"/>
                <w:lang w:val="en-US" w:eastAsia="zh-CN" w:bidi="ar-SA"/>
              </w:rPr>
              <w:t>250</w:t>
            </w:r>
          </w:p>
        </w:tc>
        <w:tc>
          <w:tcPr>
            <w:tcW w:w="1290" w:type="dxa"/>
            <w:tcBorders>
              <w:tl2br w:val="nil"/>
              <w:tr2bl w:val="nil"/>
            </w:tcBorders>
            <w:vAlign w:val="center"/>
          </w:tcPr>
          <w:p w14:paraId="32E107E5">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r>
      <w:tr w14:paraId="20CF6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vMerge w:val="continue"/>
            <w:tcBorders>
              <w:tl2br w:val="nil"/>
              <w:tr2bl w:val="nil"/>
            </w:tcBorders>
            <w:vAlign w:val="center"/>
          </w:tcPr>
          <w:p w14:paraId="400797E6">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03195A84">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c>
          <w:tcPr>
            <w:tcW w:w="1501" w:type="dxa"/>
            <w:tcBorders>
              <w:tl2br w:val="nil"/>
              <w:tr2bl w:val="nil"/>
            </w:tcBorders>
            <w:vAlign w:val="center"/>
          </w:tcPr>
          <w:p w14:paraId="690A1A97">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kern w:val="2"/>
                <w:sz w:val="21"/>
                <w:szCs w:val="24"/>
                <w:lang w:val="en-US" w:eastAsia="zh-CN" w:bidi="ar-SA"/>
              </w:rPr>
              <w:t>大气毒性终点浓度</w:t>
            </w:r>
            <w:r>
              <w:rPr>
                <w:rFonts w:ascii="Times New Roman" w:hAnsi="Times New Roman" w:eastAsia="宋体" w:cs="Times New Roman"/>
                <w:kern w:val="2"/>
                <w:sz w:val="21"/>
                <w:szCs w:val="24"/>
                <w:lang w:val="en-US" w:eastAsia="zh-CN" w:bidi="ar-SA"/>
              </w:rPr>
              <w:t>-2</w:t>
            </w:r>
          </w:p>
        </w:tc>
        <w:tc>
          <w:tcPr>
            <w:tcW w:w="1793" w:type="dxa"/>
            <w:gridSpan w:val="3"/>
            <w:tcBorders>
              <w:tl2br w:val="nil"/>
              <w:tr2bl w:val="nil"/>
            </w:tcBorders>
            <w:vAlign w:val="center"/>
          </w:tcPr>
          <w:p w14:paraId="2A7F379B">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ascii="Times New Roman" w:hAnsi="Times New Roman" w:eastAsia="宋体" w:cs="Times New Roman"/>
                <w:kern w:val="2"/>
                <w:sz w:val="21"/>
                <w:szCs w:val="24"/>
                <w:lang w:val="en-US" w:eastAsia="zh-CN" w:bidi="ar-SA"/>
              </w:rPr>
              <w:t>110</w:t>
            </w:r>
          </w:p>
        </w:tc>
        <w:tc>
          <w:tcPr>
            <w:tcW w:w="1555" w:type="dxa"/>
            <w:tcBorders>
              <w:tl2br w:val="nil"/>
              <w:tr2bl w:val="nil"/>
            </w:tcBorders>
            <w:vAlign w:val="center"/>
          </w:tcPr>
          <w:p w14:paraId="1F6B1A9A">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kern w:val="2"/>
                <w:sz w:val="21"/>
                <w:szCs w:val="24"/>
                <w:lang w:val="en-US" w:eastAsia="zh-CN" w:bidi="ar-SA"/>
              </w:rPr>
              <w:t>70</w:t>
            </w:r>
          </w:p>
        </w:tc>
        <w:tc>
          <w:tcPr>
            <w:tcW w:w="1290" w:type="dxa"/>
            <w:tcBorders>
              <w:tl2br w:val="nil"/>
              <w:tr2bl w:val="nil"/>
            </w:tcBorders>
            <w:vAlign w:val="center"/>
          </w:tcPr>
          <w:p w14:paraId="7DFA09AA">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r>
      <w:tr w14:paraId="04A750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2" w:hRule="atLeast"/>
          <w:jc w:val="center"/>
        </w:trPr>
        <w:tc>
          <w:tcPr>
            <w:tcW w:w="1807" w:type="dxa"/>
            <w:vMerge w:val="continue"/>
            <w:tcBorders>
              <w:tl2br w:val="nil"/>
              <w:tr2bl w:val="nil"/>
            </w:tcBorders>
            <w:vAlign w:val="center"/>
          </w:tcPr>
          <w:p w14:paraId="53EDC9A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49CF294F">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p>
        </w:tc>
        <w:tc>
          <w:tcPr>
            <w:tcW w:w="1501" w:type="dxa"/>
            <w:tcBorders>
              <w:tl2br w:val="nil"/>
              <w:tr2bl w:val="nil"/>
            </w:tcBorders>
            <w:vAlign w:val="center"/>
          </w:tcPr>
          <w:p w14:paraId="710A4253">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2"/>
                <w:sz w:val="21"/>
                <w:szCs w:val="24"/>
                <w:lang w:val="en-US" w:eastAsia="zh-CN" w:bidi="ar-SA"/>
              </w:rPr>
              <w:t>敏感目标名称</w:t>
            </w:r>
          </w:p>
        </w:tc>
        <w:tc>
          <w:tcPr>
            <w:tcW w:w="1793" w:type="dxa"/>
            <w:gridSpan w:val="3"/>
            <w:tcBorders>
              <w:tl2br w:val="nil"/>
              <w:tr2bl w:val="nil"/>
            </w:tcBorders>
            <w:vAlign w:val="center"/>
          </w:tcPr>
          <w:p w14:paraId="68F484A7">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2"/>
                <w:sz w:val="21"/>
                <w:szCs w:val="24"/>
                <w:lang w:val="en-US" w:eastAsia="zh-CN" w:bidi="ar-SA"/>
              </w:rPr>
              <w:t>超标时间</w:t>
            </w:r>
            <w:r>
              <w:rPr>
                <w:rFonts w:ascii="Times New Roman" w:hAnsi="Times New Roman" w:eastAsia="宋体" w:cs="Times New Roman"/>
                <w:b/>
                <w:bCs/>
                <w:kern w:val="2"/>
                <w:sz w:val="21"/>
                <w:szCs w:val="24"/>
                <w:lang w:val="en-US" w:eastAsia="zh-CN" w:bidi="ar-SA"/>
              </w:rPr>
              <w:t>/min</w:t>
            </w:r>
          </w:p>
        </w:tc>
        <w:tc>
          <w:tcPr>
            <w:tcW w:w="1555" w:type="dxa"/>
            <w:tcBorders>
              <w:tl2br w:val="nil"/>
              <w:tr2bl w:val="nil"/>
            </w:tcBorders>
            <w:vAlign w:val="center"/>
          </w:tcPr>
          <w:p w14:paraId="5891DA82">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2"/>
                <w:sz w:val="21"/>
                <w:szCs w:val="24"/>
                <w:lang w:val="en-US" w:eastAsia="zh-CN" w:bidi="ar-SA"/>
              </w:rPr>
              <w:t>超标持续时间</w:t>
            </w:r>
            <w:r>
              <w:rPr>
                <w:rFonts w:ascii="Times New Roman" w:hAnsi="Times New Roman" w:eastAsia="宋体" w:cs="Times New Roman"/>
                <w:b/>
                <w:bCs/>
                <w:kern w:val="2"/>
                <w:sz w:val="21"/>
                <w:szCs w:val="24"/>
                <w:lang w:val="en-US" w:eastAsia="zh-CN" w:bidi="ar-SA"/>
              </w:rPr>
              <w:t>/min</w:t>
            </w:r>
          </w:p>
        </w:tc>
        <w:tc>
          <w:tcPr>
            <w:tcW w:w="1290" w:type="dxa"/>
            <w:tcBorders>
              <w:tl2br w:val="nil"/>
              <w:tr2bl w:val="nil"/>
            </w:tcBorders>
            <w:vAlign w:val="center"/>
          </w:tcPr>
          <w:p w14:paraId="118692B1">
            <w:pPr>
              <w:widowControl w:val="0"/>
              <w:bidi w:val="0"/>
              <w:adjustRightInd w:val="0"/>
              <w:snapToGrid w:val="0"/>
              <w:spacing w:line="240" w:lineRule="auto"/>
              <w:jc w:val="center"/>
              <w:rPr>
                <w:rFonts w:hint="eastAsia" w:ascii="Times New Roman" w:hAnsi="Times New Roman" w:eastAsia="宋体" w:cs="Times New Roman"/>
                <w:b/>
                <w:bCs/>
                <w:kern w:val="2"/>
                <w:sz w:val="21"/>
                <w:szCs w:val="24"/>
                <w:lang w:val="en-US" w:eastAsia="zh-CN" w:bidi="ar-SA"/>
              </w:rPr>
            </w:pPr>
            <w:r>
              <w:rPr>
                <w:rFonts w:hint="eastAsia" w:ascii="Times New Roman" w:hAnsi="Times New Roman" w:eastAsia="宋体" w:cs="Times New Roman"/>
                <w:b/>
                <w:bCs/>
                <w:kern w:val="2"/>
                <w:sz w:val="21"/>
                <w:szCs w:val="24"/>
                <w:lang w:val="en-US" w:eastAsia="zh-CN" w:bidi="ar-SA"/>
              </w:rPr>
              <w:t>最大浓度</w:t>
            </w:r>
          </w:p>
          <w:p w14:paraId="3AC25ACC">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ascii="Times New Roman" w:hAnsi="Times New Roman" w:eastAsia="宋体" w:cs="Times New Roman"/>
                <w:b/>
                <w:bCs/>
                <w:kern w:val="2"/>
                <w:sz w:val="21"/>
                <w:szCs w:val="24"/>
                <w:lang w:val="en-US" w:eastAsia="zh-CN" w:bidi="ar-SA"/>
              </w:rPr>
              <w:t>/(mg/m</w:t>
            </w:r>
            <w:r>
              <w:rPr>
                <w:rFonts w:ascii="Times New Roman" w:hAnsi="Times New Roman" w:eastAsia="宋体" w:cs="Times New Roman"/>
                <w:b/>
                <w:bCs/>
                <w:kern w:val="2"/>
                <w:sz w:val="21"/>
                <w:szCs w:val="24"/>
                <w:vertAlign w:val="superscript"/>
                <w:lang w:val="en-US" w:eastAsia="zh-CN" w:bidi="ar-SA"/>
              </w:rPr>
              <w:t>3</w:t>
            </w:r>
            <w:r>
              <w:rPr>
                <w:rFonts w:ascii="Times New Roman" w:hAnsi="Times New Roman" w:eastAsia="宋体" w:cs="Times New Roman"/>
                <w:b/>
                <w:bCs/>
                <w:kern w:val="2"/>
                <w:sz w:val="21"/>
                <w:szCs w:val="24"/>
                <w:lang w:val="en-US" w:eastAsia="zh-CN" w:bidi="ar-SA"/>
              </w:rPr>
              <w:t>)</w:t>
            </w:r>
          </w:p>
        </w:tc>
      </w:tr>
      <w:tr w14:paraId="01264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0AC937D2">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4F069F6A">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5D0E9E97">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道城洞</w:t>
            </w:r>
          </w:p>
        </w:tc>
        <w:tc>
          <w:tcPr>
            <w:tcW w:w="1793" w:type="dxa"/>
            <w:gridSpan w:val="3"/>
            <w:tcBorders>
              <w:tl2br w:val="nil"/>
              <w:tr2bl w:val="nil"/>
            </w:tcBorders>
            <w:vAlign w:val="center"/>
          </w:tcPr>
          <w:p w14:paraId="2CD69955">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10539F20">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2E9C1A27">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14:paraId="6FF222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1596B6DF">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27820260">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0DE92D26">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石仔墩</w:t>
            </w:r>
          </w:p>
        </w:tc>
        <w:tc>
          <w:tcPr>
            <w:tcW w:w="1793" w:type="dxa"/>
            <w:gridSpan w:val="3"/>
            <w:tcBorders>
              <w:tl2br w:val="nil"/>
              <w:tr2bl w:val="nil"/>
            </w:tcBorders>
            <w:vAlign w:val="center"/>
          </w:tcPr>
          <w:p w14:paraId="31D095DB">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7CCB13E8">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577F2202">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14:paraId="4ABB99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2560D707">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62B8CBF2">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2FBBDF82">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冬城村</w:t>
            </w:r>
          </w:p>
        </w:tc>
        <w:tc>
          <w:tcPr>
            <w:tcW w:w="1793" w:type="dxa"/>
            <w:gridSpan w:val="3"/>
            <w:tcBorders>
              <w:tl2br w:val="nil"/>
              <w:tr2bl w:val="nil"/>
            </w:tcBorders>
            <w:vAlign w:val="center"/>
          </w:tcPr>
          <w:p w14:paraId="023F1C92">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3B553AB5">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63978141">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r>
      <w:tr w14:paraId="01D0B8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4E6FA50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2088774F">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3C22A513">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2"/>
                <w:sz w:val="21"/>
                <w:szCs w:val="24"/>
                <w:lang w:val="en-US" w:eastAsia="zh-CN" w:bidi="ar-SA"/>
              </w:rPr>
              <w:t>林屋</w:t>
            </w:r>
          </w:p>
        </w:tc>
        <w:tc>
          <w:tcPr>
            <w:tcW w:w="1793" w:type="dxa"/>
            <w:gridSpan w:val="3"/>
            <w:tcBorders>
              <w:tl2br w:val="nil"/>
              <w:tr2bl w:val="nil"/>
            </w:tcBorders>
            <w:vAlign w:val="center"/>
          </w:tcPr>
          <w:p w14:paraId="75D62B82">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78F53607">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57ADA30A">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cs="Times New Roman"/>
                <w:kern w:val="2"/>
                <w:sz w:val="21"/>
                <w:szCs w:val="24"/>
                <w:lang w:val="en-US" w:eastAsia="zh-CN" w:bidi="ar-SA"/>
              </w:rPr>
              <w:t>1.17</w:t>
            </w:r>
            <w:r>
              <w:rPr>
                <w:rFonts w:hint="eastAsia" w:ascii="Times New Roman" w:hAnsi="Times New Roman" w:eastAsia="宋体" w:cs="Times New Roman"/>
                <w:kern w:val="2"/>
                <w:sz w:val="21"/>
                <w:szCs w:val="24"/>
                <w:lang w:val="en-US" w:eastAsia="zh-CN" w:bidi="ar-SA"/>
              </w:rPr>
              <w:t>×10</w:t>
            </w:r>
            <w:r>
              <w:rPr>
                <w:rFonts w:hint="eastAsia" w:ascii="Times New Roman" w:hAnsi="Times New Roman" w:eastAsia="宋体" w:cs="Times New Roman"/>
                <w:kern w:val="2"/>
                <w:sz w:val="21"/>
                <w:szCs w:val="24"/>
                <w:vertAlign w:val="superscript"/>
                <w:lang w:val="en-US" w:eastAsia="zh-CN" w:bidi="ar-SA"/>
              </w:rPr>
              <w:t>-</w:t>
            </w:r>
            <w:r>
              <w:rPr>
                <w:rFonts w:hint="eastAsia" w:cs="Times New Roman"/>
                <w:kern w:val="2"/>
                <w:sz w:val="21"/>
                <w:szCs w:val="24"/>
                <w:vertAlign w:val="superscript"/>
                <w:lang w:val="en-US" w:eastAsia="zh-CN" w:bidi="ar-SA"/>
              </w:rPr>
              <w:t>42</w:t>
            </w:r>
          </w:p>
        </w:tc>
      </w:tr>
      <w:tr w14:paraId="7DBE2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restart"/>
            <w:tcBorders>
              <w:tl2br w:val="nil"/>
              <w:tr2bl w:val="nil"/>
            </w:tcBorders>
            <w:vAlign w:val="center"/>
          </w:tcPr>
          <w:p w14:paraId="6A50CC8E">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地表水</w:t>
            </w:r>
          </w:p>
        </w:tc>
        <w:tc>
          <w:tcPr>
            <w:tcW w:w="1194" w:type="dxa"/>
            <w:tcBorders>
              <w:tl2br w:val="nil"/>
              <w:tr2bl w:val="nil"/>
            </w:tcBorders>
            <w:vAlign w:val="center"/>
          </w:tcPr>
          <w:p w14:paraId="56B04F90">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危险物质</w:t>
            </w:r>
          </w:p>
        </w:tc>
        <w:tc>
          <w:tcPr>
            <w:tcW w:w="6139" w:type="dxa"/>
            <w:gridSpan w:val="6"/>
            <w:tcBorders>
              <w:tl2br w:val="nil"/>
              <w:tr2bl w:val="nil"/>
            </w:tcBorders>
            <w:vAlign w:val="center"/>
          </w:tcPr>
          <w:p w14:paraId="5AD49693">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地表水环境影响</w:t>
            </w:r>
          </w:p>
        </w:tc>
      </w:tr>
      <w:tr w14:paraId="68FEC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35C3B54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restart"/>
            <w:tcBorders>
              <w:tl2br w:val="nil"/>
              <w:tr2bl w:val="nil"/>
            </w:tcBorders>
            <w:vAlign w:val="center"/>
          </w:tcPr>
          <w:p w14:paraId="732EE628">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液氨、氨水</w:t>
            </w:r>
          </w:p>
        </w:tc>
        <w:tc>
          <w:tcPr>
            <w:tcW w:w="1501" w:type="dxa"/>
            <w:tcBorders>
              <w:tl2br w:val="nil"/>
              <w:tr2bl w:val="nil"/>
            </w:tcBorders>
            <w:vAlign w:val="center"/>
          </w:tcPr>
          <w:p w14:paraId="3DF8BEE8">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受纳水体名称</w:t>
            </w:r>
          </w:p>
        </w:tc>
        <w:tc>
          <w:tcPr>
            <w:tcW w:w="1793" w:type="dxa"/>
            <w:gridSpan w:val="3"/>
            <w:tcBorders>
              <w:tl2br w:val="nil"/>
              <w:tr2bl w:val="nil"/>
            </w:tcBorders>
            <w:vAlign w:val="center"/>
          </w:tcPr>
          <w:p w14:paraId="7552FD68">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最远超标距离</w:t>
            </w:r>
            <w:r>
              <w:rPr>
                <w:rFonts w:ascii="Times New Roman" w:hAnsi="Times New Roman" w:eastAsia="宋体" w:cs="Times New Roman"/>
                <w:b/>
                <w:bCs/>
                <w:kern w:val="0"/>
                <w:sz w:val="21"/>
                <w:szCs w:val="20"/>
                <w:lang w:val="en-US" w:eastAsia="zh-CN" w:bidi="ar-SA"/>
              </w:rPr>
              <w:t>/m</w:t>
            </w:r>
          </w:p>
        </w:tc>
        <w:tc>
          <w:tcPr>
            <w:tcW w:w="2845" w:type="dxa"/>
            <w:gridSpan w:val="2"/>
            <w:tcBorders>
              <w:tl2br w:val="nil"/>
              <w:tr2bl w:val="nil"/>
            </w:tcBorders>
            <w:vAlign w:val="center"/>
          </w:tcPr>
          <w:p w14:paraId="5B523425">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最远超标距离到达时间</w:t>
            </w:r>
            <w:r>
              <w:rPr>
                <w:rFonts w:ascii="Times New Roman" w:hAnsi="Times New Roman" w:eastAsia="宋体" w:cs="Times New Roman"/>
                <w:b/>
                <w:bCs/>
                <w:kern w:val="0"/>
                <w:sz w:val="21"/>
                <w:szCs w:val="20"/>
                <w:lang w:val="en-US" w:eastAsia="zh-CN" w:bidi="ar-SA"/>
              </w:rPr>
              <w:t>/h</w:t>
            </w:r>
          </w:p>
        </w:tc>
      </w:tr>
      <w:tr w14:paraId="361BD4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24DA1E05">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7574698C">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20044185">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逢源河</w:t>
            </w:r>
          </w:p>
        </w:tc>
        <w:tc>
          <w:tcPr>
            <w:tcW w:w="936" w:type="dxa"/>
            <w:gridSpan w:val="2"/>
            <w:tcBorders>
              <w:tl2br w:val="nil"/>
              <w:tr2bl w:val="nil"/>
            </w:tcBorders>
            <w:vAlign w:val="center"/>
          </w:tcPr>
          <w:p w14:paraId="7FEFF923">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857" w:type="dxa"/>
            <w:tcBorders>
              <w:tl2br w:val="nil"/>
              <w:tr2bl w:val="nil"/>
            </w:tcBorders>
            <w:vAlign w:val="center"/>
          </w:tcPr>
          <w:p w14:paraId="2D64045E">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76077CFA">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6BD4414B">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r>
      <w:tr w14:paraId="7447A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vMerge w:val="continue"/>
            <w:tcBorders>
              <w:tl2br w:val="nil"/>
              <w:tr2bl w:val="nil"/>
            </w:tcBorders>
            <w:vAlign w:val="center"/>
          </w:tcPr>
          <w:p w14:paraId="633654E0">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7EF0A6AB">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76C809C6">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敏感目标名称</w:t>
            </w:r>
          </w:p>
        </w:tc>
        <w:tc>
          <w:tcPr>
            <w:tcW w:w="936" w:type="dxa"/>
            <w:gridSpan w:val="2"/>
            <w:tcBorders>
              <w:tl2br w:val="nil"/>
              <w:tr2bl w:val="nil"/>
            </w:tcBorders>
            <w:vAlign w:val="center"/>
          </w:tcPr>
          <w:p w14:paraId="04BE1263">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到达时间</w:t>
            </w:r>
            <w:r>
              <w:rPr>
                <w:rFonts w:ascii="Times New Roman" w:hAnsi="Times New Roman" w:eastAsia="宋体" w:cs="Times New Roman"/>
                <w:b/>
                <w:bCs/>
                <w:kern w:val="0"/>
                <w:sz w:val="21"/>
                <w:szCs w:val="20"/>
                <w:lang w:val="en-US" w:eastAsia="zh-CN" w:bidi="ar-SA"/>
              </w:rPr>
              <w:t>/h</w:t>
            </w:r>
          </w:p>
        </w:tc>
        <w:tc>
          <w:tcPr>
            <w:tcW w:w="857" w:type="dxa"/>
            <w:tcBorders>
              <w:tl2br w:val="nil"/>
              <w:tr2bl w:val="nil"/>
            </w:tcBorders>
            <w:vAlign w:val="center"/>
          </w:tcPr>
          <w:p w14:paraId="45E4600F">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超标时间</w:t>
            </w:r>
            <w:r>
              <w:rPr>
                <w:rFonts w:ascii="Times New Roman" w:hAnsi="Times New Roman" w:eastAsia="宋体" w:cs="Times New Roman"/>
                <w:b/>
                <w:bCs/>
                <w:kern w:val="0"/>
                <w:sz w:val="21"/>
                <w:szCs w:val="20"/>
                <w:lang w:val="en-US" w:eastAsia="zh-CN" w:bidi="ar-SA"/>
              </w:rPr>
              <w:t>/h</w:t>
            </w:r>
          </w:p>
        </w:tc>
        <w:tc>
          <w:tcPr>
            <w:tcW w:w="1555" w:type="dxa"/>
            <w:tcBorders>
              <w:tl2br w:val="nil"/>
              <w:tr2bl w:val="nil"/>
            </w:tcBorders>
            <w:vAlign w:val="center"/>
          </w:tcPr>
          <w:p w14:paraId="47EB90A1">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超标持续时间</w:t>
            </w:r>
            <w:r>
              <w:rPr>
                <w:rFonts w:ascii="Times New Roman" w:hAnsi="Times New Roman" w:eastAsia="宋体" w:cs="Times New Roman"/>
                <w:b/>
                <w:bCs/>
                <w:kern w:val="0"/>
                <w:sz w:val="21"/>
                <w:szCs w:val="20"/>
                <w:lang w:val="en-US" w:eastAsia="zh-CN" w:bidi="ar-SA"/>
              </w:rPr>
              <w:t>/h</w:t>
            </w:r>
          </w:p>
        </w:tc>
        <w:tc>
          <w:tcPr>
            <w:tcW w:w="1290" w:type="dxa"/>
            <w:tcBorders>
              <w:tl2br w:val="nil"/>
              <w:tr2bl w:val="nil"/>
            </w:tcBorders>
            <w:vAlign w:val="center"/>
          </w:tcPr>
          <w:p w14:paraId="353434DE">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最大浓度</w:t>
            </w:r>
            <w:r>
              <w:rPr>
                <w:rFonts w:ascii="Times New Roman" w:hAnsi="Times New Roman" w:eastAsia="宋体" w:cs="Times New Roman"/>
                <w:b/>
                <w:bCs/>
                <w:kern w:val="0"/>
                <w:sz w:val="21"/>
                <w:szCs w:val="20"/>
                <w:lang w:val="en-US" w:eastAsia="zh-CN" w:bidi="ar-SA"/>
              </w:rPr>
              <w:t>/</w:t>
            </w:r>
            <w:r>
              <w:rPr>
                <w:rFonts w:hint="eastAsia" w:ascii="Times New Roman" w:hAnsi="Times New Roman" w:eastAsia="宋体" w:cs="Times New Roman"/>
                <w:b/>
                <w:bCs/>
                <w:kern w:val="0"/>
                <w:sz w:val="21"/>
                <w:szCs w:val="20"/>
                <w:lang w:val="en-US" w:eastAsia="zh-CN" w:bidi="ar-SA"/>
              </w:rPr>
              <w:t>（</w:t>
            </w:r>
            <w:r>
              <w:rPr>
                <w:rFonts w:ascii="Times New Roman" w:hAnsi="Times New Roman" w:eastAsia="宋体" w:cs="Times New Roman"/>
                <w:b/>
                <w:bCs/>
                <w:kern w:val="0"/>
                <w:sz w:val="21"/>
                <w:szCs w:val="20"/>
                <w:lang w:val="en-US" w:eastAsia="zh-CN" w:bidi="ar-SA"/>
              </w:rPr>
              <w:t>mg/L</w:t>
            </w:r>
            <w:r>
              <w:rPr>
                <w:rFonts w:hint="eastAsia" w:ascii="Times New Roman" w:hAnsi="Times New Roman" w:eastAsia="宋体" w:cs="Times New Roman"/>
                <w:b/>
                <w:bCs/>
                <w:kern w:val="0"/>
                <w:sz w:val="21"/>
                <w:szCs w:val="20"/>
                <w:lang w:val="en-US" w:eastAsia="zh-CN" w:bidi="ar-SA"/>
              </w:rPr>
              <w:t>）</w:t>
            </w:r>
          </w:p>
        </w:tc>
      </w:tr>
      <w:tr w14:paraId="03EA70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0C3E9B3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47E00FF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4C6974E1">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西江</w:t>
            </w:r>
          </w:p>
        </w:tc>
        <w:tc>
          <w:tcPr>
            <w:tcW w:w="936" w:type="dxa"/>
            <w:gridSpan w:val="2"/>
            <w:tcBorders>
              <w:tl2br w:val="nil"/>
              <w:tr2bl w:val="nil"/>
            </w:tcBorders>
            <w:vAlign w:val="center"/>
          </w:tcPr>
          <w:p w14:paraId="4957C566">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857" w:type="dxa"/>
            <w:tcBorders>
              <w:tl2br w:val="nil"/>
              <w:tr2bl w:val="nil"/>
            </w:tcBorders>
            <w:vAlign w:val="center"/>
          </w:tcPr>
          <w:p w14:paraId="4D39D874">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2FF17B1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518D340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r>
      <w:tr w14:paraId="1586F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restart"/>
            <w:tcBorders>
              <w:tl2br w:val="nil"/>
              <w:tr2bl w:val="nil"/>
            </w:tcBorders>
            <w:vAlign w:val="center"/>
          </w:tcPr>
          <w:p w14:paraId="1F375439">
            <w:pPr>
              <w:widowControl w:val="0"/>
              <w:bidi w:val="0"/>
              <w:adjustRightInd w:val="0"/>
              <w:snapToGrid w:val="0"/>
              <w:spacing w:line="240" w:lineRule="auto"/>
              <w:jc w:val="center"/>
              <w:rPr>
                <w:rFonts w:hint="eastAsia"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地下水</w:t>
            </w:r>
          </w:p>
        </w:tc>
        <w:tc>
          <w:tcPr>
            <w:tcW w:w="1194" w:type="dxa"/>
            <w:tcBorders>
              <w:tl2br w:val="nil"/>
              <w:tr2bl w:val="nil"/>
            </w:tcBorders>
            <w:vAlign w:val="center"/>
          </w:tcPr>
          <w:p w14:paraId="6837AEE9">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危险物质</w:t>
            </w:r>
          </w:p>
        </w:tc>
        <w:tc>
          <w:tcPr>
            <w:tcW w:w="6139" w:type="dxa"/>
            <w:gridSpan w:val="6"/>
            <w:tcBorders>
              <w:tl2br w:val="nil"/>
              <w:tr2bl w:val="nil"/>
            </w:tcBorders>
            <w:vAlign w:val="center"/>
          </w:tcPr>
          <w:p w14:paraId="7406C97B">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地下水环境影响</w:t>
            </w:r>
          </w:p>
        </w:tc>
      </w:tr>
      <w:tr w14:paraId="1C9A80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807" w:type="dxa"/>
            <w:vMerge w:val="continue"/>
            <w:tcBorders>
              <w:tl2br w:val="nil"/>
              <w:tr2bl w:val="nil"/>
            </w:tcBorders>
            <w:vAlign w:val="center"/>
          </w:tcPr>
          <w:p w14:paraId="731870B6">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restart"/>
            <w:tcBorders>
              <w:tl2br w:val="nil"/>
              <w:tr2bl w:val="nil"/>
            </w:tcBorders>
            <w:vAlign w:val="center"/>
          </w:tcPr>
          <w:p w14:paraId="41614790">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液氨、氨水</w:t>
            </w:r>
          </w:p>
        </w:tc>
        <w:tc>
          <w:tcPr>
            <w:tcW w:w="1501" w:type="dxa"/>
            <w:tcBorders>
              <w:tl2br w:val="nil"/>
              <w:tr2bl w:val="nil"/>
            </w:tcBorders>
            <w:vAlign w:val="center"/>
          </w:tcPr>
          <w:p w14:paraId="553F2CC1">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厂界边界</w:t>
            </w:r>
          </w:p>
        </w:tc>
        <w:tc>
          <w:tcPr>
            <w:tcW w:w="936" w:type="dxa"/>
            <w:gridSpan w:val="2"/>
            <w:tcBorders>
              <w:tl2br w:val="nil"/>
              <w:tr2bl w:val="nil"/>
            </w:tcBorders>
            <w:vAlign w:val="center"/>
          </w:tcPr>
          <w:p w14:paraId="4AF83E49">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到达时</w:t>
            </w:r>
          </w:p>
          <w:p w14:paraId="044DF1CB">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间</w:t>
            </w:r>
            <w:r>
              <w:rPr>
                <w:rFonts w:ascii="Times New Roman" w:hAnsi="Times New Roman" w:eastAsia="宋体" w:cs="Times New Roman"/>
                <w:b/>
                <w:bCs/>
                <w:kern w:val="0"/>
                <w:sz w:val="21"/>
                <w:szCs w:val="20"/>
                <w:lang w:val="en-US" w:eastAsia="zh-CN" w:bidi="ar-SA"/>
              </w:rPr>
              <w:t>/h</w:t>
            </w:r>
          </w:p>
        </w:tc>
        <w:tc>
          <w:tcPr>
            <w:tcW w:w="857" w:type="dxa"/>
            <w:tcBorders>
              <w:tl2br w:val="nil"/>
              <w:tr2bl w:val="nil"/>
            </w:tcBorders>
            <w:vAlign w:val="center"/>
          </w:tcPr>
          <w:p w14:paraId="4F1C78C7">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超标</w:t>
            </w:r>
          </w:p>
          <w:p w14:paraId="2A863E07">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时间</w:t>
            </w:r>
            <w:r>
              <w:rPr>
                <w:rFonts w:ascii="Times New Roman" w:hAnsi="Times New Roman" w:eastAsia="宋体" w:cs="Times New Roman"/>
                <w:b/>
                <w:bCs/>
                <w:kern w:val="0"/>
                <w:sz w:val="21"/>
                <w:szCs w:val="20"/>
                <w:lang w:val="en-US" w:eastAsia="zh-CN" w:bidi="ar-SA"/>
              </w:rPr>
              <w:t>/h</w:t>
            </w:r>
          </w:p>
        </w:tc>
        <w:tc>
          <w:tcPr>
            <w:tcW w:w="1555" w:type="dxa"/>
            <w:tcBorders>
              <w:tl2br w:val="nil"/>
              <w:tr2bl w:val="nil"/>
            </w:tcBorders>
            <w:vAlign w:val="center"/>
          </w:tcPr>
          <w:p w14:paraId="1588BDFD">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超标持续</w:t>
            </w:r>
          </w:p>
          <w:p w14:paraId="57C695F6">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时间</w:t>
            </w:r>
            <w:r>
              <w:rPr>
                <w:rFonts w:ascii="Times New Roman" w:hAnsi="Times New Roman" w:eastAsia="宋体" w:cs="Times New Roman"/>
                <w:b/>
                <w:bCs/>
                <w:kern w:val="0"/>
                <w:sz w:val="21"/>
                <w:szCs w:val="20"/>
                <w:lang w:val="en-US" w:eastAsia="zh-CN" w:bidi="ar-SA"/>
              </w:rPr>
              <w:t>/h</w:t>
            </w:r>
          </w:p>
        </w:tc>
        <w:tc>
          <w:tcPr>
            <w:tcW w:w="1290" w:type="dxa"/>
            <w:tcBorders>
              <w:tl2br w:val="nil"/>
              <w:tr2bl w:val="nil"/>
            </w:tcBorders>
            <w:vAlign w:val="center"/>
          </w:tcPr>
          <w:p w14:paraId="32AD45A6">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最大浓度</w:t>
            </w:r>
            <w:r>
              <w:rPr>
                <w:rFonts w:ascii="Times New Roman" w:hAnsi="Times New Roman" w:eastAsia="宋体" w:cs="Times New Roman"/>
                <w:b/>
                <w:bCs/>
                <w:kern w:val="0"/>
                <w:sz w:val="21"/>
                <w:szCs w:val="20"/>
                <w:lang w:val="en-US" w:eastAsia="zh-CN" w:bidi="ar-SA"/>
              </w:rPr>
              <w:t>/</w:t>
            </w:r>
          </w:p>
          <w:p w14:paraId="1557D71B">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w:t>
            </w:r>
            <w:r>
              <w:rPr>
                <w:rFonts w:ascii="Times New Roman" w:hAnsi="Times New Roman" w:eastAsia="宋体" w:cs="Times New Roman"/>
                <w:b/>
                <w:bCs/>
                <w:kern w:val="0"/>
                <w:sz w:val="21"/>
                <w:szCs w:val="20"/>
                <w:lang w:val="en-US" w:eastAsia="zh-CN" w:bidi="ar-SA"/>
              </w:rPr>
              <w:t>mg/L</w:t>
            </w:r>
            <w:r>
              <w:rPr>
                <w:rFonts w:hint="eastAsia" w:ascii="Times New Roman" w:hAnsi="Times New Roman" w:eastAsia="宋体" w:cs="Times New Roman"/>
                <w:b/>
                <w:bCs/>
                <w:kern w:val="0"/>
                <w:sz w:val="21"/>
                <w:szCs w:val="20"/>
                <w:lang w:val="en-US" w:eastAsia="zh-CN" w:bidi="ar-SA"/>
              </w:rPr>
              <w:t>）</w:t>
            </w:r>
          </w:p>
        </w:tc>
      </w:tr>
      <w:tr w14:paraId="2B99F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74" w:hRule="atLeast"/>
          <w:jc w:val="center"/>
        </w:trPr>
        <w:tc>
          <w:tcPr>
            <w:tcW w:w="1807" w:type="dxa"/>
            <w:vMerge w:val="continue"/>
            <w:tcBorders>
              <w:tl2br w:val="nil"/>
              <w:tr2bl w:val="nil"/>
            </w:tcBorders>
            <w:vAlign w:val="center"/>
          </w:tcPr>
          <w:p w14:paraId="2DBFD198">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1C790ECB">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4E15AA75">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936" w:type="dxa"/>
            <w:gridSpan w:val="2"/>
            <w:tcBorders>
              <w:tl2br w:val="nil"/>
              <w:tr2bl w:val="nil"/>
            </w:tcBorders>
            <w:vAlign w:val="center"/>
          </w:tcPr>
          <w:p w14:paraId="2D48730E">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857" w:type="dxa"/>
            <w:tcBorders>
              <w:tl2br w:val="nil"/>
              <w:tr2bl w:val="nil"/>
            </w:tcBorders>
            <w:vAlign w:val="center"/>
          </w:tcPr>
          <w:p w14:paraId="05B7ADE7">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4E16D190">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6E5C5B34">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r>
      <w:tr w14:paraId="68C093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83" w:hRule="atLeast"/>
          <w:jc w:val="center"/>
        </w:trPr>
        <w:tc>
          <w:tcPr>
            <w:tcW w:w="1807" w:type="dxa"/>
            <w:vMerge w:val="continue"/>
            <w:tcBorders>
              <w:tl2br w:val="nil"/>
              <w:tr2bl w:val="nil"/>
            </w:tcBorders>
            <w:vAlign w:val="center"/>
          </w:tcPr>
          <w:p w14:paraId="005CD76B">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2929377B">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5441074D">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敏感目标名称</w:t>
            </w:r>
          </w:p>
        </w:tc>
        <w:tc>
          <w:tcPr>
            <w:tcW w:w="936" w:type="dxa"/>
            <w:gridSpan w:val="2"/>
            <w:tcBorders>
              <w:tl2br w:val="nil"/>
              <w:tr2bl w:val="nil"/>
            </w:tcBorders>
            <w:vAlign w:val="center"/>
          </w:tcPr>
          <w:p w14:paraId="69C6B11D">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到达时间</w:t>
            </w:r>
            <w:r>
              <w:rPr>
                <w:rFonts w:ascii="Times New Roman" w:hAnsi="Times New Roman" w:eastAsia="宋体" w:cs="Times New Roman"/>
                <w:b/>
                <w:bCs/>
                <w:kern w:val="0"/>
                <w:sz w:val="21"/>
                <w:szCs w:val="20"/>
                <w:lang w:val="en-US" w:eastAsia="zh-CN" w:bidi="ar-SA"/>
              </w:rPr>
              <w:t>/h</w:t>
            </w:r>
          </w:p>
        </w:tc>
        <w:tc>
          <w:tcPr>
            <w:tcW w:w="857" w:type="dxa"/>
            <w:tcBorders>
              <w:tl2br w:val="nil"/>
              <w:tr2bl w:val="nil"/>
            </w:tcBorders>
            <w:vAlign w:val="center"/>
          </w:tcPr>
          <w:p w14:paraId="38B715BC">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超标时间</w:t>
            </w:r>
            <w:r>
              <w:rPr>
                <w:rFonts w:ascii="Times New Roman" w:hAnsi="Times New Roman" w:eastAsia="宋体" w:cs="Times New Roman"/>
                <w:b/>
                <w:bCs/>
                <w:kern w:val="0"/>
                <w:sz w:val="21"/>
                <w:szCs w:val="20"/>
                <w:lang w:val="en-US" w:eastAsia="zh-CN" w:bidi="ar-SA"/>
              </w:rPr>
              <w:t>/h</w:t>
            </w:r>
          </w:p>
        </w:tc>
        <w:tc>
          <w:tcPr>
            <w:tcW w:w="1555" w:type="dxa"/>
            <w:tcBorders>
              <w:tl2br w:val="nil"/>
              <w:tr2bl w:val="nil"/>
            </w:tcBorders>
            <w:vAlign w:val="center"/>
          </w:tcPr>
          <w:p w14:paraId="43A44C7E">
            <w:pPr>
              <w:widowControl w:val="0"/>
              <w:bidi w:val="0"/>
              <w:adjustRightInd w:val="0"/>
              <w:snapToGrid w:val="0"/>
              <w:spacing w:line="240" w:lineRule="auto"/>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超标持续时间</w:t>
            </w:r>
            <w:r>
              <w:rPr>
                <w:rFonts w:ascii="Times New Roman" w:hAnsi="Times New Roman" w:eastAsia="宋体" w:cs="Times New Roman"/>
                <w:b/>
                <w:bCs/>
                <w:kern w:val="0"/>
                <w:sz w:val="21"/>
                <w:szCs w:val="20"/>
                <w:lang w:val="en-US" w:eastAsia="zh-CN" w:bidi="ar-SA"/>
              </w:rPr>
              <w:t>/h</w:t>
            </w:r>
          </w:p>
        </w:tc>
        <w:tc>
          <w:tcPr>
            <w:tcW w:w="1290" w:type="dxa"/>
            <w:tcBorders>
              <w:tl2br w:val="nil"/>
              <w:tr2bl w:val="nil"/>
            </w:tcBorders>
            <w:vAlign w:val="center"/>
          </w:tcPr>
          <w:p w14:paraId="2FB1220E">
            <w:pPr>
              <w:widowControl w:val="0"/>
              <w:bidi w:val="0"/>
              <w:adjustRightInd w:val="0"/>
              <w:snapToGrid w:val="0"/>
              <w:spacing w:line="240" w:lineRule="auto"/>
              <w:jc w:val="center"/>
              <w:rPr>
                <w:rFonts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最大浓度</w:t>
            </w:r>
            <w:r>
              <w:rPr>
                <w:rFonts w:ascii="Times New Roman" w:hAnsi="Times New Roman" w:eastAsia="宋体" w:cs="Times New Roman"/>
                <w:b/>
                <w:bCs/>
                <w:kern w:val="0"/>
                <w:sz w:val="21"/>
                <w:szCs w:val="20"/>
                <w:lang w:val="en-US" w:eastAsia="zh-CN" w:bidi="ar-SA"/>
              </w:rPr>
              <w:t>/</w:t>
            </w:r>
            <w:r>
              <w:rPr>
                <w:rFonts w:hint="eastAsia" w:ascii="Times New Roman" w:hAnsi="Times New Roman" w:eastAsia="宋体" w:cs="Times New Roman"/>
                <w:b/>
                <w:bCs/>
                <w:kern w:val="0"/>
                <w:sz w:val="21"/>
                <w:szCs w:val="20"/>
                <w:lang w:val="en-US" w:eastAsia="zh-CN" w:bidi="ar-SA"/>
              </w:rPr>
              <w:t>（</w:t>
            </w:r>
            <w:r>
              <w:rPr>
                <w:rFonts w:ascii="Times New Roman" w:hAnsi="Times New Roman" w:eastAsia="宋体" w:cs="Times New Roman"/>
                <w:b/>
                <w:bCs/>
                <w:kern w:val="0"/>
                <w:sz w:val="21"/>
                <w:szCs w:val="20"/>
                <w:lang w:val="en-US" w:eastAsia="zh-CN" w:bidi="ar-SA"/>
              </w:rPr>
              <w:t>mg/L</w:t>
            </w:r>
            <w:r>
              <w:rPr>
                <w:rFonts w:hint="eastAsia" w:ascii="Times New Roman" w:hAnsi="Times New Roman" w:eastAsia="宋体" w:cs="Times New Roman"/>
                <w:b/>
                <w:bCs/>
                <w:kern w:val="0"/>
                <w:sz w:val="21"/>
                <w:szCs w:val="20"/>
                <w:lang w:val="en-US" w:eastAsia="zh-CN" w:bidi="ar-SA"/>
              </w:rPr>
              <w:t>）</w:t>
            </w:r>
          </w:p>
        </w:tc>
      </w:tr>
      <w:tr w14:paraId="376F2A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195" w:hRule="atLeast"/>
          <w:jc w:val="center"/>
        </w:trPr>
        <w:tc>
          <w:tcPr>
            <w:tcW w:w="1807" w:type="dxa"/>
            <w:vMerge w:val="continue"/>
            <w:tcBorders>
              <w:tl2br w:val="nil"/>
              <w:tr2bl w:val="nil"/>
            </w:tcBorders>
            <w:vAlign w:val="center"/>
          </w:tcPr>
          <w:p w14:paraId="5CEAC3BF">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194" w:type="dxa"/>
            <w:vMerge w:val="continue"/>
            <w:tcBorders>
              <w:tl2br w:val="nil"/>
              <w:tr2bl w:val="nil"/>
            </w:tcBorders>
            <w:vAlign w:val="center"/>
          </w:tcPr>
          <w:p w14:paraId="063966B3">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p>
        </w:tc>
        <w:tc>
          <w:tcPr>
            <w:tcW w:w="1501" w:type="dxa"/>
            <w:tcBorders>
              <w:tl2br w:val="nil"/>
              <w:tr2bl w:val="nil"/>
            </w:tcBorders>
            <w:vAlign w:val="center"/>
          </w:tcPr>
          <w:p w14:paraId="029A1CCA">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936" w:type="dxa"/>
            <w:gridSpan w:val="2"/>
            <w:tcBorders>
              <w:tl2br w:val="nil"/>
              <w:tr2bl w:val="nil"/>
            </w:tcBorders>
            <w:vAlign w:val="center"/>
          </w:tcPr>
          <w:p w14:paraId="144995AA">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857" w:type="dxa"/>
            <w:tcBorders>
              <w:tl2br w:val="nil"/>
              <w:tr2bl w:val="nil"/>
            </w:tcBorders>
            <w:vAlign w:val="center"/>
          </w:tcPr>
          <w:p w14:paraId="0911C505">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555" w:type="dxa"/>
            <w:tcBorders>
              <w:tl2br w:val="nil"/>
              <w:tr2bl w:val="nil"/>
            </w:tcBorders>
            <w:vAlign w:val="center"/>
          </w:tcPr>
          <w:p w14:paraId="144153D7">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c>
          <w:tcPr>
            <w:tcW w:w="1290" w:type="dxa"/>
            <w:tcBorders>
              <w:tl2br w:val="nil"/>
              <w:tr2bl w:val="nil"/>
            </w:tcBorders>
            <w:vAlign w:val="center"/>
          </w:tcPr>
          <w:p w14:paraId="59D40D2D">
            <w:pPr>
              <w:widowControl w:val="0"/>
              <w:bidi w:val="0"/>
              <w:adjustRightInd w:val="0"/>
              <w:snapToGrid w:val="0"/>
              <w:spacing w:line="240" w:lineRule="auto"/>
              <w:jc w:val="center"/>
              <w:rPr>
                <w:rFonts w:ascii="Times New Roman" w:hAnsi="Times New Roman" w:eastAsia="宋体" w:cs="Times New Roman"/>
                <w:kern w:val="0"/>
                <w:sz w:val="21"/>
                <w:szCs w:val="20"/>
                <w:lang w:val="en-US" w:eastAsia="zh-CN" w:bidi="ar-SA"/>
              </w:rPr>
            </w:pPr>
            <w:r>
              <w:rPr>
                <w:rFonts w:ascii="Times New Roman" w:hAnsi="Times New Roman" w:eastAsia="宋体" w:cs="Times New Roman"/>
                <w:kern w:val="0"/>
                <w:sz w:val="21"/>
                <w:szCs w:val="20"/>
                <w:lang w:val="en-US" w:eastAsia="zh-CN" w:bidi="ar-SA"/>
              </w:rPr>
              <w:t>/</w:t>
            </w:r>
          </w:p>
        </w:tc>
      </w:tr>
    </w:tbl>
    <w:p w14:paraId="3EA52BA2">
      <w:pPr>
        <w:pStyle w:val="15"/>
        <w:bidi w:val="0"/>
        <w:rPr>
          <w:rFonts w:hint="eastAsia"/>
          <w:lang w:val="en-US" w:eastAsia="zh-CN"/>
        </w:rPr>
      </w:pPr>
    </w:p>
    <w:p w14:paraId="2CDB4A32">
      <w:pPr>
        <w:pStyle w:val="3"/>
        <w:bidi w:val="0"/>
        <w:rPr>
          <w:rFonts w:hint="eastAsia"/>
          <w:lang w:val="en-US" w:eastAsia="zh-CN"/>
        </w:rPr>
      </w:pPr>
      <w:r>
        <w:rPr>
          <w:rFonts w:hint="eastAsia"/>
          <w:lang w:val="en-US" w:eastAsia="zh-CN"/>
        </w:rPr>
        <w:t>6.5环境风险评价</w:t>
      </w:r>
    </w:p>
    <w:p w14:paraId="09AB5C63">
      <w:pPr>
        <w:ind w:firstLine="480" w:firstLineChars="200"/>
        <w:rPr>
          <w:rFonts w:hint="eastAsia"/>
          <w:lang w:val="en-US" w:eastAsia="zh-CN"/>
        </w:rPr>
      </w:pPr>
      <w:r>
        <w:rPr>
          <w:rFonts w:hint="eastAsia" w:eastAsia="宋体"/>
          <w:color w:val="000000" w:themeColor="text1"/>
          <w:lang w:eastAsia="zh-CN"/>
          <w14:textFill>
            <w14:solidFill>
              <w14:schemeClr w14:val="tx1"/>
            </w14:solidFill>
          </w14:textFill>
        </w:rPr>
        <w:t>根据风险预测结果，事故状态下，距离液氨泄漏点≤</w:t>
      </w:r>
      <w:r>
        <w:rPr>
          <w:rFonts w:hint="eastAsia" w:ascii="Times New Roman" w:eastAsia="宋体"/>
          <w:color w:val="000000" w:themeColor="text1"/>
          <w:lang w:val="en-US" w:eastAsia="zh-CN"/>
          <w14:textFill>
            <w14:solidFill>
              <w14:schemeClr w14:val="tx1"/>
            </w14:solidFill>
          </w14:textFill>
        </w:rPr>
        <w:t>740m的敏感目标处预测浓度将超过1级大气毒性终点浓度，距离液氨泄漏点＞740m的敏感目标处预测浓度不会超过1级大气毒性终点浓度；</w:t>
      </w:r>
      <w:r>
        <w:rPr>
          <w:rFonts w:hint="eastAsia" w:eastAsia="宋体"/>
          <w:color w:val="000000" w:themeColor="text1"/>
          <w:lang w:eastAsia="zh-CN"/>
          <w14:textFill>
            <w14:solidFill>
              <w14:schemeClr w14:val="tx1"/>
            </w14:solidFill>
          </w14:textFill>
        </w:rPr>
        <w:t>距离液氨泄漏点≤</w:t>
      </w:r>
      <w:r>
        <w:rPr>
          <w:rFonts w:hint="eastAsia" w:ascii="Times New Roman" w:eastAsia="宋体"/>
          <w:color w:val="000000" w:themeColor="text1"/>
          <w:lang w:val="en-US" w:eastAsia="zh-CN"/>
          <w14:textFill>
            <w14:solidFill>
              <w14:schemeClr w14:val="tx1"/>
            </w14:solidFill>
          </w14:textFill>
        </w:rPr>
        <w:t>3200</w:t>
      </w:r>
      <w:r>
        <w:rPr>
          <w:rFonts w:hint="eastAsia" w:eastAsia="宋体"/>
          <w:color w:val="000000" w:themeColor="text1"/>
          <w:lang w:eastAsia="zh-CN"/>
          <w14:textFill>
            <w14:solidFill>
              <w14:schemeClr w14:val="tx1"/>
            </w14:solidFill>
          </w14:textFill>
        </w:rPr>
        <w:t>m的敏感目标处预测浓度将超过</w:t>
      </w:r>
      <w:r>
        <w:rPr>
          <w:rFonts w:hint="eastAsia" w:ascii="Times New Roman" w:eastAsia="宋体"/>
          <w:color w:val="000000" w:themeColor="text1"/>
          <w:lang w:val="en-US" w:eastAsia="zh-CN"/>
          <w14:textFill>
            <w14:solidFill>
              <w14:schemeClr w14:val="tx1"/>
            </w14:solidFill>
          </w14:textFill>
        </w:rPr>
        <w:t>2</w:t>
      </w:r>
      <w:r>
        <w:rPr>
          <w:rFonts w:hint="eastAsia" w:eastAsia="宋体"/>
          <w:color w:val="000000" w:themeColor="text1"/>
          <w:lang w:eastAsia="zh-CN"/>
          <w14:textFill>
            <w14:solidFill>
              <w14:schemeClr w14:val="tx1"/>
            </w14:solidFill>
          </w14:textFill>
        </w:rPr>
        <w:t>级大气毒性终点浓度，距离液氨泄漏点＞</w:t>
      </w:r>
      <w:r>
        <w:rPr>
          <w:rFonts w:hint="eastAsia" w:ascii="Times New Roman" w:eastAsia="宋体"/>
          <w:color w:val="000000" w:themeColor="text1"/>
          <w:lang w:val="en-US" w:eastAsia="zh-CN"/>
          <w14:textFill>
            <w14:solidFill>
              <w14:schemeClr w14:val="tx1"/>
            </w14:solidFill>
          </w14:textFill>
        </w:rPr>
        <w:t>320</w:t>
      </w:r>
      <w:r>
        <w:rPr>
          <w:rFonts w:hint="eastAsia" w:eastAsia="宋体"/>
          <w:color w:val="000000" w:themeColor="text1"/>
          <w:lang w:eastAsia="zh-CN"/>
          <w14:textFill>
            <w14:solidFill>
              <w14:schemeClr w14:val="tx1"/>
            </w14:solidFill>
          </w14:textFill>
        </w:rPr>
        <w:t>0m的敏感目标处预测浓度不会超过</w:t>
      </w:r>
      <w:r>
        <w:rPr>
          <w:rFonts w:hint="eastAsia" w:ascii="Times New Roman" w:eastAsia="宋体"/>
          <w:color w:val="000000" w:themeColor="text1"/>
          <w:lang w:val="en-US" w:eastAsia="zh-CN"/>
          <w14:textFill>
            <w14:solidFill>
              <w14:schemeClr w14:val="tx1"/>
            </w14:solidFill>
          </w14:textFill>
        </w:rPr>
        <w:t>2</w:t>
      </w:r>
      <w:r>
        <w:rPr>
          <w:rFonts w:hint="eastAsia" w:eastAsia="宋体"/>
          <w:color w:val="000000" w:themeColor="text1"/>
          <w:lang w:eastAsia="zh-CN"/>
          <w14:textFill>
            <w14:solidFill>
              <w14:schemeClr w14:val="tx1"/>
            </w14:solidFill>
          </w14:textFill>
        </w:rPr>
        <w:t>级大气毒性终点浓度。</w:t>
      </w:r>
      <w:r>
        <w:rPr>
          <w:rFonts w:hint="eastAsia"/>
          <w:lang w:val="en-US" w:eastAsia="zh-CN"/>
        </w:rPr>
        <w:t>液氨预测距离事故点下风向10m-740m范围内超过大气毒性终点浓度1级值（770mg/m</w:t>
      </w:r>
      <w:r>
        <w:rPr>
          <w:rFonts w:hint="eastAsia"/>
          <w:vertAlign w:val="superscript"/>
          <w:lang w:val="en-US" w:eastAsia="zh-CN"/>
        </w:rPr>
        <w:t>3</w:t>
      </w:r>
      <w:r>
        <w:rPr>
          <w:rFonts w:hint="eastAsia"/>
          <w:lang w:val="en-US" w:eastAsia="zh-CN"/>
        </w:rPr>
        <w:t>），到达时间为第12.413分钟，氨水预测距离事故点下风向10m-70m范围内超过大气毒性终点浓度1级值（770mg/m</w:t>
      </w:r>
      <w:r>
        <w:rPr>
          <w:rFonts w:hint="eastAsia"/>
          <w:vertAlign w:val="superscript"/>
          <w:lang w:val="en-US" w:eastAsia="zh-CN"/>
        </w:rPr>
        <w:t>3</w:t>
      </w:r>
      <w:r>
        <w:rPr>
          <w:rFonts w:hint="eastAsia"/>
          <w:lang w:val="en-US" w:eastAsia="zh-CN"/>
        </w:rPr>
        <w:t>），到达时间为第0.58333分钟，在此范围内环境敏感目标为道城洞（居民区），超过该限值时，有可能对人群造成生命威胁，事故发生时必须紧急撤离厂内人员、工业园人员和道城洞居民，避免对人群造成生命威胁；液氨预测距离事故点下风向10m-3200m范围内超过大气毒性终点浓度2级值（110mg/m</w:t>
      </w:r>
      <w:r>
        <w:rPr>
          <w:rFonts w:hint="eastAsia"/>
          <w:vertAlign w:val="superscript"/>
          <w:lang w:val="en-US" w:eastAsia="zh-CN"/>
        </w:rPr>
        <w:t>3</w:t>
      </w:r>
      <w:r>
        <w:rPr>
          <w:rFonts w:hint="eastAsia"/>
          <w:lang w:val="en-US" w:eastAsia="zh-CN"/>
        </w:rPr>
        <w:t>），到达时间为第37.474分钟，氨水预测距离事故点下风向10m-250m范围内超过大气毒性终点浓度2级值（110mg/m</w:t>
      </w:r>
      <w:r>
        <w:rPr>
          <w:rFonts w:hint="eastAsia"/>
          <w:vertAlign w:val="superscript"/>
          <w:lang w:val="en-US" w:eastAsia="zh-CN"/>
        </w:rPr>
        <w:t>3</w:t>
      </w:r>
      <w:r>
        <w:rPr>
          <w:rFonts w:hint="eastAsia"/>
          <w:lang w:val="en-US" w:eastAsia="zh-CN"/>
        </w:rPr>
        <w:t>），到达时间为第2.0833分钟，在此范围内环境敏感目标较多，建议根据现场风向及敏感点距离，及时告知超标点处相关人员迅速撤离。</w:t>
      </w:r>
    </w:p>
    <w:p w14:paraId="690358EF">
      <w:pPr>
        <w:ind w:firstLine="480" w:firstLineChars="200"/>
        <w:rPr>
          <w:rFonts w:hint="eastAsia"/>
          <w:lang w:val="en-US" w:eastAsia="zh-CN"/>
        </w:rPr>
      </w:pPr>
      <w:r>
        <w:rPr>
          <w:rFonts w:hint="eastAsia"/>
          <w:lang w:val="en-US" w:eastAsia="zh-CN"/>
        </w:rPr>
        <w:t>项目储罐区设置围堰，当风险物质发生泄漏，基本可把泄漏物质控制在厂区内。项目厂内围堰、集水沟、雨水管网等设施与项目内事故应急池相连，当厂内围堰无法满足事故水存储时，可及时将事故废水通过重力输送到事故应急池，经采取措施后，泄漏事故废水及消防事故废水可控制在厂内，不会直接流入地表水中，因此不会对地表水产生环境风险性影响。</w:t>
      </w:r>
    </w:p>
    <w:p w14:paraId="634A34F5">
      <w:pPr>
        <w:ind w:firstLine="480" w:firstLineChars="200"/>
        <w:rPr>
          <w:rFonts w:hint="eastAsia"/>
          <w:lang w:val="en-US" w:eastAsia="zh-CN"/>
        </w:rPr>
      </w:pPr>
      <w:r>
        <w:rPr>
          <w:rFonts w:hint="eastAsia"/>
          <w:lang w:val="en-US" w:eastAsia="zh-CN"/>
        </w:rPr>
        <w:t>当发生泄漏事故时，企业及时有效采取泄漏污染控制措施，项目事故泄漏的地下水环境影响基本可控，不会对周边敏感点地下水环境产生不良影响。</w:t>
      </w:r>
    </w:p>
    <w:p w14:paraId="12F8F0DE">
      <w:pPr>
        <w:pStyle w:val="2"/>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9E9DECC">
      <w:pPr>
        <w:pStyle w:val="2"/>
        <w:bidi w:val="0"/>
        <w:rPr>
          <w:rFonts w:hint="eastAsia"/>
          <w:lang w:val="en-US" w:eastAsia="zh-CN"/>
        </w:rPr>
      </w:pPr>
      <w:bookmarkStart w:id="28" w:name="_Toc23023"/>
      <w:r>
        <w:rPr>
          <w:rFonts w:hint="eastAsia"/>
          <w:lang w:val="en-US" w:eastAsia="zh-CN"/>
        </w:rPr>
        <w:t>7环境风险管理</w:t>
      </w:r>
      <w:bookmarkEnd w:id="28"/>
    </w:p>
    <w:p w14:paraId="1BF40F53">
      <w:pPr>
        <w:pStyle w:val="3"/>
        <w:bidi w:val="0"/>
        <w:rPr>
          <w:rFonts w:hint="eastAsia"/>
          <w:lang w:val="en-US" w:eastAsia="zh-CN"/>
        </w:rPr>
      </w:pPr>
      <w:r>
        <w:rPr>
          <w:rFonts w:hint="eastAsia"/>
          <w:lang w:val="en-US" w:eastAsia="zh-CN"/>
        </w:rPr>
        <w:t>7.1环境风险管理目标</w:t>
      </w:r>
    </w:p>
    <w:p w14:paraId="0CB39F97">
      <w:pPr>
        <w:ind w:firstLine="480" w:firstLineChars="200"/>
        <w:rPr>
          <w:rFonts w:hint="eastAsia"/>
          <w:lang w:val="en-US" w:eastAsia="zh-CN"/>
        </w:rPr>
      </w:pPr>
      <w:r>
        <w:rPr>
          <w:rFonts w:hint="eastAsia"/>
          <w:lang w:val="en-US" w:eastAsia="zh-CN"/>
        </w:rPr>
        <w:t>项目环境风险管理目标是采用最低合理可行原则管控环境风险。本项目环境风险主要是运输、贮存、生产过程等设施发生的泄漏、事故排放等风险事故。风险事故发生后，不仅对人员、财产造成损失，而且对周围环境有着难以弥补的损害。为避免风险事故发生，避免风险事故发生后对环境造成的严重污染，建设单位首先应树立环境风险意识，并在管理过程当中强化环境风险意识在实际工作与管理过程当中应落实环境风险防范措施。</w:t>
      </w:r>
    </w:p>
    <w:p w14:paraId="414F5AC3">
      <w:pPr>
        <w:pStyle w:val="3"/>
        <w:bidi w:val="0"/>
        <w:rPr>
          <w:rFonts w:hint="eastAsia"/>
          <w:lang w:val="en-US" w:eastAsia="zh-CN"/>
        </w:rPr>
      </w:pPr>
      <w:r>
        <w:rPr>
          <w:rFonts w:hint="eastAsia"/>
          <w:lang w:val="en-US" w:eastAsia="zh-CN"/>
        </w:rPr>
        <w:t>7.2环境风险防范措施</w:t>
      </w:r>
    </w:p>
    <w:p w14:paraId="426EFC5E">
      <w:pPr>
        <w:pStyle w:val="4"/>
        <w:bidi w:val="0"/>
        <w:rPr>
          <w:rFonts w:hint="eastAsia"/>
          <w:lang w:val="en-US" w:eastAsia="zh-CN"/>
        </w:rPr>
      </w:pPr>
      <w:r>
        <w:rPr>
          <w:rFonts w:hint="eastAsia"/>
          <w:lang w:val="en-US" w:eastAsia="zh-CN"/>
        </w:rPr>
        <w:t>7.2.1运输过程风险防范及应急措施</w:t>
      </w:r>
    </w:p>
    <w:p w14:paraId="51304C43">
      <w:pPr>
        <w:ind w:firstLine="480" w:firstLineChars="200"/>
        <w:rPr>
          <w:rFonts w:hint="eastAsia"/>
          <w:lang w:val="en-US" w:eastAsia="zh-CN"/>
        </w:rPr>
      </w:pPr>
      <w:r>
        <w:rPr>
          <w:rFonts w:hint="eastAsia"/>
          <w:lang w:val="en-US" w:eastAsia="zh-CN"/>
        </w:rPr>
        <w:t>本项目产品氨水溶液（浓度25%）属于《危险化学品目录（2025年版）》列明的危险化学品。危险化学品在运输过程中应严格做好相应防范措施，防止危险化学品的泄漏，或发生重大交通事故。</w:t>
      </w:r>
    </w:p>
    <w:p w14:paraId="092A4330">
      <w:pPr>
        <w:ind w:firstLine="480" w:firstLineChars="200"/>
        <w:rPr>
          <w:rFonts w:hint="eastAsia"/>
          <w:lang w:val="en-US" w:eastAsia="zh-CN"/>
        </w:rPr>
      </w:pPr>
      <w:r>
        <w:rPr>
          <w:rFonts w:hint="eastAsia"/>
          <w:lang w:val="en-US" w:eastAsia="zh-CN"/>
        </w:rPr>
        <w:t>1、运输前准备工作具体如下：</w:t>
      </w:r>
    </w:p>
    <w:p w14:paraId="1A69CAA7">
      <w:pPr>
        <w:ind w:firstLine="480" w:firstLineChars="200"/>
        <w:rPr>
          <w:rFonts w:hint="eastAsia"/>
          <w:lang w:val="en-US" w:eastAsia="zh-CN"/>
        </w:rPr>
      </w:pPr>
      <w:r>
        <w:rPr>
          <w:rFonts w:hint="eastAsia"/>
          <w:lang w:val="en-US" w:eastAsia="zh-CN"/>
        </w:rPr>
        <w:t>（1）采用危险化学品专用运输工具进行运输，运输车辆应采用具有专业资质单位设计制造的专门车辆，确保符合要求后方可投入使用。</w:t>
      </w:r>
    </w:p>
    <w:p w14:paraId="2933AE4C">
      <w:pPr>
        <w:ind w:firstLine="480" w:firstLineChars="200"/>
        <w:rPr>
          <w:rFonts w:hint="eastAsia"/>
          <w:lang w:val="en-US" w:eastAsia="zh-CN"/>
        </w:rPr>
      </w:pPr>
      <w:r>
        <w:rPr>
          <w:rFonts w:hint="eastAsia"/>
          <w:lang w:val="en-US" w:eastAsia="zh-CN"/>
        </w:rPr>
        <w:t>（2）危险化学品运送车辆必须在车辆前部和后部、车厢两侧设置专用警示标识。</w:t>
      </w:r>
    </w:p>
    <w:p w14:paraId="06C270B1">
      <w:pPr>
        <w:ind w:firstLine="480" w:firstLineChars="200"/>
        <w:rPr>
          <w:rFonts w:hint="eastAsia"/>
          <w:lang w:val="en-US" w:eastAsia="zh-CN"/>
        </w:rPr>
      </w:pPr>
      <w:r>
        <w:rPr>
          <w:rFonts w:hint="eastAsia"/>
          <w:lang w:val="en-US" w:eastAsia="zh-CN"/>
        </w:rPr>
        <w:t>（3）每辆运送车应指定负责人，对危险化学品运送过程负责；从事危险化学品运输的司机等人员应经过合格的培训并通过考核。</w:t>
      </w:r>
    </w:p>
    <w:p w14:paraId="5109DA36">
      <w:pPr>
        <w:ind w:firstLine="480" w:firstLineChars="200"/>
        <w:rPr>
          <w:rFonts w:hint="eastAsia"/>
          <w:lang w:val="en-US" w:eastAsia="zh-CN"/>
        </w:rPr>
      </w:pPr>
      <w:r>
        <w:rPr>
          <w:rFonts w:hint="eastAsia"/>
          <w:lang w:val="en-US" w:eastAsia="zh-CN"/>
        </w:rPr>
        <w:t>（4）应制定事故应急和防止运输过程中泄漏、丢失、扬散的保障措施和配备必要的设备，在发生泄漏时可以及时收集，减少散失。</w:t>
      </w:r>
    </w:p>
    <w:p w14:paraId="67EF5E59">
      <w:pPr>
        <w:ind w:firstLine="480" w:firstLineChars="200"/>
        <w:rPr>
          <w:rFonts w:hint="eastAsia"/>
          <w:lang w:val="en-US" w:eastAsia="zh-CN"/>
        </w:rPr>
      </w:pPr>
      <w:r>
        <w:rPr>
          <w:rFonts w:hint="eastAsia"/>
          <w:lang w:val="en-US" w:eastAsia="zh-CN"/>
        </w:rPr>
        <w:t>（5）合理安排运输频次，在气象条件不好的天气，如暴雨、台风等，不能运输危险化学品，可先贮藏，等天气好转再进行运输；小雨天气可运输，但应小心驾驶并加强安全措施。</w:t>
      </w:r>
    </w:p>
    <w:p w14:paraId="30756CC3">
      <w:pPr>
        <w:ind w:firstLine="480" w:firstLineChars="200"/>
        <w:rPr>
          <w:rFonts w:hint="eastAsia"/>
          <w:lang w:val="en-US" w:eastAsia="zh-CN"/>
        </w:rPr>
      </w:pPr>
      <w:r>
        <w:rPr>
          <w:rFonts w:hint="eastAsia"/>
          <w:lang w:val="en-US" w:eastAsia="zh-CN"/>
        </w:rPr>
        <w:t>2、危险化学品运输过程事故应急措施如下：</w:t>
      </w:r>
    </w:p>
    <w:p w14:paraId="4A0B4F2C">
      <w:pPr>
        <w:ind w:firstLine="480" w:firstLineChars="200"/>
        <w:rPr>
          <w:rFonts w:hint="eastAsia"/>
          <w:lang w:val="en-US" w:eastAsia="zh-CN"/>
        </w:rPr>
      </w:pPr>
      <w:r>
        <w:rPr>
          <w:rFonts w:hint="eastAsia"/>
          <w:lang w:val="en-US" w:eastAsia="zh-CN"/>
        </w:rPr>
        <w:t>（1）警戒与人员疏散</w:t>
      </w:r>
    </w:p>
    <w:p w14:paraId="7293741A">
      <w:pPr>
        <w:ind w:firstLine="480" w:firstLineChars="200"/>
        <w:rPr>
          <w:rFonts w:hint="eastAsia"/>
          <w:lang w:val="en-US" w:eastAsia="zh-CN"/>
        </w:rPr>
      </w:pPr>
      <w:r>
        <w:rPr>
          <w:rFonts w:hint="eastAsia"/>
          <w:lang w:val="en-US" w:eastAsia="zh-CN"/>
        </w:rPr>
        <w:t>事件发生后，应根据泄漏物质可能涉及到的范围建立警戒区，并在通往事件现场的主要干道上实行交通管制。建立警戒区域和人员疏散时应注意以下几项：</w:t>
      </w:r>
    </w:p>
    <w:p w14:paraId="1E14032A">
      <w:pPr>
        <w:ind w:firstLine="480" w:firstLineChars="200"/>
        <w:rPr>
          <w:rFonts w:hint="eastAsia"/>
          <w:lang w:val="en-US" w:eastAsia="zh-CN"/>
        </w:rPr>
      </w:pPr>
      <w:r>
        <w:rPr>
          <w:rFonts w:hint="eastAsia"/>
          <w:lang w:val="en-US" w:eastAsia="zh-CN"/>
        </w:rPr>
        <w:t>①事件中心区域。中心区即距事件现场0～800m的区域。此区域危险化学品浓度指标高，有危险化学品扩散，并伴有爆炸、火灾发生，建筑物设施及设备损坏，人员急性中毒的危险，边界使用红色警戒标志。</w:t>
      </w:r>
    </w:p>
    <w:p w14:paraId="0A7C996F">
      <w:pPr>
        <w:ind w:firstLine="480" w:firstLineChars="200"/>
        <w:rPr>
          <w:rFonts w:hint="eastAsia"/>
          <w:lang w:val="en-US" w:eastAsia="zh-CN"/>
        </w:rPr>
      </w:pPr>
      <w:r>
        <w:rPr>
          <w:rFonts w:hint="eastAsia"/>
          <w:lang w:val="en-US" w:eastAsia="zh-CN"/>
        </w:rPr>
        <w:t>②事件波及区域。事件波及区即距事件现场800～3500m的区域。该区域空气中危险化学品浓度较高，作用时间较长，有可能发生人员或物品的伤害或损坏。边界使用橙色警戒标志。</w:t>
      </w:r>
    </w:p>
    <w:p w14:paraId="709CA8AD">
      <w:pPr>
        <w:ind w:firstLine="480" w:firstLineChars="200"/>
        <w:rPr>
          <w:rFonts w:hint="eastAsia"/>
          <w:lang w:val="en-US" w:eastAsia="zh-CN"/>
        </w:rPr>
      </w:pPr>
      <w:r>
        <w:rPr>
          <w:rFonts w:hint="eastAsia"/>
          <w:lang w:val="en-US" w:eastAsia="zh-CN"/>
        </w:rPr>
        <w:t>③受影响区域。受影响区域是指事件波及区外可能受影响的区域，该区域可能有从中心区和波及区扩散的小剂量危险化学品危害。边界使用黄色警戒标志。</w:t>
      </w:r>
    </w:p>
    <w:p w14:paraId="18D4E5D1">
      <w:pPr>
        <w:ind w:firstLine="480" w:firstLineChars="200"/>
        <w:rPr>
          <w:rFonts w:hint="eastAsia"/>
          <w:lang w:val="en-US" w:eastAsia="zh-CN"/>
        </w:rPr>
      </w:pPr>
      <w:r>
        <w:rPr>
          <w:rFonts w:hint="eastAsia"/>
          <w:lang w:val="en-US" w:eastAsia="zh-CN"/>
        </w:rPr>
        <w:t>④除消防、应急处理人员以及必须坚守岗位人员外，其他人员禁止进入警戒区。泄漏溢出的化学品为易燃易爆物品时，警戒区域内应严禁各类火种。</w:t>
      </w:r>
    </w:p>
    <w:p w14:paraId="7A270AD5">
      <w:pPr>
        <w:ind w:firstLine="480" w:firstLineChars="200"/>
        <w:rPr>
          <w:rFonts w:hint="eastAsia"/>
          <w:lang w:val="en-US" w:eastAsia="zh-CN"/>
        </w:rPr>
      </w:pPr>
      <w:r>
        <w:rPr>
          <w:rFonts w:hint="eastAsia"/>
          <w:lang w:val="en-US" w:eastAsia="zh-CN"/>
        </w:rPr>
        <w:t>⑤合理设置出入口，严格控制各区域进出人员、车辆和物质；与交通部门拟定发生重大危险化学品事件时的道路隔离或交通疏导方案。</w:t>
      </w:r>
    </w:p>
    <w:p w14:paraId="7C28FE8E">
      <w:pPr>
        <w:ind w:firstLine="480" w:firstLineChars="200"/>
        <w:rPr>
          <w:rFonts w:hint="eastAsia"/>
          <w:lang w:val="en-US" w:eastAsia="zh-CN"/>
        </w:rPr>
      </w:pPr>
      <w:r>
        <w:rPr>
          <w:rFonts w:hint="eastAsia"/>
          <w:lang w:val="en-US" w:eastAsia="zh-CN"/>
        </w:rPr>
        <w:t>（2）泄漏处置措施</w:t>
      </w:r>
    </w:p>
    <w:p w14:paraId="0302A356">
      <w:pPr>
        <w:ind w:firstLine="480" w:firstLineChars="200"/>
        <w:rPr>
          <w:rFonts w:hint="eastAsia"/>
          <w:lang w:val="en-US" w:eastAsia="zh-CN"/>
        </w:rPr>
      </w:pPr>
      <w:r>
        <w:rPr>
          <w:rFonts w:hint="eastAsia"/>
          <w:lang w:val="en-US" w:eastAsia="zh-CN"/>
        </w:rPr>
        <w:t>①进入泄漏现场进行处理，应注意安全防护。进入现场救援人员必须配备必要的个人防护用品、器具。如果液氨、氨水泄漏，事件中心应严火种、切断电源、禁止车辆进入、立即在边界设置警戒线。根据事件发展情况和事件发展，确定事件波及区人员的撤离。</w:t>
      </w:r>
    </w:p>
    <w:p w14:paraId="1C03F368">
      <w:pPr>
        <w:ind w:firstLine="480" w:firstLineChars="200"/>
        <w:rPr>
          <w:rFonts w:hint="eastAsia"/>
          <w:lang w:val="en-US" w:eastAsia="zh-CN"/>
        </w:rPr>
      </w:pPr>
      <w:r>
        <w:rPr>
          <w:rFonts w:hint="eastAsia"/>
          <w:lang w:val="en-US" w:eastAsia="zh-CN"/>
        </w:rPr>
        <w:t>②泄漏源的控制主要采取措施修补和堵塞裂口。制止液氨、氨水的进一步泄漏，对整个应急处理是至关重要的。进行堵漏措施时要根据接近泄漏点的危险程度、泄漏孔的尺寸、泄漏点处实际的或潜在的压力、泄漏物质的特性等四个因素进行考虑。</w:t>
      </w:r>
    </w:p>
    <w:p w14:paraId="0767130A">
      <w:pPr>
        <w:ind w:firstLine="480" w:firstLineChars="200"/>
        <w:rPr>
          <w:rFonts w:hint="eastAsia"/>
          <w:lang w:val="en-US" w:eastAsia="zh-CN"/>
        </w:rPr>
      </w:pPr>
      <w:r>
        <w:rPr>
          <w:rFonts w:hint="eastAsia"/>
          <w:lang w:val="en-US" w:eastAsia="zh-CN"/>
        </w:rPr>
        <w:t>③现场泄漏物要及时进行覆盖、收容、稀释、处理，使泄漏物得到安全可靠的处置，防止二次事件的发生。泄漏物处置主要有2种方法：第一种是围堤堵截，氨水需要用干沙或石灰筑堤堵截或者引流到安全地点；第二种是稀释与覆盖，为减少大气污染，通常是采用水枪或消防水带向有害物蒸汽云喷射雾状水，加速气体向高空扩散，使其在安全地带扩散。在使用这一技术时，将产生大量的被污染水，因此应疏通污水排放系统。对于可燃物，也可以在现场施放大量水蒸汽或氮气，破坏燃烧条件。对于液体泄漏，为降低物料向大气中的蒸发速度，可用泡沫或其他覆盖物品覆盖外泄的物料，在其表面形成覆盖层，抑制其蒸发。</w:t>
      </w:r>
    </w:p>
    <w:p w14:paraId="56342153">
      <w:pPr>
        <w:pStyle w:val="4"/>
        <w:bidi w:val="0"/>
        <w:rPr>
          <w:rFonts w:hint="eastAsia"/>
          <w:lang w:val="en-US" w:eastAsia="zh-CN"/>
        </w:rPr>
      </w:pPr>
      <w:r>
        <w:rPr>
          <w:rFonts w:hint="eastAsia"/>
          <w:lang w:val="en-US" w:eastAsia="zh-CN"/>
        </w:rPr>
        <w:t>7.2.2液氨、氨水等化学品泄漏风险防范及应急措施</w:t>
      </w:r>
    </w:p>
    <w:p w14:paraId="3066350B">
      <w:pPr>
        <w:ind w:firstLine="482" w:firstLineChars="200"/>
        <w:rPr>
          <w:rFonts w:hint="eastAsia"/>
          <w:b/>
          <w:bCs/>
          <w:lang w:val="en-US" w:eastAsia="zh-CN"/>
        </w:rPr>
      </w:pPr>
      <w:r>
        <w:rPr>
          <w:rFonts w:hint="eastAsia"/>
          <w:b/>
          <w:bCs/>
          <w:lang w:val="en-US" w:eastAsia="zh-CN"/>
        </w:rPr>
        <w:t>1、本项目化学品泄漏防范措施</w:t>
      </w:r>
    </w:p>
    <w:p w14:paraId="7132CAA9">
      <w:pPr>
        <w:ind w:firstLine="480" w:firstLineChars="200"/>
        <w:rPr>
          <w:rFonts w:hint="eastAsia"/>
          <w:lang w:val="en-US" w:eastAsia="zh-CN"/>
        </w:rPr>
      </w:pPr>
      <w:r>
        <w:rPr>
          <w:rFonts w:hint="eastAsia"/>
          <w:lang w:val="en-US" w:eastAsia="zh-CN"/>
        </w:rPr>
        <w:t>（1）项目配备装置自动控制系统，在控室内设有必要的报警系统和安全锁系统。</w:t>
      </w:r>
    </w:p>
    <w:p w14:paraId="4264CA5F">
      <w:pPr>
        <w:ind w:firstLine="480" w:firstLineChars="200"/>
        <w:rPr>
          <w:rFonts w:hint="eastAsia"/>
          <w:lang w:val="en-US" w:eastAsia="zh-CN"/>
        </w:rPr>
      </w:pPr>
      <w:r>
        <w:rPr>
          <w:rFonts w:hint="eastAsia"/>
          <w:lang w:val="en-US" w:eastAsia="zh-CN"/>
        </w:rPr>
        <w:t>（2）罐区设置围堰且围堰内地面均实行硬底化和设置防渗涂层，采取防漏措施，围堰应设有专管，能及时对泄漏物进行拦截作用并集中排放。</w:t>
      </w:r>
    </w:p>
    <w:p w14:paraId="1AEF3883">
      <w:pPr>
        <w:ind w:firstLine="480" w:firstLineChars="200"/>
        <w:rPr>
          <w:rFonts w:hint="eastAsia"/>
          <w:lang w:val="en-US" w:eastAsia="zh-CN"/>
        </w:rPr>
      </w:pPr>
      <w:r>
        <w:rPr>
          <w:rFonts w:hint="eastAsia"/>
          <w:lang w:val="en-US" w:eastAsia="zh-CN"/>
        </w:rPr>
        <w:t>（3）液氨、氨水罐区设置喷淋降温系统。</w:t>
      </w:r>
    </w:p>
    <w:p w14:paraId="5754B9EE">
      <w:pPr>
        <w:ind w:firstLine="480" w:firstLineChars="200"/>
        <w:rPr>
          <w:rFonts w:hint="eastAsia"/>
          <w:lang w:val="en-US" w:eastAsia="zh-CN"/>
        </w:rPr>
      </w:pPr>
      <w:r>
        <w:rPr>
          <w:rFonts w:hint="eastAsia"/>
          <w:lang w:val="en-US" w:eastAsia="zh-CN"/>
        </w:rPr>
        <w:t>（4）危险化学品泄漏的应急资源主要有围堰、防腐防地面、管道、沙包、吸收棉等。已在雨水排放口设置雨水截止阀、尽量使泄露化学品不扩散对外环境中，减少对外环境污染的风险。</w:t>
      </w:r>
    </w:p>
    <w:p w14:paraId="41C070D7">
      <w:pPr>
        <w:ind w:firstLine="480" w:firstLineChars="200"/>
        <w:rPr>
          <w:rFonts w:hint="eastAsia"/>
          <w:lang w:val="en-US" w:eastAsia="zh-CN"/>
        </w:rPr>
      </w:pPr>
      <w:r>
        <w:rPr>
          <w:rFonts w:hint="eastAsia"/>
          <w:lang w:val="en-US" w:eastAsia="zh-CN"/>
        </w:rPr>
        <w:t>（5）按照《石油化工设备和管道涂料防腐设计规范》（SH/T3022-2019）的定，做好地上设备、地下设备和管道防腐。</w:t>
      </w:r>
    </w:p>
    <w:p w14:paraId="5C4CD9B0">
      <w:pPr>
        <w:ind w:firstLine="480" w:firstLineChars="200"/>
        <w:rPr>
          <w:rFonts w:hint="eastAsia"/>
          <w:lang w:val="en-US" w:eastAsia="zh-CN"/>
        </w:rPr>
      </w:pPr>
      <w:r>
        <w:rPr>
          <w:rFonts w:hint="eastAsia"/>
          <w:lang w:val="en-US" w:eastAsia="zh-CN"/>
        </w:rPr>
        <w:t>（6）储罐及其附件选型符合《石油化工储运系统罐区设计规范》（SH/T3007-2014）的规定。</w:t>
      </w:r>
    </w:p>
    <w:p w14:paraId="1EB8B19E">
      <w:pPr>
        <w:ind w:firstLine="480" w:firstLineChars="200"/>
        <w:rPr>
          <w:rFonts w:hint="eastAsia"/>
          <w:lang w:val="en-US" w:eastAsia="zh-CN"/>
        </w:rPr>
      </w:pPr>
      <w:r>
        <w:rPr>
          <w:rFonts w:hint="eastAsia"/>
          <w:lang w:val="en-US" w:eastAsia="zh-CN"/>
        </w:rPr>
        <w:t>（7）工艺故障时，液氨可通过氨水生产设施的吸氨器紧急制成氨水。</w:t>
      </w:r>
    </w:p>
    <w:p w14:paraId="1B85F812">
      <w:pPr>
        <w:ind w:firstLine="480" w:firstLineChars="200"/>
        <w:rPr>
          <w:rFonts w:hint="eastAsia"/>
          <w:lang w:val="en-US" w:eastAsia="zh-CN"/>
        </w:rPr>
      </w:pPr>
      <w:r>
        <w:rPr>
          <w:rFonts w:hint="eastAsia"/>
          <w:lang w:val="en-US" w:eastAsia="zh-CN"/>
        </w:rPr>
        <w:t>（8）氨水装车管线和液氨储罐进出口管线均设置紧急切断阀。</w:t>
      </w:r>
    </w:p>
    <w:p w14:paraId="14C4B375">
      <w:pPr>
        <w:ind w:firstLine="480" w:firstLineChars="200"/>
        <w:rPr>
          <w:rFonts w:hint="eastAsia"/>
          <w:lang w:val="en-US" w:eastAsia="zh-CN"/>
        </w:rPr>
      </w:pPr>
      <w:r>
        <w:rPr>
          <w:rFonts w:hint="eastAsia"/>
          <w:lang w:val="en-US" w:eastAsia="zh-CN"/>
        </w:rPr>
        <w:t>（9）液氨、氨水输送管线在厂区内均设有放空阀、安全阀、尾气吸收装置、等安全措施。</w:t>
      </w:r>
    </w:p>
    <w:p w14:paraId="2FB147DF">
      <w:pPr>
        <w:ind w:firstLine="482" w:firstLineChars="200"/>
        <w:rPr>
          <w:rFonts w:hint="eastAsia"/>
          <w:b/>
          <w:bCs/>
          <w:lang w:val="en-US" w:eastAsia="zh-CN"/>
        </w:rPr>
      </w:pPr>
      <w:r>
        <w:rPr>
          <w:rFonts w:hint="eastAsia"/>
          <w:b/>
          <w:bCs/>
          <w:lang w:val="en-US" w:eastAsia="zh-CN"/>
        </w:rPr>
        <w:t>2、液氨泄漏应急措施</w:t>
      </w:r>
    </w:p>
    <w:p w14:paraId="3A5F087F">
      <w:pPr>
        <w:ind w:firstLine="480" w:firstLineChars="200"/>
        <w:rPr>
          <w:rFonts w:hint="eastAsia"/>
          <w:lang w:val="en-US" w:eastAsia="zh-CN"/>
        </w:rPr>
      </w:pPr>
      <w:r>
        <w:rPr>
          <w:rFonts w:hint="eastAsia"/>
          <w:lang w:val="en-US" w:eastAsia="zh-CN"/>
        </w:rPr>
        <w:t>（1）发现事故后当班人员应立即向领导小组汇报，并随时保持联系，排查事故主要原因，相关人员到场后协助处理，进入现场人员须配备必要的个人防护器具。</w:t>
      </w:r>
    </w:p>
    <w:p w14:paraId="6939B74E">
      <w:pPr>
        <w:ind w:firstLine="480" w:firstLineChars="200"/>
        <w:rPr>
          <w:rFonts w:hint="eastAsia"/>
          <w:lang w:val="en-US" w:eastAsia="zh-CN"/>
        </w:rPr>
      </w:pPr>
      <w:r>
        <w:rPr>
          <w:rFonts w:hint="eastAsia"/>
          <w:lang w:val="en-US" w:eastAsia="zh-CN"/>
        </w:rPr>
        <w:t>（2）事故区应严禁一切火种，切断电源，立即在边界设置警戒线。根据事故发生情况和事故进展，确定事故波及区及有关措施。</w:t>
      </w:r>
    </w:p>
    <w:p w14:paraId="3C8FAD86">
      <w:pPr>
        <w:ind w:firstLine="480" w:firstLineChars="200"/>
        <w:rPr>
          <w:rFonts w:hint="eastAsia"/>
          <w:lang w:val="en-US" w:eastAsia="zh-CN"/>
        </w:rPr>
      </w:pPr>
      <w:r>
        <w:rPr>
          <w:rFonts w:hint="eastAsia"/>
          <w:lang w:val="en-US" w:eastAsia="zh-CN"/>
        </w:rPr>
        <w:t>（3）罐周围设有足够的围堰，其有效容积可满足最大单罐物料泄漏量。各罐区围堰旁备有消防沙、消防掀等。一旦围堰发生破损而导致物料外泄，可及时进行封堵处理。小量泄漏：现场通风，加速扩散。</w:t>
      </w:r>
    </w:p>
    <w:p w14:paraId="290DD9F7">
      <w:pPr>
        <w:ind w:firstLine="480" w:firstLineChars="200"/>
        <w:rPr>
          <w:rFonts w:hint="eastAsia"/>
          <w:lang w:val="en-US" w:eastAsia="zh-CN"/>
        </w:rPr>
      </w:pPr>
      <w:r>
        <w:rPr>
          <w:rFonts w:hint="eastAsia"/>
          <w:lang w:val="en-US" w:eastAsia="zh-CN"/>
        </w:rPr>
        <w:t>大量泄漏：利用水源或消防水建立水幕墙，喷洒含盐酸雾状水中和、稀释、溶解，废水按危废处理，交由有资质的单位清运处置。对于能回收的，可用防爆耐氨蚀泵将泄漏物转移至洁的槽车或专用收集容器内进行回收。对不能回收的泄漏物，喷洒雾状水中和、稀释、溶解，中和后的产物收集到围堰中。</w:t>
      </w:r>
    </w:p>
    <w:p w14:paraId="08D90ABB">
      <w:pPr>
        <w:pStyle w:val="4"/>
        <w:bidi w:val="0"/>
        <w:rPr>
          <w:rFonts w:hint="eastAsia"/>
          <w:lang w:val="en-US" w:eastAsia="zh-CN"/>
        </w:rPr>
      </w:pPr>
      <w:r>
        <w:rPr>
          <w:rFonts w:hint="eastAsia"/>
          <w:lang w:val="en-US" w:eastAsia="zh-CN"/>
        </w:rPr>
        <w:t>7.2.3火灾爆炸风险防范及应急措施</w:t>
      </w:r>
    </w:p>
    <w:p w14:paraId="55A9BEEC">
      <w:pPr>
        <w:ind w:firstLine="480" w:firstLineChars="200"/>
        <w:rPr>
          <w:rFonts w:hint="eastAsia"/>
          <w:lang w:val="en-US" w:eastAsia="zh-CN"/>
        </w:rPr>
      </w:pPr>
      <w:r>
        <w:rPr>
          <w:rFonts w:hint="eastAsia"/>
          <w:lang w:val="en-US" w:eastAsia="zh-CN"/>
        </w:rPr>
        <w:t>1、按照《建筑设计防火规范》（GB50016-2014）的要求，划分不同的火灾危险类别，总图布置按照防火防爆要求保证各厂房、建构筑物之间的防火安全距离。各厂房之间留有消防通道相通，以形成全厂消防通道网。</w:t>
      </w:r>
    </w:p>
    <w:p w14:paraId="1BEF6C82">
      <w:pPr>
        <w:ind w:firstLine="480" w:firstLineChars="200"/>
        <w:rPr>
          <w:rFonts w:hint="eastAsia"/>
          <w:lang w:val="en-US" w:eastAsia="zh-CN"/>
        </w:rPr>
      </w:pPr>
      <w:r>
        <w:rPr>
          <w:rFonts w:hint="eastAsia"/>
          <w:lang w:val="en-US" w:eastAsia="zh-CN"/>
        </w:rPr>
        <w:t>2、液氨球罐区和氨水储罐区设置喷淋系统吸收氨，在罐区周围设置固定消防栓，作为储罐喷淋系统的辅助保护。</w:t>
      </w:r>
    </w:p>
    <w:p w14:paraId="0ACE9899">
      <w:pPr>
        <w:ind w:firstLine="480" w:firstLineChars="200"/>
        <w:rPr>
          <w:rFonts w:hint="eastAsia"/>
          <w:lang w:val="en-US" w:eastAsia="zh-CN"/>
        </w:rPr>
      </w:pPr>
      <w:r>
        <w:rPr>
          <w:rFonts w:hint="eastAsia"/>
          <w:lang w:val="en-US" w:eastAsia="zh-CN"/>
        </w:rPr>
        <w:t>3、厂区内应有消防工程设施建设，防雷、防静电防范措施建设，电气工程风险防范措施建设。</w:t>
      </w:r>
    </w:p>
    <w:p w14:paraId="1EBD7300">
      <w:pPr>
        <w:ind w:firstLine="480" w:firstLineChars="200"/>
        <w:rPr>
          <w:rFonts w:hint="eastAsia"/>
          <w:lang w:val="en-US" w:eastAsia="zh-CN"/>
        </w:rPr>
      </w:pPr>
      <w:r>
        <w:rPr>
          <w:rFonts w:hint="eastAsia"/>
          <w:lang w:val="en-US" w:eastAsia="zh-CN"/>
        </w:rPr>
        <w:t>4、液氨球罐区和氨水储罐区均设置有围堰、集水沟和水沟开关阀门；雨水管网设置雨水阀门，厂区内设置足够容量的围堰和事故应急池，雨水管网和围堰并与事故应急池设置有带阀门管道连接，一旦发生事故后，关闭初期雨水池进水口阀门，打开事故应急池进水口阀门将事故废水导入事故应急池中储存。</w:t>
      </w:r>
    </w:p>
    <w:p w14:paraId="52F49D7B">
      <w:pPr>
        <w:ind w:firstLine="480" w:firstLineChars="200"/>
        <w:rPr>
          <w:rFonts w:hint="eastAsia"/>
          <w:lang w:val="en-US" w:eastAsia="zh-CN"/>
        </w:rPr>
      </w:pPr>
      <w:r>
        <w:rPr>
          <w:rFonts w:hint="eastAsia"/>
          <w:lang w:val="en-US" w:eastAsia="zh-CN"/>
        </w:rPr>
        <w:t>5、厂区按消防要求配置灭火器材。在车间及楼梯口放置疏散图及集中点，制定突发环境事件应急预案，定期做应急培训。重点做好消防设施及灭火设备的配备及维保，个人应急防护及应急通信设备的维护。</w:t>
      </w:r>
    </w:p>
    <w:p w14:paraId="68C81CEB">
      <w:pPr>
        <w:pStyle w:val="4"/>
        <w:bidi w:val="0"/>
        <w:rPr>
          <w:rFonts w:hint="eastAsia"/>
          <w:lang w:val="en-US" w:eastAsia="zh-CN"/>
        </w:rPr>
      </w:pPr>
      <w:r>
        <w:rPr>
          <w:rFonts w:hint="eastAsia"/>
          <w:lang w:val="en-US" w:eastAsia="zh-CN"/>
        </w:rPr>
        <w:t>7.2.4事故废水环境风险防范措施</w:t>
      </w:r>
    </w:p>
    <w:p w14:paraId="7B6B240C">
      <w:pPr>
        <w:ind w:firstLine="480" w:firstLineChars="200"/>
        <w:rPr>
          <w:rFonts w:hint="eastAsia"/>
          <w:lang w:val="en-US" w:eastAsia="zh-CN"/>
        </w:rPr>
      </w:pPr>
      <w:r>
        <w:rPr>
          <w:rFonts w:hint="eastAsia"/>
          <w:lang w:val="en-US" w:eastAsia="zh-CN"/>
        </w:rPr>
        <w:t>针对项目存在消防污水可能造成重大污染事故，建立“单元-厂区-园区区域"的三级风险防控体系。因此要求建设单位必须在厂区内设置有足够容积的事故污水应急收集设施，事故期间将消防产生的污水排入收集设施内暂时存放，以防止事故处理产生的直接污水流入外环境中造成水体污染。</w:t>
      </w:r>
    </w:p>
    <w:p w14:paraId="40BDC424">
      <w:pPr>
        <w:ind w:firstLine="480" w:firstLineChars="200"/>
        <w:rPr>
          <w:rFonts w:hint="eastAsia"/>
          <w:lang w:val="en-US" w:eastAsia="zh-CN"/>
        </w:rPr>
      </w:pPr>
      <w:r>
        <w:rPr>
          <w:rFonts w:hint="eastAsia"/>
          <w:lang w:val="en-US" w:eastAsia="zh-CN"/>
        </w:rPr>
        <w:t>事故废水具体环境风险防范措施如下：</w:t>
      </w:r>
    </w:p>
    <w:p w14:paraId="261A1BA4">
      <w:pPr>
        <w:ind w:firstLine="480" w:firstLineChars="200"/>
        <w:rPr>
          <w:rFonts w:hint="eastAsia"/>
          <w:lang w:val="en-US" w:eastAsia="zh-CN"/>
        </w:rPr>
      </w:pPr>
      <w:r>
        <w:rPr>
          <w:rFonts w:hint="eastAsia"/>
          <w:lang w:val="en-US" w:eastAsia="zh-CN"/>
        </w:rPr>
        <w:t>①事故废水截流措施</w:t>
      </w:r>
    </w:p>
    <w:p w14:paraId="3FF44DCC">
      <w:pPr>
        <w:ind w:firstLine="480" w:firstLineChars="200"/>
        <w:rPr>
          <w:rFonts w:hint="eastAsia"/>
          <w:lang w:val="en-US" w:eastAsia="zh-CN"/>
        </w:rPr>
      </w:pPr>
      <w:r>
        <w:rPr>
          <w:rFonts w:hint="eastAsia"/>
          <w:lang w:val="en-US" w:eastAsia="zh-CN"/>
        </w:rPr>
        <w:t>本项目设置有雨水截流阀，事故状态下能够关闭雨水截流阀，将事故状态下的雨水引流至厂区内事故应急池。</w:t>
      </w:r>
    </w:p>
    <w:p w14:paraId="67A52F6E">
      <w:pPr>
        <w:ind w:firstLine="480" w:firstLineChars="200"/>
        <w:rPr>
          <w:rFonts w:hint="eastAsia"/>
          <w:lang w:val="en-US" w:eastAsia="zh-CN"/>
        </w:rPr>
      </w:pPr>
      <w:r>
        <w:rPr>
          <w:rFonts w:hint="eastAsia"/>
          <w:lang w:val="en-US" w:eastAsia="zh-CN"/>
        </w:rPr>
        <w:t>②消防废水收集措施</w:t>
      </w:r>
    </w:p>
    <w:p w14:paraId="2CC3177E">
      <w:pPr>
        <w:ind w:firstLine="480" w:firstLineChars="200"/>
        <w:rPr>
          <w:rFonts w:hint="eastAsia"/>
          <w:lang w:val="en-US" w:eastAsia="zh-CN"/>
        </w:rPr>
      </w:pPr>
      <w:r>
        <w:rPr>
          <w:rFonts w:hint="eastAsia"/>
          <w:lang w:val="en-US" w:eastAsia="zh-CN"/>
        </w:rPr>
        <w:t>本项目设置有容积为3150m</w:t>
      </w:r>
      <w:r>
        <w:rPr>
          <w:rFonts w:hint="eastAsia"/>
          <w:vertAlign w:val="superscript"/>
          <w:lang w:val="en-US" w:eastAsia="zh-CN"/>
        </w:rPr>
        <w:t>3</w:t>
      </w:r>
      <w:r>
        <w:rPr>
          <w:rFonts w:hint="eastAsia"/>
          <w:lang w:val="en-US" w:eastAsia="zh-CN"/>
        </w:rPr>
        <w:t>事故应急池、氨水储罐去围堰和液氨球罐区围堰及其导流系统，确保在事故状态下能顺利收集消防废水，并将消防废水引至事故应急池。</w:t>
      </w:r>
    </w:p>
    <w:p w14:paraId="0E562B01">
      <w:pPr>
        <w:ind w:firstLine="480" w:firstLineChars="200"/>
        <w:rPr>
          <w:rFonts w:hint="eastAsia"/>
          <w:lang w:val="en-US" w:eastAsia="zh-CN"/>
        </w:rPr>
      </w:pPr>
      <w:r>
        <w:rPr>
          <w:rFonts w:hint="eastAsia"/>
          <w:lang w:val="en-US" w:eastAsia="zh-CN"/>
        </w:rPr>
        <w:t>③事故废水处置措施</w:t>
      </w:r>
    </w:p>
    <w:p w14:paraId="2296AD76">
      <w:pPr>
        <w:ind w:firstLine="480" w:firstLineChars="200"/>
        <w:rPr>
          <w:rFonts w:hint="eastAsia"/>
          <w:lang w:val="en-US" w:eastAsia="zh-CN"/>
        </w:rPr>
      </w:pPr>
      <w:r>
        <w:rPr>
          <w:rFonts w:hint="eastAsia"/>
          <w:lang w:val="en-US" w:eastAsia="zh-CN"/>
        </w:rPr>
        <w:t>项目突发环境事件产生的事故废水可通过厂区管网依靠重力流入事故应急池，流入事故应急池的事故废水按危废处理，交由有资质单位清运处置。</w:t>
      </w:r>
    </w:p>
    <w:p w14:paraId="4A0692AC">
      <w:pPr>
        <w:pStyle w:val="4"/>
        <w:bidi w:val="0"/>
        <w:rPr>
          <w:rFonts w:hint="eastAsia"/>
          <w:lang w:val="en-US" w:eastAsia="zh-CN"/>
        </w:rPr>
      </w:pPr>
      <w:r>
        <w:rPr>
          <w:rFonts w:hint="eastAsia"/>
          <w:lang w:val="en-US" w:eastAsia="zh-CN"/>
        </w:rPr>
        <w:t>7.2.5现有环境风险防范完善措施</w:t>
      </w:r>
    </w:p>
    <w:p w14:paraId="73F10F2E">
      <w:pPr>
        <w:ind w:firstLine="480" w:firstLineChars="200"/>
        <w:rPr>
          <w:rFonts w:hint="eastAsia"/>
          <w:lang w:val="en-US" w:eastAsia="zh-CN"/>
        </w:rPr>
      </w:pPr>
      <w:r>
        <w:rPr>
          <w:rFonts w:hint="eastAsia"/>
          <w:lang w:val="en-US" w:eastAsia="zh-CN"/>
        </w:rPr>
        <w:t>1、进一步做好日常的环境风险管理工作，确保在各装置及液氨、氨水储罐周边放置的防化学品泄漏处理的吸附沙可供正常使用，以便及时处理小范围的化学品泄漏。应急物资、消防设施定期更新检查，确保能正常使用。</w:t>
      </w:r>
    </w:p>
    <w:p w14:paraId="22C1D1F2">
      <w:pPr>
        <w:ind w:firstLine="480" w:firstLineChars="200"/>
        <w:rPr>
          <w:rFonts w:hint="eastAsia"/>
          <w:lang w:val="en-US" w:eastAsia="zh-CN"/>
        </w:rPr>
      </w:pPr>
      <w:r>
        <w:rPr>
          <w:rFonts w:hint="eastAsia"/>
          <w:lang w:val="en-US" w:eastAsia="zh-CN"/>
        </w:rPr>
        <w:t>2、定期巡视检查公司导流沟、围堰和事故应急池，使得围堰、事故应急池能够随时接纳突发环境事件发生的消防废水及其他废水。</w:t>
      </w:r>
    </w:p>
    <w:p w14:paraId="38353844">
      <w:pPr>
        <w:ind w:firstLine="480" w:firstLineChars="200"/>
        <w:rPr>
          <w:rFonts w:hint="eastAsia"/>
          <w:lang w:val="en-US" w:eastAsia="zh-CN"/>
        </w:rPr>
      </w:pPr>
      <w:r>
        <w:rPr>
          <w:rFonts w:hint="eastAsia"/>
          <w:lang w:val="en-US" w:eastAsia="zh-CN"/>
        </w:rPr>
        <w:t>3、安排专人负责雨污闸门和事故应急池闸门切换，加强日常巡检、维护，防止生产废水、有毒有害化学品以及火灾爆炸等突发事件产生的消防废水等事故废水从雨污闸门流入外环境。</w:t>
      </w:r>
    </w:p>
    <w:p w14:paraId="6FD7F89E">
      <w:pPr>
        <w:ind w:firstLine="480" w:firstLineChars="200"/>
        <w:rPr>
          <w:rFonts w:hint="eastAsia"/>
          <w:lang w:val="en-US" w:eastAsia="zh-CN"/>
        </w:rPr>
      </w:pPr>
      <w:r>
        <w:rPr>
          <w:rFonts w:hint="eastAsia"/>
          <w:lang w:val="en-US" w:eastAsia="zh-CN"/>
        </w:rPr>
        <w:t>4、公司应当加强液氨、氨水罐区的风险管理，防止化学品装卸期间出现泄漏、火花或静电摩擦，并加强相关操作人员岗位雨污阀门切换、搬运沙袋等应急操作技能及巡查。</w:t>
      </w:r>
    </w:p>
    <w:p w14:paraId="2A32B8C6">
      <w:pPr>
        <w:ind w:firstLine="480" w:firstLineChars="200"/>
        <w:rPr>
          <w:rFonts w:hint="eastAsia"/>
          <w:lang w:val="en-US" w:eastAsia="zh-CN"/>
        </w:rPr>
      </w:pPr>
      <w:r>
        <w:rPr>
          <w:rFonts w:hint="eastAsia"/>
          <w:lang w:val="en-US" w:eastAsia="zh-CN"/>
        </w:rPr>
        <w:t>5、本项目位于云浮循环经济工业园管辖范围内，该区域内企业均为工业企业，彼此之间互为外部风险因素，各企业建设均按规定配备相应的风险防范和处理措施，而这些企业同时发生事故的可能性极小，园区内企业相互之间应尽可能建立一个更加紧密的风险联防机制，共同防范风险和应对事故处理，提高处理速度和力度，确保事故得到迅速控制。</w:t>
      </w:r>
    </w:p>
    <w:p w14:paraId="524D9B83">
      <w:pPr>
        <w:pStyle w:val="3"/>
        <w:bidi w:val="0"/>
        <w:rPr>
          <w:rFonts w:hint="eastAsia"/>
          <w:lang w:val="en-US" w:eastAsia="zh-CN"/>
        </w:rPr>
      </w:pPr>
      <w:r>
        <w:rPr>
          <w:rFonts w:hint="eastAsia"/>
          <w:lang w:val="en-US" w:eastAsia="zh-CN"/>
        </w:rPr>
        <w:t>7.3突发环境事件应急预案编制要求</w:t>
      </w:r>
    </w:p>
    <w:p w14:paraId="5FB65BF1">
      <w:pPr>
        <w:ind w:firstLine="480" w:firstLineChars="200"/>
        <w:rPr>
          <w:rFonts w:hint="eastAsia"/>
          <w:lang w:val="en-US" w:eastAsia="zh-CN"/>
        </w:rPr>
      </w:pPr>
      <w:r>
        <w:rPr>
          <w:rFonts w:hint="eastAsia"/>
          <w:lang w:val="en-US" w:eastAsia="zh-CN"/>
        </w:rPr>
        <w:t>为健全项目的突发环境事故应急机制，提高企业应对涉及公共危机的突发环境污染事故的能力，在突发环境事故发生后迅速做出反应，有效开展控制污染扩散措施、人员疏散，使事故损失和社会危害减少到最低程度，维护环境安全和社会稳定，保障公众生命健康和财产安全、保护环境，促进社会和企业的可持续发展，建设单位应及时修订现有厂区突发环境事件风险评估报告及突发环境事件应急预案。</w:t>
      </w:r>
    </w:p>
    <w:p w14:paraId="04CE0CD0">
      <w:pPr>
        <w:pStyle w:val="4"/>
        <w:bidi w:val="0"/>
        <w:rPr>
          <w:rFonts w:hint="eastAsia"/>
          <w:lang w:val="en-US" w:eastAsia="zh-CN"/>
        </w:rPr>
      </w:pPr>
      <w:r>
        <w:rPr>
          <w:rFonts w:hint="eastAsia"/>
          <w:lang w:val="en-US" w:eastAsia="zh-CN"/>
        </w:rPr>
        <w:t>7.3.1应急预案主要内容</w:t>
      </w:r>
    </w:p>
    <w:p w14:paraId="29683FD9">
      <w:pPr>
        <w:ind w:firstLine="480" w:firstLineChars="200"/>
        <w:rPr>
          <w:rFonts w:hint="eastAsia"/>
          <w:lang w:val="en-US" w:eastAsia="zh-CN"/>
        </w:rPr>
      </w:pPr>
      <w:r>
        <w:rPr>
          <w:rFonts w:hint="eastAsia"/>
          <w:lang w:val="en-US" w:eastAsia="zh-CN"/>
        </w:rPr>
        <w:t>根据国家、地方和相关部门要求，企业突发环境事件应急预案要求包括预案适用范围、环境事件分类及分级、组织机构与职责、监控与预警、应急响应、应急保障、善后处置、预案管理与演练等内容。</w:t>
      </w:r>
    </w:p>
    <w:p w14:paraId="51343929">
      <w:pPr>
        <w:ind w:firstLine="480" w:firstLineChars="200"/>
        <w:rPr>
          <w:rFonts w:hint="eastAsia"/>
          <w:lang w:val="en-US" w:eastAsia="zh-CN"/>
        </w:rPr>
      </w:pPr>
      <w:r>
        <w:rPr>
          <w:rFonts w:hint="eastAsia"/>
          <w:lang w:val="en-US" w:eastAsia="zh-CN"/>
        </w:rPr>
        <w:t>建设单位在项目建成后应编制《广东省泓磬环保科技有限公司突发环境事件风险评估报告》、《广东省泓磬环保科技有限公司突发环境事件应急预案》等突发环境事件应急预案文件，并报送到当地环保部门备案。建设单位应制定完备的环境管理制度，且严格执行。</w:t>
      </w:r>
    </w:p>
    <w:p w14:paraId="6EDD9F6A">
      <w:pPr>
        <w:pStyle w:val="4"/>
        <w:bidi w:val="0"/>
        <w:rPr>
          <w:rFonts w:hint="eastAsia"/>
          <w:lang w:val="en-US" w:eastAsia="zh-CN"/>
        </w:rPr>
      </w:pPr>
      <w:r>
        <w:rPr>
          <w:rFonts w:hint="eastAsia"/>
          <w:lang w:val="en-US" w:eastAsia="zh-CN"/>
        </w:rPr>
        <w:t>7.3.2应急预案响应程序</w:t>
      </w:r>
    </w:p>
    <w:p w14:paraId="0640EDA0">
      <w:pPr>
        <w:ind w:firstLine="480" w:firstLineChars="200"/>
        <w:rPr>
          <w:rFonts w:hint="eastAsia"/>
          <w:lang w:val="en-US" w:eastAsia="zh-CN"/>
        </w:rPr>
      </w:pPr>
      <w:r>
        <w:rPr>
          <w:rFonts w:hint="eastAsia"/>
          <w:lang w:val="en-US" w:eastAsia="zh-CN"/>
        </w:rPr>
        <w:t>1、应急响应程序</w:t>
      </w:r>
    </w:p>
    <w:p w14:paraId="7662893D">
      <w:pPr>
        <w:ind w:firstLine="480" w:firstLineChars="200"/>
        <w:rPr>
          <w:rFonts w:hint="eastAsia"/>
          <w:lang w:val="en-US" w:eastAsia="zh-CN"/>
        </w:rPr>
      </w:pPr>
      <w:r>
        <w:rPr>
          <w:rFonts w:hint="eastAsia"/>
          <w:lang w:val="en-US" w:eastAsia="zh-CN"/>
        </w:rPr>
        <w:t>根据事故的大小和发展态势，明确应急指挥、应急行动、资源调配、应急避险、扩大应急等响应程序，见下图。</w:t>
      </w:r>
    </w:p>
    <w:p w14:paraId="58E06D6B">
      <w:pPr>
        <w:pStyle w:val="14"/>
        <w:bidi w:val="0"/>
        <w:rPr>
          <w:rFonts w:hint="eastAsia"/>
          <w:lang w:val="en-US" w:eastAsia="zh-CN"/>
        </w:rPr>
      </w:pPr>
      <w:r>
        <w:drawing>
          <wp:inline distT="0" distB="0" distL="0" distR="0">
            <wp:extent cx="4668520" cy="4361180"/>
            <wp:effectExtent l="0" t="0" r="17780" b="1270"/>
            <wp:docPr id="429"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64" cstate="print"/>
                    <a:stretch>
                      <a:fillRect/>
                    </a:stretch>
                  </pic:blipFill>
                  <pic:spPr>
                    <a:xfrm>
                      <a:off x="0" y="0"/>
                      <a:ext cx="4668520" cy="4361180"/>
                    </a:xfrm>
                    <a:prstGeom prst="rect">
                      <a:avLst/>
                    </a:prstGeom>
                  </pic:spPr>
                </pic:pic>
              </a:graphicData>
            </a:graphic>
          </wp:inline>
        </w:drawing>
      </w:r>
    </w:p>
    <w:p w14:paraId="0B023648">
      <w:pPr>
        <w:pStyle w:val="16"/>
        <w:bidi w:val="0"/>
        <w:rPr>
          <w:rFonts w:hint="eastAsia"/>
          <w:lang w:val="en-US" w:eastAsia="zh-CN"/>
        </w:rPr>
      </w:pPr>
      <w:r>
        <w:rPr>
          <w:rFonts w:hint="eastAsia"/>
          <w:lang w:val="en-US" w:eastAsia="zh-CN"/>
        </w:rPr>
        <w:t>图7-1 环境应急响应程序图</w:t>
      </w:r>
    </w:p>
    <w:p w14:paraId="72BAC150">
      <w:pPr>
        <w:ind w:firstLine="480" w:firstLineChars="200"/>
        <w:rPr>
          <w:rFonts w:hint="eastAsia"/>
          <w:lang w:val="en-US" w:eastAsia="zh-CN"/>
        </w:rPr>
      </w:pPr>
      <w:r>
        <w:rPr>
          <w:rFonts w:hint="eastAsia"/>
          <w:lang w:val="en-US" w:eastAsia="zh-CN"/>
        </w:rPr>
        <w:t>2、应急联动</w:t>
      </w:r>
    </w:p>
    <w:p w14:paraId="54D20B12">
      <w:pPr>
        <w:ind w:firstLine="480" w:firstLineChars="200"/>
        <w:rPr>
          <w:rFonts w:hint="eastAsia"/>
          <w:lang w:val="en-US" w:eastAsia="zh-CN"/>
        </w:rPr>
      </w:pPr>
      <w:r>
        <w:rPr>
          <w:rFonts w:hint="eastAsia"/>
          <w:lang w:val="en-US" w:eastAsia="zh-CN"/>
        </w:rPr>
        <w:t>本项目的应急预案及措施等需与循环经济工业园园区的突发环境事件应急预案做好联动工作。建设单位应根据环境突发事件的级别，启动相应应急级别。</w:t>
      </w:r>
    </w:p>
    <w:p w14:paraId="03386902">
      <w:pPr>
        <w:ind w:firstLine="480" w:firstLineChars="200"/>
        <w:rPr>
          <w:rFonts w:hint="eastAsia"/>
          <w:lang w:val="en-US" w:eastAsia="zh-CN"/>
        </w:rPr>
      </w:pPr>
      <w:r>
        <w:rPr>
          <w:rFonts w:hint="eastAsia"/>
          <w:lang w:val="en-US" w:eastAsia="zh-CN"/>
        </w:rPr>
        <w:t>本项目发生公司级突发环境事件应急预案时，可能会影响整个当地的环境和安全时，应立即与云浮市生态环境局云安区分局联系，与周边企业、居民、消防、安监等各部门联动。</w:t>
      </w:r>
    </w:p>
    <w:p w14:paraId="0DF12CE3">
      <w:pPr>
        <w:pStyle w:val="2"/>
        <w:bidi w:val="0"/>
        <w:rPr>
          <w:rFonts w:hint="eastAsia"/>
          <w:lang w:val="en-US" w:eastAsia="zh-CN"/>
        </w:rPr>
      </w:pPr>
      <w:bookmarkStart w:id="29" w:name="_Toc2822"/>
      <w:r>
        <w:rPr>
          <w:rFonts w:hint="eastAsia"/>
          <w:lang w:val="en-US" w:eastAsia="zh-CN"/>
        </w:rPr>
        <w:t>8评价结论与建议</w:t>
      </w:r>
      <w:bookmarkEnd w:id="29"/>
    </w:p>
    <w:p w14:paraId="0D2EFE7C">
      <w:pPr>
        <w:pStyle w:val="3"/>
        <w:bidi w:val="0"/>
        <w:rPr>
          <w:rFonts w:hint="eastAsia"/>
          <w:lang w:val="en-US" w:eastAsia="zh-CN"/>
        </w:rPr>
      </w:pPr>
      <w:r>
        <w:rPr>
          <w:rFonts w:hint="eastAsia"/>
          <w:lang w:val="en-US" w:eastAsia="zh-CN"/>
        </w:rPr>
        <w:t>8.1项目危险因素</w:t>
      </w:r>
    </w:p>
    <w:p w14:paraId="798E920C">
      <w:pPr>
        <w:ind w:firstLine="480" w:firstLineChars="200"/>
        <w:rPr>
          <w:rFonts w:hint="eastAsia"/>
          <w:lang w:val="en-US" w:eastAsia="zh-CN"/>
        </w:rPr>
      </w:pPr>
      <w:r>
        <w:rPr>
          <w:rFonts w:hint="eastAsia"/>
          <w:lang w:val="en-US" w:eastAsia="zh-CN"/>
        </w:rPr>
        <w:t>本项目主要危险物质为液氨、氨水（25%），属于有毒有害、易燃危险物质；主要危险单元为涉及液氨、氨水的生产装置，储运单元中的液氨储罐、氨水储罐、压力管道等，主要风险类型为泄漏，以及因泄漏引起的火灾、爆炸等引发的污染物排放。</w:t>
      </w:r>
    </w:p>
    <w:p w14:paraId="03A49E39">
      <w:pPr>
        <w:pStyle w:val="3"/>
        <w:bidi w:val="0"/>
        <w:rPr>
          <w:rFonts w:hint="eastAsia"/>
          <w:lang w:val="en-US" w:eastAsia="zh-CN"/>
        </w:rPr>
      </w:pPr>
      <w:r>
        <w:rPr>
          <w:rFonts w:hint="eastAsia"/>
          <w:lang w:val="en-US" w:eastAsia="zh-CN"/>
        </w:rPr>
        <w:t>8.2环境敏感性及事故环境影响</w:t>
      </w:r>
    </w:p>
    <w:p w14:paraId="57B081BC">
      <w:pPr>
        <w:pStyle w:val="4"/>
        <w:bidi w:val="0"/>
        <w:rPr>
          <w:rFonts w:hint="eastAsia"/>
          <w:lang w:val="en-US" w:eastAsia="zh-CN"/>
        </w:rPr>
      </w:pPr>
      <w:r>
        <w:rPr>
          <w:rFonts w:hint="eastAsia"/>
          <w:lang w:val="en-US" w:eastAsia="zh-CN"/>
        </w:rPr>
        <w:t>8.2.1环境敏感性</w:t>
      </w:r>
    </w:p>
    <w:p w14:paraId="55BCC8FA">
      <w:pPr>
        <w:ind w:firstLine="480" w:firstLineChars="200"/>
        <w:rPr>
          <w:rFonts w:hint="eastAsia"/>
          <w:lang w:val="en-US" w:eastAsia="zh-CN"/>
        </w:rPr>
      </w:pPr>
      <w:r>
        <w:rPr>
          <w:rFonts w:hint="eastAsia"/>
          <w:lang w:val="en-US" w:eastAsia="zh-CN"/>
        </w:rPr>
        <w:t>本项目所在区域大气环境属于环境高度敏感区E2，大气环境风险评价范围内涉及到的敏感目标主要为项目周围5km范围内的人口集中居住区和社会关注区。</w:t>
      </w:r>
    </w:p>
    <w:p w14:paraId="081F97FA">
      <w:pPr>
        <w:ind w:firstLine="480" w:firstLineChars="200"/>
        <w:rPr>
          <w:rFonts w:hint="eastAsia"/>
          <w:lang w:val="en-US" w:eastAsia="zh-CN"/>
        </w:rPr>
      </w:pPr>
      <w:r>
        <w:rPr>
          <w:rFonts w:hint="eastAsia"/>
          <w:lang w:val="en-US" w:eastAsia="zh-CN"/>
        </w:rPr>
        <w:t>本项目地表水属于环境低度敏感区E2，厂区内设置风险水体防控措施，确保项目事故污水等不出厂界，因此工程事故状态下对外界水体环境影响较小。</w:t>
      </w:r>
    </w:p>
    <w:p w14:paraId="1B17660A">
      <w:pPr>
        <w:ind w:firstLine="480" w:firstLineChars="200"/>
        <w:rPr>
          <w:rFonts w:hint="eastAsia"/>
          <w:lang w:val="en-US" w:eastAsia="zh-CN"/>
        </w:rPr>
      </w:pPr>
      <w:r>
        <w:rPr>
          <w:rFonts w:hint="eastAsia"/>
          <w:lang w:val="en-US" w:eastAsia="zh-CN"/>
        </w:rPr>
        <w:t>本项目地下水属于环境中度敏感区E2，地下水环境保护目标为厂址区及地下水径流下游方向的地下水资源，调查评价区范围内不存在集中或分散饮用水源井敏感点。</w:t>
      </w:r>
    </w:p>
    <w:p w14:paraId="1A0A105B">
      <w:pPr>
        <w:pStyle w:val="4"/>
        <w:bidi w:val="0"/>
        <w:rPr>
          <w:rFonts w:hint="eastAsia"/>
          <w:lang w:val="en-US" w:eastAsia="zh-CN"/>
        </w:rPr>
      </w:pPr>
      <w:r>
        <w:rPr>
          <w:rFonts w:hint="eastAsia"/>
          <w:lang w:val="en-US" w:eastAsia="zh-CN"/>
        </w:rPr>
        <w:t>8.2.2大气环境风险影响</w:t>
      </w:r>
    </w:p>
    <w:p w14:paraId="76ED0209">
      <w:pPr>
        <w:ind w:firstLine="480" w:firstLineChars="200"/>
        <w:rPr>
          <w:rFonts w:hint="eastAsia"/>
          <w:lang w:val="en-US" w:eastAsia="zh-CN"/>
        </w:rPr>
      </w:pPr>
      <w:r>
        <w:rPr>
          <w:rFonts w:hint="eastAsia"/>
          <w:lang w:val="en-US" w:eastAsia="zh-CN"/>
        </w:rPr>
        <w:t>本项目根据大气风险事故预测结果，在最不利气象条件下，</w:t>
      </w:r>
      <w:r>
        <w:rPr>
          <w:rFonts w:hint="eastAsia" w:eastAsia="宋体"/>
          <w:color w:val="000000" w:themeColor="text1"/>
          <w:lang w:eastAsia="zh-CN"/>
          <w14:textFill>
            <w14:solidFill>
              <w14:schemeClr w14:val="tx1"/>
            </w14:solidFill>
          </w14:textFill>
        </w:rPr>
        <w:t>距离液氨泄漏点≤</w:t>
      </w:r>
      <w:r>
        <w:rPr>
          <w:rFonts w:hint="eastAsia" w:ascii="Times New Roman" w:eastAsia="宋体"/>
          <w:color w:val="000000" w:themeColor="text1"/>
          <w:lang w:val="en-US" w:eastAsia="zh-CN"/>
          <w14:textFill>
            <w14:solidFill>
              <w14:schemeClr w14:val="tx1"/>
            </w14:solidFill>
          </w14:textFill>
        </w:rPr>
        <w:t>740m的敏感目标处预测浓度将超过1级大气毒性终点浓度，距离液氨泄漏点＞740m的敏感目标处预测浓度不会超过1级大气毒性终点浓度；</w:t>
      </w:r>
      <w:r>
        <w:rPr>
          <w:rFonts w:hint="eastAsia" w:eastAsia="宋体"/>
          <w:color w:val="000000" w:themeColor="text1"/>
          <w:lang w:eastAsia="zh-CN"/>
          <w14:textFill>
            <w14:solidFill>
              <w14:schemeClr w14:val="tx1"/>
            </w14:solidFill>
          </w14:textFill>
        </w:rPr>
        <w:t>距离液氨泄漏点≤</w:t>
      </w:r>
      <w:r>
        <w:rPr>
          <w:rFonts w:hint="eastAsia" w:ascii="Times New Roman" w:eastAsia="宋体"/>
          <w:color w:val="000000" w:themeColor="text1"/>
          <w:lang w:val="en-US" w:eastAsia="zh-CN"/>
          <w14:textFill>
            <w14:solidFill>
              <w14:schemeClr w14:val="tx1"/>
            </w14:solidFill>
          </w14:textFill>
        </w:rPr>
        <w:t>3200</w:t>
      </w:r>
      <w:r>
        <w:rPr>
          <w:rFonts w:hint="eastAsia" w:eastAsia="宋体"/>
          <w:color w:val="000000" w:themeColor="text1"/>
          <w:lang w:eastAsia="zh-CN"/>
          <w14:textFill>
            <w14:solidFill>
              <w14:schemeClr w14:val="tx1"/>
            </w14:solidFill>
          </w14:textFill>
        </w:rPr>
        <w:t>m的敏感目标处预测浓度将超过</w:t>
      </w:r>
      <w:r>
        <w:rPr>
          <w:rFonts w:hint="eastAsia" w:ascii="Times New Roman" w:eastAsia="宋体"/>
          <w:color w:val="000000" w:themeColor="text1"/>
          <w:lang w:val="en-US" w:eastAsia="zh-CN"/>
          <w14:textFill>
            <w14:solidFill>
              <w14:schemeClr w14:val="tx1"/>
            </w14:solidFill>
          </w14:textFill>
        </w:rPr>
        <w:t>2</w:t>
      </w:r>
      <w:r>
        <w:rPr>
          <w:rFonts w:hint="eastAsia" w:eastAsia="宋体"/>
          <w:color w:val="000000" w:themeColor="text1"/>
          <w:lang w:eastAsia="zh-CN"/>
          <w14:textFill>
            <w14:solidFill>
              <w14:schemeClr w14:val="tx1"/>
            </w14:solidFill>
          </w14:textFill>
        </w:rPr>
        <w:t>级大气毒性终点浓度，距离液氨泄漏点＞</w:t>
      </w:r>
      <w:r>
        <w:rPr>
          <w:rFonts w:hint="eastAsia" w:ascii="Times New Roman" w:eastAsia="宋体"/>
          <w:color w:val="000000" w:themeColor="text1"/>
          <w:lang w:val="en-US" w:eastAsia="zh-CN"/>
          <w14:textFill>
            <w14:solidFill>
              <w14:schemeClr w14:val="tx1"/>
            </w14:solidFill>
          </w14:textFill>
        </w:rPr>
        <w:t>320</w:t>
      </w:r>
      <w:r>
        <w:rPr>
          <w:rFonts w:hint="eastAsia" w:eastAsia="宋体"/>
          <w:color w:val="000000" w:themeColor="text1"/>
          <w:lang w:eastAsia="zh-CN"/>
          <w14:textFill>
            <w14:solidFill>
              <w14:schemeClr w14:val="tx1"/>
            </w14:solidFill>
          </w14:textFill>
        </w:rPr>
        <w:t>0m的敏感目标处预测浓度不会超过</w:t>
      </w:r>
      <w:r>
        <w:rPr>
          <w:rFonts w:hint="eastAsia" w:ascii="Times New Roman" w:eastAsia="宋体"/>
          <w:color w:val="000000" w:themeColor="text1"/>
          <w:lang w:val="en-US" w:eastAsia="zh-CN"/>
          <w14:textFill>
            <w14:solidFill>
              <w14:schemeClr w14:val="tx1"/>
            </w14:solidFill>
          </w14:textFill>
        </w:rPr>
        <w:t>2</w:t>
      </w:r>
      <w:r>
        <w:rPr>
          <w:rFonts w:hint="eastAsia" w:eastAsia="宋体"/>
          <w:color w:val="000000" w:themeColor="text1"/>
          <w:lang w:eastAsia="zh-CN"/>
          <w14:textFill>
            <w14:solidFill>
              <w14:schemeClr w14:val="tx1"/>
            </w14:solidFill>
          </w14:textFill>
        </w:rPr>
        <w:t>级大气毒性终点浓度</w:t>
      </w:r>
      <w:r>
        <w:rPr>
          <w:rFonts w:hint="eastAsia"/>
          <w:lang w:val="en-US" w:eastAsia="zh-CN"/>
        </w:rPr>
        <w:t>。液氨预测距离事故点下风向10m-740m范围内超过大气毒性终点浓度1级值（770mg/m</w:t>
      </w:r>
      <w:r>
        <w:rPr>
          <w:rFonts w:hint="eastAsia"/>
          <w:vertAlign w:val="superscript"/>
          <w:lang w:val="en-US" w:eastAsia="zh-CN"/>
        </w:rPr>
        <w:t>3</w:t>
      </w:r>
      <w:r>
        <w:rPr>
          <w:rFonts w:hint="eastAsia"/>
          <w:lang w:val="en-US" w:eastAsia="zh-CN"/>
        </w:rPr>
        <w:t>），到达时间为第12.413分钟，氨水预测距离事故点下风向10m-70m范围内超过大气毒性终点浓度1级值（770mg/m</w:t>
      </w:r>
      <w:r>
        <w:rPr>
          <w:rFonts w:hint="eastAsia"/>
          <w:vertAlign w:val="superscript"/>
          <w:lang w:val="en-US" w:eastAsia="zh-CN"/>
        </w:rPr>
        <w:t>3</w:t>
      </w:r>
      <w:r>
        <w:rPr>
          <w:rFonts w:hint="eastAsia"/>
          <w:lang w:val="en-US" w:eastAsia="zh-CN"/>
        </w:rPr>
        <w:t>），到达时间为第0.58333分钟，在此范围内环境敏感目标为道城洞（居民区），超过该限值时，有可能对人群造成生命威胁，事故发生时必须紧急撤离厂内人员、工业园人员和道城洞居民，避免对人群造成生命威胁；液氨预测距离事故点下风向10m-3200m范围内超过大气毒性终点浓度2级值（110mg/m</w:t>
      </w:r>
      <w:r>
        <w:rPr>
          <w:rFonts w:hint="eastAsia"/>
          <w:vertAlign w:val="superscript"/>
          <w:lang w:val="en-US" w:eastAsia="zh-CN"/>
        </w:rPr>
        <w:t>3</w:t>
      </w:r>
      <w:r>
        <w:rPr>
          <w:rFonts w:hint="eastAsia"/>
          <w:lang w:val="en-US" w:eastAsia="zh-CN"/>
        </w:rPr>
        <w:t>），到达时间为第37.474分钟，氨水预测距离事故点下风向10m-250m范围内超过大气毒性终点浓度2级值（110mg/m</w:t>
      </w:r>
      <w:r>
        <w:rPr>
          <w:rFonts w:hint="eastAsia"/>
          <w:vertAlign w:val="superscript"/>
          <w:lang w:val="en-US" w:eastAsia="zh-CN"/>
        </w:rPr>
        <w:t>3</w:t>
      </w:r>
      <w:r>
        <w:rPr>
          <w:rFonts w:hint="eastAsia"/>
          <w:lang w:val="en-US" w:eastAsia="zh-CN"/>
        </w:rPr>
        <w:t>），到达时间为第2.0833分钟，在此范围内环境敏感目标较多，建议根据现场风向及敏感点距离，及时告知超标点处相关人员迅速撤离。</w:t>
      </w:r>
    </w:p>
    <w:p w14:paraId="28A82766">
      <w:pPr>
        <w:pStyle w:val="4"/>
        <w:bidi w:val="0"/>
        <w:rPr>
          <w:rFonts w:hint="eastAsia"/>
          <w:lang w:val="en-US" w:eastAsia="zh-CN"/>
        </w:rPr>
      </w:pPr>
      <w:r>
        <w:rPr>
          <w:rFonts w:hint="eastAsia"/>
          <w:lang w:val="en-US" w:eastAsia="zh-CN"/>
        </w:rPr>
        <w:t>8.2.3地表水环境风险影响</w:t>
      </w:r>
    </w:p>
    <w:p w14:paraId="6D691854">
      <w:pPr>
        <w:ind w:firstLine="480" w:firstLineChars="200"/>
        <w:rPr>
          <w:rFonts w:hint="eastAsia"/>
          <w:lang w:val="en-US" w:eastAsia="zh-CN"/>
        </w:rPr>
      </w:pPr>
      <w:r>
        <w:rPr>
          <w:rFonts w:hint="eastAsia"/>
          <w:lang w:val="en-US" w:eastAsia="zh-CN"/>
        </w:rPr>
        <w:t>项目厂区内设置有事故应急池，储罐区设置围堰，雨水截流阀等防控措施，当风险物质发生泄漏，基本可把泄漏物质控制在厂区内，不排入外环境。物料泄漏或事故产生事故废水经收集后对地表水影响较小。</w:t>
      </w:r>
    </w:p>
    <w:p w14:paraId="141088CB">
      <w:pPr>
        <w:pStyle w:val="4"/>
        <w:bidi w:val="0"/>
        <w:rPr>
          <w:rFonts w:hint="eastAsia"/>
          <w:lang w:val="en-US" w:eastAsia="zh-CN"/>
        </w:rPr>
      </w:pPr>
      <w:r>
        <w:rPr>
          <w:rFonts w:hint="eastAsia"/>
          <w:lang w:val="en-US" w:eastAsia="zh-CN"/>
        </w:rPr>
        <w:t>8.2.4地下水环境风险影响</w:t>
      </w:r>
    </w:p>
    <w:p w14:paraId="589ED0DC">
      <w:pPr>
        <w:ind w:firstLine="480" w:firstLineChars="200"/>
        <w:rPr>
          <w:rFonts w:hint="eastAsia"/>
          <w:lang w:val="en-US" w:eastAsia="zh-CN"/>
        </w:rPr>
      </w:pPr>
      <w:r>
        <w:rPr>
          <w:rFonts w:hint="eastAsia"/>
          <w:lang w:val="en-US" w:eastAsia="zh-CN"/>
        </w:rPr>
        <w:t>本项目通过做好地面硬化工作，采取有效的防泄漏、防等措施，经分析，当氨水发生泄漏，在正常运行工况下，不会出现大量的污染物入到地下水中，对区域地下水环境的影响较小。故项目对地下水环境的影响较小。</w:t>
      </w:r>
    </w:p>
    <w:p w14:paraId="287897D3">
      <w:pPr>
        <w:pStyle w:val="3"/>
        <w:bidi w:val="0"/>
        <w:rPr>
          <w:rFonts w:hint="eastAsia"/>
          <w:lang w:val="en-US" w:eastAsia="zh-CN"/>
        </w:rPr>
      </w:pPr>
      <w:r>
        <w:rPr>
          <w:rFonts w:hint="eastAsia"/>
          <w:lang w:val="en-US" w:eastAsia="zh-CN"/>
        </w:rPr>
        <w:t>8.3环境风险防范措施和应急预案</w:t>
      </w:r>
    </w:p>
    <w:p w14:paraId="13ED6F53">
      <w:pPr>
        <w:pStyle w:val="4"/>
        <w:bidi w:val="0"/>
        <w:rPr>
          <w:rFonts w:hint="eastAsia"/>
          <w:lang w:val="en-US" w:eastAsia="zh-CN"/>
        </w:rPr>
      </w:pPr>
      <w:r>
        <w:rPr>
          <w:rFonts w:hint="eastAsia"/>
          <w:lang w:val="en-US" w:eastAsia="zh-CN"/>
        </w:rPr>
        <w:t>8.3.1环境风险防范措施</w:t>
      </w:r>
    </w:p>
    <w:p w14:paraId="4BC890BA">
      <w:pPr>
        <w:ind w:firstLine="480" w:firstLineChars="200"/>
        <w:rPr>
          <w:rFonts w:hint="eastAsia"/>
          <w:lang w:val="en-US" w:eastAsia="zh-CN"/>
        </w:rPr>
      </w:pPr>
      <w:r>
        <w:rPr>
          <w:rFonts w:hint="eastAsia"/>
          <w:lang w:val="en-US" w:eastAsia="zh-CN"/>
        </w:rPr>
        <w:t>（1）大气环境风险防范措施</w:t>
      </w:r>
    </w:p>
    <w:p w14:paraId="065E1DD5">
      <w:pPr>
        <w:ind w:firstLine="480" w:firstLineChars="200"/>
        <w:rPr>
          <w:rFonts w:hint="eastAsia"/>
          <w:lang w:val="en-US" w:eastAsia="zh-CN"/>
        </w:rPr>
      </w:pPr>
      <w:r>
        <w:rPr>
          <w:rFonts w:hint="eastAsia"/>
          <w:lang w:val="en-US" w:eastAsia="zh-CN"/>
        </w:rPr>
        <w:t>液氨球罐、氨水中间罐和氨水储罐顶部均设有安全阀（大小呼吸阀门），安全阀排放口均接入尾气吸收塔，在日常生产和发生突发事故时，可通过尾气吸收塔的雾状水的喷淋作用将氨气吸收变为低浓度氨水，可供氨水制备器使用，制成25%的氨水，尾气吸收塔的设置一定程度上可避免事故产生的有毒气体直排大气而产生污染。</w:t>
      </w:r>
    </w:p>
    <w:p w14:paraId="028C3B9B">
      <w:pPr>
        <w:ind w:firstLine="480" w:firstLineChars="200"/>
        <w:rPr>
          <w:rFonts w:hint="eastAsia"/>
          <w:lang w:val="en-US" w:eastAsia="zh-CN"/>
        </w:rPr>
      </w:pPr>
      <w:r>
        <w:rPr>
          <w:rFonts w:hint="eastAsia"/>
          <w:lang w:val="en-US" w:eastAsia="zh-CN"/>
        </w:rPr>
        <w:t>（2）水环境风险防范措施</w:t>
      </w:r>
    </w:p>
    <w:p w14:paraId="78334EF4">
      <w:pPr>
        <w:ind w:firstLine="480" w:firstLineChars="200"/>
        <w:rPr>
          <w:rFonts w:hint="eastAsia"/>
          <w:lang w:val="en-US" w:eastAsia="zh-CN"/>
        </w:rPr>
      </w:pPr>
      <w:r>
        <w:rPr>
          <w:rFonts w:hint="eastAsia"/>
          <w:lang w:val="en-US" w:eastAsia="zh-CN"/>
        </w:rPr>
        <w:t>项目厂区内有进行雨污分流设计，设有围堰、雨水截断阀、事故应急池和事故废水收集系统等措施，当发生突发风险事故时，储罐区产生的事故废水先进入储罐区的围堰，其他位置产生的事故废水经废水收集系统（雨水渠和集水沟）进入事故应急池，事故应急池收集到的废水按危废处理，交由有资质的单位清运处置。</w:t>
      </w:r>
    </w:p>
    <w:p w14:paraId="24BDDBDE">
      <w:pPr>
        <w:ind w:firstLine="480" w:firstLineChars="200"/>
        <w:rPr>
          <w:rFonts w:hint="eastAsia"/>
          <w:lang w:val="en-US" w:eastAsia="zh-CN"/>
        </w:rPr>
      </w:pPr>
      <w:r>
        <w:rPr>
          <w:rFonts w:hint="eastAsia"/>
          <w:lang w:val="en-US" w:eastAsia="zh-CN"/>
        </w:rPr>
        <w:t>项目事故污水调储系统线路明确，容量满足，可有效防止事故污水流出本项目厂界内。</w:t>
      </w:r>
    </w:p>
    <w:p w14:paraId="15971E49">
      <w:pPr>
        <w:pStyle w:val="4"/>
        <w:bidi w:val="0"/>
        <w:rPr>
          <w:rFonts w:hint="eastAsia"/>
          <w:lang w:val="en-US" w:eastAsia="zh-CN"/>
        </w:rPr>
      </w:pPr>
      <w:r>
        <w:rPr>
          <w:rFonts w:hint="eastAsia"/>
          <w:lang w:val="en-US" w:eastAsia="zh-CN"/>
        </w:rPr>
        <w:t>8.3.2风险应急预案</w:t>
      </w:r>
    </w:p>
    <w:p w14:paraId="02FB8774">
      <w:pPr>
        <w:ind w:firstLine="480" w:firstLineChars="200"/>
        <w:rPr>
          <w:rFonts w:hint="eastAsia"/>
          <w:lang w:val="en-US" w:eastAsia="zh-CN"/>
        </w:rPr>
      </w:pPr>
      <w:r>
        <w:rPr>
          <w:rFonts w:hint="eastAsia"/>
          <w:lang w:val="en-US" w:eastAsia="zh-CN"/>
        </w:rPr>
        <w:t>本评价提出了项目应修编突发环境事件应急预案，建设单位在成功取得本次改扩建环评项目的批复后，建设单位应在装置投入试生产前建立完善的管理制度，并再次编制具有可操作性、针对性的应急预案，并做好与政府、</w:t>
      </w:r>
      <w:r>
        <w:rPr>
          <w:rFonts w:hint="eastAsia"/>
          <w:color w:val="000000" w:themeColor="text1"/>
          <w:lang w:val="en-US" w:eastAsia="zh-CN"/>
          <w14:textFill>
            <w14:solidFill>
              <w14:schemeClr w14:val="tx1"/>
            </w14:solidFill>
          </w14:textFill>
        </w:rPr>
        <w:t>云浮循环经济工业园</w:t>
      </w:r>
      <w:r>
        <w:rPr>
          <w:rFonts w:hint="eastAsia"/>
          <w:lang w:val="en-US" w:eastAsia="zh-CN"/>
        </w:rPr>
        <w:t>及周边企业的应急预案联动响应。</w:t>
      </w:r>
    </w:p>
    <w:p w14:paraId="63D59D10">
      <w:pPr>
        <w:pStyle w:val="3"/>
        <w:bidi w:val="0"/>
        <w:rPr>
          <w:rFonts w:hint="eastAsia"/>
          <w:lang w:val="en-US" w:eastAsia="zh-CN"/>
        </w:rPr>
      </w:pPr>
      <w:r>
        <w:rPr>
          <w:rFonts w:hint="eastAsia"/>
          <w:lang w:val="en-US" w:eastAsia="zh-CN"/>
        </w:rPr>
        <w:t>8.4环境风险评价结论与建议</w:t>
      </w:r>
    </w:p>
    <w:p w14:paraId="425A09E9">
      <w:pPr>
        <w:pStyle w:val="4"/>
        <w:bidi w:val="0"/>
        <w:rPr>
          <w:rFonts w:hint="eastAsia"/>
          <w:lang w:val="en-US" w:eastAsia="zh-CN"/>
        </w:rPr>
      </w:pPr>
      <w:r>
        <w:rPr>
          <w:rFonts w:hint="eastAsia"/>
          <w:lang w:val="en-US" w:eastAsia="zh-CN"/>
        </w:rPr>
        <w:t>8.4.1结论</w:t>
      </w:r>
    </w:p>
    <w:p w14:paraId="7232071D">
      <w:pPr>
        <w:ind w:firstLine="480" w:firstLineChars="200"/>
        <w:rPr>
          <w:rFonts w:hint="eastAsia"/>
          <w:lang w:val="en-US" w:eastAsia="zh-CN"/>
        </w:rPr>
      </w:pPr>
      <w:r>
        <w:rPr>
          <w:rFonts w:hint="eastAsia"/>
          <w:lang w:val="en-US" w:eastAsia="zh-CN"/>
        </w:rPr>
        <w:t>风险评价的结果表明，本项目事故风险在采取环境风险防范措施和事故应急预案、在落实各项环保措施和采取本环评报告表及环境风险专项评价提出的有关建议、落实项目排水设施的设计、做好与政府、所属企业风险应急预案有效联动的前提下，基本满足国家相关环境保护和安全法规、标准的要求，本项目风险可防可控，但企业仍需要提高风险管理水平和强化风险防范措施。</w:t>
      </w:r>
    </w:p>
    <w:p w14:paraId="20F5BB76">
      <w:pPr>
        <w:pStyle w:val="4"/>
        <w:bidi w:val="0"/>
        <w:rPr>
          <w:rFonts w:hint="eastAsia"/>
          <w:lang w:val="en-US" w:eastAsia="zh-CN"/>
        </w:rPr>
      </w:pPr>
      <w:r>
        <w:rPr>
          <w:rFonts w:hint="eastAsia"/>
          <w:lang w:val="en-US" w:eastAsia="zh-CN"/>
        </w:rPr>
        <w:t>8.4.2建议</w:t>
      </w:r>
    </w:p>
    <w:p w14:paraId="367C99A6">
      <w:pPr>
        <w:ind w:firstLine="480" w:firstLineChars="200"/>
        <w:rPr>
          <w:rFonts w:hint="eastAsia"/>
          <w:lang w:val="en-US" w:eastAsia="zh-CN"/>
        </w:rPr>
      </w:pPr>
      <w:r>
        <w:rPr>
          <w:rFonts w:hint="eastAsia"/>
          <w:lang w:val="en-US" w:eastAsia="zh-CN"/>
        </w:rPr>
        <w:t>（1）应在后续的设计、建设和运行过程中，严格按照国家、行业和地方的法律法规和相关标准、规范的要求，健全、完善、落实和保持公司风险源的安全控制措施和设施。</w:t>
      </w:r>
    </w:p>
    <w:p w14:paraId="1A3F0FD5">
      <w:pPr>
        <w:ind w:firstLine="480" w:firstLineChars="200"/>
        <w:rPr>
          <w:rFonts w:hint="eastAsia"/>
          <w:lang w:val="en-US" w:eastAsia="zh-CN"/>
        </w:rPr>
      </w:pPr>
      <w:r>
        <w:rPr>
          <w:rFonts w:hint="eastAsia"/>
          <w:lang w:val="en-US" w:eastAsia="zh-CN"/>
        </w:rPr>
        <w:t>（2）建设单位应按规定配备个体防护用品，建立健全事故应急预案并与周边企业联动、定期演练，确保风险事故发生时相关人员得到优先防护和有序撤离，杜绝人员伤亡事故的发生。</w:t>
      </w:r>
    </w:p>
    <w:p w14:paraId="30D3EA95">
      <w:pPr>
        <w:ind w:firstLine="480" w:firstLineChars="200"/>
        <w:rPr>
          <w:rFonts w:hint="eastAsia"/>
          <w:lang w:val="en-US" w:eastAsia="zh-CN"/>
        </w:rPr>
      </w:pPr>
      <w:r>
        <w:rPr>
          <w:rFonts w:hint="eastAsia"/>
          <w:lang w:val="en-US" w:eastAsia="zh-CN"/>
        </w:rPr>
        <w:t>（3）建立、完善和落实事故预防措施和应急预案，进一步提高公司设备的安全水平，保障人员和财产的安全，将环境风险降低到合理可行的最低水平上。</w:t>
      </w:r>
    </w:p>
    <w:p w14:paraId="7AAAEBED">
      <w:pPr>
        <w:ind w:firstLine="480" w:firstLineChars="200"/>
        <w:rPr>
          <w:rFonts w:hint="eastAsia"/>
          <w:lang w:val="en-US" w:eastAsia="zh-CN"/>
        </w:rPr>
      </w:pPr>
      <w:r>
        <w:rPr>
          <w:rFonts w:hint="eastAsia"/>
          <w:lang w:val="en-US" w:eastAsia="zh-CN"/>
        </w:rPr>
        <w:t>（4）本项目建成后，要确实加强管理，采取科学有效的措施，制定事故防范应急预加强安全教育工作，提高操作人员的安全防范意识，严格执行操作规程，防止环境风险事故的发生。</w:t>
      </w:r>
    </w:p>
    <w:p w14:paraId="0C7425F1">
      <w:pPr>
        <w:ind w:firstLine="480" w:firstLineChars="200"/>
        <w:rPr>
          <w:rFonts w:hint="eastAsia"/>
          <w:lang w:val="en-US" w:eastAsia="zh-CN"/>
        </w:rPr>
      </w:pPr>
      <w:r>
        <w:rPr>
          <w:rFonts w:hint="eastAsia"/>
          <w:lang w:val="en-US" w:eastAsia="zh-CN"/>
        </w:rPr>
        <w:t>（5）当出现事故时，要采取紧急的工程应急措施，如必要，应采取社会应急措施，以控制事故和减少对环境造成的危害。</w:t>
      </w:r>
    </w:p>
    <w:p w14:paraId="09D6336A">
      <w:pPr>
        <w:ind w:firstLine="480" w:firstLineChars="200"/>
        <w:rPr>
          <w:rFonts w:hint="eastAsia"/>
          <w:lang w:val="en-US" w:eastAsia="zh-CN"/>
        </w:rPr>
      </w:pPr>
      <w:r>
        <w:rPr>
          <w:rFonts w:hint="eastAsia"/>
          <w:lang w:val="en-US" w:eastAsia="zh-CN"/>
        </w:rPr>
        <w:t>（6）按照“企业自救、属地为主、分级响应、区域联动”的原则，制定企业突发环境事故应急预案，并实现与地方政府或相关管理部门突发环境事故应急预案的有效衔接。</w:t>
      </w:r>
    </w:p>
    <w:p w14:paraId="2B780BB6">
      <w:pPr>
        <w:ind w:firstLine="480" w:firstLineChars="200"/>
        <w:rPr>
          <w:rFonts w:hint="eastAsia"/>
          <w:lang w:val="en-US" w:eastAsia="zh-CN"/>
        </w:rPr>
      </w:pPr>
      <w:r>
        <w:rPr>
          <w:rFonts w:hint="eastAsia"/>
          <w:lang w:val="en-US" w:eastAsia="zh-CN"/>
        </w:rPr>
        <w:t>建设单位必须高度重视，做到风险防范警钟常鸣，环境安全管理常抓不懈；严格落实各项风险防范措施，不断完善风险管理体系。</w:t>
      </w:r>
    </w:p>
    <w:p w14:paraId="256EFF97">
      <w:pPr>
        <w:ind w:firstLine="480" w:firstLineChars="20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2D9E063">
      <w:pPr>
        <w:pStyle w:val="2"/>
        <w:bidi w:val="0"/>
        <w:rPr>
          <w:rFonts w:hint="eastAsia"/>
        </w:rPr>
      </w:pPr>
      <w:bookmarkStart w:id="30" w:name="_Toc12141"/>
      <w:r>
        <w:rPr>
          <w:rFonts w:hint="eastAsia"/>
          <w:lang w:val="en-US" w:eastAsia="zh-CN"/>
        </w:rPr>
        <w:t>9</w:t>
      </w:r>
      <w:r>
        <w:rPr>
          <w:rFonts w:hint="eastAsia"/>
        </w:rPr>
        <w:t>环境风险评价自查表</w:t>
      </w:r>
      <w:bookmarkEnd w:id="30"/>
    </w:p>
    <w:p w14:paraId="10ED934A">
      <w:pPr>
        <w:adjustRightInd w:val="0"/>
        <w:snapToGrid w:val="0"/>
        <w:ind w:firstLine="480" w:firstLineChars="200"/>
        <w:rPr>
          <w:color w:val="000000"/>
        </w:rPr>
      </w:pPr>
      <w:r>
        <w:rPr>
          <w:rFonts w:hint="eastAsia"/>
          <w:color w:val="000000"/>
        </w:rPr>
        <w:t>本项目环境风险评价自查表如下表所示。</w:t>
      </w:r>
    </w:p>
    <w:p w14:paraId="44DCC6EC">
      <w:pPr>
        <w:autoSpaceDE w:val="0"/>
        <w:autoSpaceDN w:val="0"/>
        <w:adjustRightInd w:val="0"/>
        <w:snapToGrid w:val="0"/>
        <w:spacing w:line="240" w:lineRule="auto"/>
        <w:jc w:val="center"/>
        <w:textAlignment w:val="baseline"/>
        <w:rPr>
          <w:b/>
          <w:color w:val="000000"/>
          <w:kern w:val="24"/>
          <w:szCs w:val="20"/>
        </w:rPr>
      </w:pPr>
      <w:r>
        <w:rPr>
          <w:rFonts w:hint="eastAsia"/>
          <w:b/>
          <w:color w:val="000000"/>
          <w:kern w:val="24"/>
          <w:szCs w:val="20"/>
        </w:rPr>
        <w:t>表</w:t>
      </w:r>
      <w:r>
        <w:rPr>
          <w:rFonts w:hint="eastAsia"/>
          <w:b/>
          <w:color w:val="000000"/>
          <w:kern w:val="24"/>
          <w:szCs w:val="20"/>
          <w:lang w:val="en-US" w:eastAsia="zh-CN"/>
        </w:rPr>
        <w:t>9-1</w:t>
      </w:r>
      <w:r>
        <w:rPr>
          <w:rFonts w:hint="eastAsia"/>
          <w:b/>
          <w:color w:val="000000"/>
          <w:kern w:val="24"/>
          <w:szCs w:val="20"/>
        </w:rPr>
        <w:t xml:space="preserve"> </w:t>
      </w:r>
      <w:r>
        <w:rPr>
          <w:b/>
          <w:color w:val="000000"/>
          <w:kern w:val="24"/>
          <w:szCs w:val="20"/>
        </w:rPr>
        <w:t>环境风险评价自查表</w:t>
      </w:r>
    </w:p>
    <w:tbl>
      <w:tblPr>
        <w:tblStyle w:val="12"/>
        <w:tblW w:w="50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467"/>
        <w:gridCol w:w="1722"/>
        <w:gridCol w:w="1083"/>
        <w:gridCol w:w="530"/>
        <w:gridCol w:w="83"/>
        <w:gridCol w:w="1535"/>
        <w:gridCol w:w="545"/>
        <w:gridCol w:w="163"/>
        <w:gridCol w:w="1506"/>
        <w:gridCol w:w="357"/>
        <w:gridCol w:w="337"/>
        <w:gridCol w:w="334"/>
        <w:gridCol w:w="334"/>
        <w:gridCol w:w="1224"/>
        <w:gridCol w:w="739"/>
        <w:gridCol w:w="242"/>
        <w:gridCol w:w="157"/>
        <w:gridCol w:w="54"/>
        <w:gridCol w:w="220"/>
        <w:gridCol w:w="223"/>
        <w:gridCol w:w="2408"/>
      </w:tblGrid>
      <w:tr w14:paraId="79413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0" w:hRule="atLeast"/>
          <w:jc w:val="center"/>
        </w:trPr>
        <w:tc>
          <w:tcPr>
            <w:tcW w:w="768" w:type="pct"/>
            <w:gridSpan w:val="2"/>
            <w:tcBorders>
              <w:tl2br w:val="nil"/>
              <w:tr2bl w:val="nil"/>
            </w:tcBorders>
            <w:vAlign w:val="center"/>
          </w:tcPr>
          <w:p w14:paraId="749B7060">
            <w:pPr>
              <w:adjustRightInd w:val="0"/>
              <w:snapToGrid w:val="0"/>
              <w:spacing w:line="240" w:lineRule="auto"/>
              <w:jc w:val="center"/>
              <w:rPr>
                <w:b/>
                <w:bCs/>
                <w:color w:val="000000"/>
                <w:sz w:val="21"/>
              </w:rPr>
            </w:pPr>
            <w:r>
              <w:rPr>
                <w:b/>
                <w:bCs/>
                <w:color w:val="000000"/>
                <w:sz w:val="21"/>
              </w:rPr>
              <w:t>工作内容</w:t>
            </w:r>
          </w:p>
        </w:tc>
        <w:tc>
          <w:tcPr>
            <w:tcW w:w="4231" w:type="pct"/>
            <w:gridSpan w:val="19"/>
            <w:tcBorders>
              <w:tl2br w:val="nil"/>
              <w:tr2bl w:val="nil"/>
            </w:tcBorders>
            <w:vAlign w:val="center"/>
          </w:tcPr>
          <w:p w14:paraId="5AAB5C96">
            <w:pPr>
              <w:adjustRightInd w:val="0"/>
              <w:snapToGrid w:val="0"/>
              <w:spacing w:line="240" w:lineRule="auto"/>
              <w:jc w:val="center"/>
              <w:rPr>
                <w:b/>
                <w:bCs/>
                <w:color w:val="000000"/>
                <w:sz w:val="21"/>
              </w:rPr>
            </w:pPr>
            <w:r>
              <w:rPr>
                <w:b/>
                <w:bCs/>
                <w:color w:val="000000"/>
                <w:sz w:val="21"/>
              </w:rPr>
              <w:t>完成情况</w:t>
            </w:r>
          </w:p>
        </w:tc>
      </w:tr>
      <w:tr w14:paraId="14D2F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restart"/>
            <w:tcBorders>
              <w:tl2br w:val="nil"/>
              <w:tr2bl w:val="nil"/>
            </w:tcBorders>
            <w:vAlign w:val="center"/>
          </w:tcPr>
          <w:p w14:paraId="2E59774B">
            <w:pPr>
              <w:adjustRightInd w:val="0"/>
              <w:snapToGrid w:val="0"/>
              <w:spacing w:line="240" w:lineRule="auto"/>
              <w:jc w:val="center"/>
              <w:rPr>
                <w:color w:val="000000"/>
                <w:sz w:val="21"/>
              </w:rPr>
            </w:pPr>
            <w:r>
              <w:rPr>
                <w:rFonts w:hint="eastAsia"/>
                <w:color w:val="000000"/>
                <w:sz w:val="21"/>
              </w:rPr>
              <w:t>风</w:t>
            </w:r>
          </w:p>
          <w:p w14:paraId="3DD83B7F">
            <w:pPr>
              <w:adjustRightInd w:val="0"/>
              <w:snapToGrid w:val="0"/>
              <w:spacing w:line="240" w:lineRule="auto"/>
              <w:jc w:val="center"/>
              <w:rPr>
                <w:color w:val="000000"/>
                <w:sz w:val="21"/>
              </w:rPr>
            </w:pPr>
            <w:r>
              <w:rPr>
                <w:rFonts w:hint="eastAsia"/>
                <w:color w:val="000000"/>
                <w:sz w:val="21"/>
              </w:rPr>
              <w:t>险</w:t>
            </w:r>
          </w:p>
          <w:p w14:paraId="153CCDF7">
            <w:pPr>
              <w:adjustRightInd w:val="0"/>
              <w:snapToGrid w:val="0"/>
              <w:spacing w:line="240" w:lineRule="auto"/>
              <w:jc w:val="center"/>
              <w:rPr>
                <w:color w:val="000000"/>
                <w:sz w:val="21"/>
              </w:rPr>
            </w:pPr>
            <w:r>
              <w:rPr>
                <w:rFonts w:hint="eastAsia"/>
                <w:color w:val="000000"/>
                <w:sz w:val="21"/>
              </w:rPr>
              <w:t>调</w:t>
            </w:r>
          </w:p>
          <w:p w14:paraId="72B819B9">
            <w:pPr>
              <w:adjustRightInd w:val="0"/>
              <w:snapToGrid w:val="0"/>
              <w:spacing w:line="240" w:lineRule="auto"/>
              <w:jc w:val="center"/>
              <w:rPr>
                <w:color w:val="000000"/>
                <w:sz w:val="21"/>
              </w:rPr>
            </w:pPr>
            <w:r>
              <w:rPr>
                <w:rFonts w:hint="eastAsia"/>
                <w:color w:val="000000"/>
                <w:sz w:val="21"/>
              </w:rPr>
              <w:t>查</w:t>
            </w:r>
          </w:p>
        </w:tc>
        <w:tc>
          <w:tcPr>
            <w:tcW w:w="604" w:type="pct"/>
            <w:vMerge w:val="restart"/>
            <w:tcBorders>
              <w:tl2br w:val="nil"/>
              <w:tr2bl w:val="nil"/>
            </w:tcBorders>
            <w:vAlign w:val="center"/>
          </w:tcPr>
          <w:p w14:paraId="633E52AB">
            <w:pPr>
              <w:adjustRightInd w:val="0"/>
              <w:snapToGrid w:val="0"/>
              <w:spacing w:line="240" w:lineRule="auto"/>
              <w:jc w:val="center"/>
              <w:rPr>
                <w:color w:val="000000"/>
                <w:sz w:val="21"/>
              </w:rPr>
            </w:pPr>
            <w:r>
              <w:rPr>
                <w:rFonts w:hint="eastAsia"/>
                <w:color w:val="000000"/>
                <w:sz w:val="21"/>
              </w:rPr>
              <w:t>危险物质</w:t>
            </w:r>
          </w:p>
        </w:tc>
        <w:tc>
          <w:tcPr>
            <w:tcW w:w="380" w:type="pct"/>
            <w:tcBorders>
              <w:tl2br w:val="nil"/>
              <w:tr2bl w:val="nil"/>
            </w:tcBorders>
            <w:vAlign w:val="center"/>
          </w:tcPr>
          <w:p w14:paraId="3A51F300">
            <w:pPr>
              <w:adjustRightInd w:val="0"/>
              <w:snapToGrid w:val="0"/>
              <w:spacing w:line="240" w:lineRule="auto"/>
              <w:jc w:val="center"/>
              <w:rPr>
                <w:color w:val="000000"/>
                <w:sz w:val="21"/>
              </w:rPr>
            </w:pPr>
            <w:r>
              <w:rPr>
                <w:rFonts w:hint="eastAsia"/>
                <w:color w:val="000000"/>
                <w:sz w:val="21"/>
              </w:rPr>
              <w:t>名称</w:t>
            </w:r>
          </w:p>
        </w:tc>
        <w:tc>
          <w:tcPr>
            <w:tcW w:w="944" w:type="pct"/>
            <w:gridSpan w:val="4"/>
            <w:tcBorders>
              <w:tl2br w:val="nil"/>
              <w:tr2bl w:val="nil"/>
            </w:tcBorders>
            <w:vAlign w:val="center"/>
          </w:tcPr>
          <w:p w14:paraId="1317F4DB">
            <w:pPr>
              <w:adjustRightInd w:val="0"/>
              <w:snapToGrid w:val="0"/>
              <w:spacing w:line="240" w:lineRule="auto"/>
              <w:jc w:val="center"/>
              <w:rPr>
                <w:rFonts w:hint="eastAsia" w:eastAsia="宋体"/>
                <w:color w:val="000000"/>
                <w:sz w:val="21"/>
                <w:lang w:eastAsia="zh-CN"/>
              </w:rPr>
            </w:pPr>
            <w:r>
              <w:rPr>
                <w:rFonts w:hint="eastAsia"/>
                <w:color w:val="000000"/>
                <w:sz w:val="21"/>
                <w:lang w:eastAsia="zh-CN"/>
              </w:rPr>
              <w:t>液氨</w:t>
            </w:r>
          </w:p>
        </w:tc>
        <w:tc>
          <w:tcPr>
            <w:tcW w:w="944" w:type="pct"/>
            <w:gridSpan w:val="5"/>
            <w:tcBorders>
              <w:tl2br w:val="nil"/>
              <w:tr2bl w:val="nil"/>
            </w:tcBorders>
            <w:vAlign w:val="center"/>
          </w:tcPr>
          <w:p w14:paraId="063E0482">
            <w:pPr>
              <w:adjustRightInd w:val="0"/>
              <w:snapToGrid w:val="0"/>
              <w:spacing w:line="240" w:lineRule="auto"/>
              <w:jc w:val="center"/>
              <w:rPr>
                <w:rFonts w:hint="eastAsia" w:eastAsia="宋体"/>
                <w:color w:val="000000"/>
                <w:sz w:val="21"/>
                <w:lang w:eastAsia="zh-CN"/>
              </w:rPr>
            </w:pPr>
            <w:r>
              <w:rPr>
                <w:rFonts w:hint="eastAsia"/>
                <w:color w:val="000000"/>
                <w:sz w:val="21"/>
                <w:lang w:eastAsia="zh-CN"/>
              </w:rPr>
              <w:t>氨水（折纯后）</w:t>
            </w:r>
          </w:p>
        </w:tc>
        <w:tc>
          <w:tcPr>
            <w:tcW w:w="945" w:type="pct"/>
            <w:gridSpan w:val="5"/>
            <w:tcBorders>
              <w:tl2br w:val="nil"/>
              <w:tr2bl w:val="nil"/>
            </w:tcBorders>
            <w:vAlign w:val="center"/>
          </w:tcPr>
          <w:p w14:paraId="658624F9">
            <w:pPr>
              <w:adjustRightInd w:val="0"/>
              <w:snapToGrid w:val="0"/>
              <w:spacing w:line="240" w:lineRule="auto"/>
              <w:jc w:val="center"/>
              <w:rPr>
                <w:rFonts w:hint="eastAsia" w:eastAsia="宋体"/>
                <w:color w:val="000000"/>
                <w:sz w:val="21"/>
                <w:lang w:eastAsia="zh-CN"/>
              </w:rPr>
            </w:pPr>
            <w:r>
              <w:rPr>
                <w:rFonts w:hint="eastAsia"/>
                <w:color w:val="000000"/>
                <w:sz w:val="21"/>
                <w:lang w:eastAsia="zh-CN"/>
              </w:rPr>
              <w:t>废机油</w:t>
            </w:r>
          </w:p>
        </w:tc>
        <w:tc>
          <w:tcPr>
            <w:tcW w:w="1016" w:type="pct"/>
            <w:gridSpan w:val="4"/>
            <w:tcBorders>
              <w:tl2br w:val="nil"/>
              <w:tr2bl w:val="nil"/>
            </w:tcBorders>
            <w:vAlign w:val="center"/>
          </w:tcPr>
          <w:p w14:paraId="3CFFF613">
            <w:pPr>
              <w:adjustRightInd w:val="0"/>
              <w:snapToGrid w:val="0"/>
              <w:spacing w:line="240" w:lineRule="auto"/>
              <w:jc w:val="center"/>
              <w:rPr>
                <w:color w:val="000000"/>
                <w:sz w:val="21"/>
              </w:rPr>
            </w:pPr>
            <w:r>
              <w:rPr>
                <w:rFonts w:hint="eastAsia"/>
                <w:color w:val="000000"/>
                <w:sz w:val="21"/>
              </w:rPr>
              <w:t>柴油</w:t>
            </w:r>
          </w:p>
        </w:tc>
      </w:tr>
      <w:tr w14:paraId="347AA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22DB496D">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1A3EB7BE">
            <w:pPr>
              <w:adjustRightInd w:val="0"/>
              <w:snapToGrid w:val="0"/>
              <w:spacing w:line="240" w:lineRule="auto"/>
              <w:jc w:val="center"/>
              <w:rPr>
                <w:color w:val="000000"/>
                <w:sz w:val="21"/>
              </w:rPr>
            </w:pPr>
          </w:p>
        </w:tc>
        <w:tc>
          <w:tcPr>
            <w:tcW w:w="380" w:type="pct"/>
            <w:tcBorders>
              <w:tl2br w:val="nil"/>
              <w:tr2bl w:val="nil"/>
            </w:tcBorders>
            <w:vAlign w:val="center"/>
          </w:tcPr>
          <w:p w14:paraId="3B827CBC">
            <w:pPr>
              <w:adjustRightInd w:val="0"/>
              <w:snapToGrid w:val="0"/>
              <w:spacing w:line="240" w:lineRule="auto"/>
              <w:jc w:val="center"/>
              <w:rPr>
                <w:color w:val="000000"/>
                <w:sz w:val="21"/>
              </w:rPr>
            </w:pPr>
            <w:r>
              <w:rPr>
                <w:rFonts w:hint="eastAsia"/>
                <w:color w:val="000000"/>
                <w:sz w:val="21"/>
              </w:rPr>
              <w:t>存在总量/t</w:t>
            </w:r>
          </w:p>
        </w:tc>
        <w:tc>
          <w:tcPr>
            <w:tcW w:w="944" w:type="pct"/>
            <w:gridSpan w:val="4"/>
            <w:tcBorders>
              <w:tl2br w:val="nil"/>
              <w:tr2bl w:val="nil"/>
            </w:tcBorders>
            <w:vAlign w:val="center"/>
          </w:tcPr>
          <w:p w14:paraId="263A6385">
            <w:pPr>
              <w:pStyle w:val="14"/>
              <w:bidi w:val="0"/>
            </w:pPr>
            <w:r>
              <w:rPr>
                <w:rFonts w:hint="eastAsia"/>
              </w:rPr>
              <w:t>1866.2</w:t>
            </w:r>
          </w:p>
        </w:tc>
        <w:tc>
          <w:tcPr>
            <w:tcW w:w="944" w:type="pct"/>
            <w:gridSpan w:val="5"/>
            <w:tcBorders>
              <w:tl2br w:val="nil"/>
              <w:tr2bl w:val="nil"/>
            </w:tcBorders>
            <w:vAlign w:val="center"/>
          </w:tcPr>
          <w:p w14:paraId="237459B5">
            <w:pPr>
              <w:pStyle w:val="14"/>
              <w:bidi w:val="0"/>
            </w:pPr>
            <w:r>
              <w:rPr>
                <w:rFonts w:hint="eastAsia"/>
              </w:rPr>
              <w:t>0.875</w:t>
            </w:r>
          </w:p>
        </w:tc>
        <w:tc>
          <w:tcPr>
            <w:tcW w:w="945" w:type="pct"/>
            <w:gridSpan w:val="5"/>
            <w:tcBorders>
              <w:tl2br w:val="nil"/>
              <w:tr2bl w:val="nil"/>
            </w:tcBorders>
            <w:vAlign w:val="center"/>
          </w:tcPr>
          <w:p w14:paraId="1E4E5472">
            <w:pPr>
              <w:pStyle w:val="14"/>
              <w:bidi w:val="0"/>
            </w:pPr>
            <w:r>
              <w:rPr>
                <w:rFonts w:hint="eastAsia"/>
              </w:rPr>
              <w:t>0.1</w:t>
            </w:r>
          </w:p>
        </w:tc>
        <w:tc>
          <w:tcPr>
            <w:tcW w:w="1016" w:type="pct"/>
            <w:gridSpan w:val="4"/>
            <w:tcBorders>
              <w:tl2br w:val="nil"/>
              <w:tr2bl w:val="nil"/>
            </w:tcBorders>
            <w:vAlign w:val="center"/>
          </w:tcPr>
          <w:p w14:paraId="2518080C">
            <w:pPr>
              <w:pStyle w:val="14"/>
              <w:bidi w:val="0"/>
            </w:pPr>
            <w:r>
              <w:rPr>
                <w:rFonts w:hint="eastAsia"/>
              </w:rPr>
              <w:t>0.8</w:t>
            </w:r>
          </w:p>
        </w:tc>
      </w:tr>
      <w:tr w14:paraId="7A2E1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624E5ACC">
            <w:pPr>
              <w:adjustRightInd w:val="0"/>
              <w:snapToGrid w:val="0"/>
              <w:spacing w:line="240" w:lineRule="auto"/>
              <w:jc w:val="center"/>
              <w:rPr>
                <w:color w:val="000000"/>
                <w:sz w:val="21"/>
              </w:rPr>
            </w:pPr>
          </w:p>
        </w:tc>
        <w:tc>
          <w:tcPr>
            <w:tcW w:w="604" w:type="pct"/>
            <w:vMerge w:val="restart"/>
            <w:tcBorders>
              <w:tl2br w:val="nil"/>
              <w:tr2bl w:val="nil"/>
            </w:tcBorders>
            <w:vAlign w:val="center"/>
          </w:tcPr>
          <w:p w14:paraId="15840F41">
            <w:pPr>
              <w:adjustRightInd w:val="0"/>
              <w:snapToGrid w:val="0"/>
              <w:spacing w:line="240" w:lineRule="auto"/>
              <w:jc w:val="center"/>
              <w:rPr>
                <w:color w:val="000000"/>
                <w:sz w:val="21"/>
              </w:rPr>
            </w:pPr>
            <w:r>
              <w:rPr>
                <w:rFonts w:hint="eastAsia"/>
                <w:color w:val="000000"/>
                <w:sz w:val="21"/>
              </w:rPr>
              <w:t>环境敏感性</w:t>
            </w:r>
          </w:p>
        </w:tc>
        <w:tc>
          <w:tcPr>
            <w:tcW w:w="380" w:type="pct"/>
            <w:vMerge w:val="restart"/>
            <w:tcBorders>
              <w:tl2br w:val="nil"/>
              <w:tr2bl w:val="nil"/>
            </w:tcBorders>
            <w:vAlign w:val="center"/>
          </w:tcPr>
          <w:p w14:paraId="3F5C920D">
            <w:pPr>
              <w:adjustRightInd w:val="0"/>
              <w:snapToGrid w:val="0"/>
              <w:spacing w:line="240" w:lineRule="auto"/>
              <w:jc w:val="center"/>
              <w:rPr>
                <w:color w:val="000000"/>
                <w:sz w:val="21"/>
              </w:rPr>
            </w:pPr>
            <w:r>
              <w:rPr>
                <w:rFonts w:hint="eastAsia"/>
                <w:color w:val="000000"/>
                <w:sz w:val="21"/>
              </w:rPr>
              <w:t>大气</w:t>
            </w:r>
          </w:p>
        </w:tc>
        <w:tc>
          <w:tcPr>
            <w:tcW w:w="2006" w:type="pct"/>
            <w:gridSpan w:val="10"/>
            <w:tcBorders>
              <w:tl2br w:val="nil"/>
              <w:tr2bl w:val="nil"/>
            </w:tcBorders>
            <w:vAlign w:val="center"/>
          </w:tcPr>
          <w:p w14:paraId="19F584D4">
            <w:pPr>
              <w:adjustRightInd w:val="0"/>
              <w:snapToGrid w:val="0"/>
              <w:spacing w:line="240" w:lineRule="auto"/>
              <w:jc w:val="center"/>
              <w:rPr>
                <w:color w:val="000000"/>
                <w:sz w:val="21"/>
              </w:rPr>
            </w:pPr>
            <w:r>
              <w:rPr>
                <w:rFonts w:hint="eastAsia"/>
                <w:color w:val="000000"/>
                <w:sz w:val="21"/>
              </w:rPr>
              <w:t>500m范围内人口数</w:t>
            </w:r>
            <w:r>
              <w:rPr>
                <w:rFonts w:hint="eastAsia"/>
                <w:color w:val="000000"/>
                <w:sz w:val="21"/>
                <w:u w:val="single"/>
              </w:rPr>
              <w:t xml:space="preserve"> 0  </w:t>
            </w:r>
            <w:r>
              <w:rPr>
                <w:rFonts w:hint="eastAsia"/>
                <w:color w:val="000000"/>
                <w:sz w:val="21"/>
              </w:rPr>
              <w:t>人</w:t>
            </w:r>
          </w:p>
        </w:tc>
        <w:tc>
          <w:tcPr>
            <w:tcW w:w="1843" w:type="pct"/>
            <w:gridSpan w:val="8"/>
            <w:tcBorders>
              <w:tl2br w:val="nil"/>
              <w:tr2bl w:val="nil"/>
            </w:tcBorders>
            <w:vAlign w:val="center"/>
          </w:tcPr>
          <w:p w14:paraId="18B5B3D5">
            <w:pPr>
              <w:adjustRightInd w:val="0"/>
              <w:snapToGrid w:val="0"/>
              <w:spacing w:line="240" w:lineRule="auto"/>
              <w:jc w:val="center"/>
              <w:rPr>
                <w:color w:val="000000"/>
                <w:sz w:val="21"/>
              </w:rPr>
            </w:pPr>
            <w:r>
              <w:rPr>
                <w:rFonts w:hint="eastAsia"/>
                <w:color w:val="000000"/>
                <w:sz w:val="21"/>
              </w:rPr>
              <w:t>5km范围内人口数</w:t>
            </w:r>
            <w:r>
              <w:rPr>
                <w:rFonts w:hint="eastAsia"/>
                <w:color w:val="000000"/>
                <w:sz w:val="21"/>
                <w:u w:val="single"/>
              </w:rPr>
              <w:t xml:space="preserve"> </w:t>
            </w:r>
            <w:r>
              <w:rPr>
                <w:rFonts w:hint="eastAsia"/>
                <w:color w:val="000000" w:themeColor="text1"/>
                <w:sz w:val="21"/>
                <w:u w:val="single"/>
                <w14:textFill>
                  <w14:solidFill>
                    <w14:schemeClr w14:val="tx1"/>
                  </w14:solidFill>
                </w14:textFill>
              </w:rPr>
              <w:t>13230</w:t>
            </w:r>
            <w:r>
              <w:rPr>
                <w:rFonts w:hint="eastAsia"/>
                <w:color w:val="000000"/>
                <w:sz w:val="21"/>
                <w:u w:val="single"/>
              </w:rPr>
              <w:t xml:space="preserve"> </w:t>
            </w:r>
            <w:r>
              <w:rPr>
                <w:rFonts w:hint="eastAsia"/>
                <w:color w:val="000000"/>
                <w:sz w:val="21"/>
              </w:rPr>
              <w:t>人</w:t>
            </w:r>
          </w:p>
        </w:tc>
      </w:tr>
      <w:tr w14:paraId="4E398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1A015FFA">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0D286ED3">
            <w:pPr>
              <w:adjustRightInd w:val="0"/>
              <w:snapToGrid w:val="0"/>
              <w:spacing w:line="240" w:lineRule="auto"/>
              <w:jc w:val="center"/>
              <w:rPr>
                <w:color w:val="000000"/>
                <w:sz w:val="21"/>
              </w:rPr>
            </w:pPr>
          </w:p>
        </w:tc>
        <w:tc>
          <w:tcPr>
            <w:tcW w:w="380" w:type="pct"/>
            <w:vMerge w:val="continue"/>
            <w:tcBorders>
              <w:tl2br w:val="nil"/>
              <w:tr2bl w:val="nil"/>
            </w:tcBorders>
            <w:vAlign w:val="center"/>
          </w:tcPr>
          <w:p w14:paraId="0AD4017C">
            <w:pPr>
              <w:adjustRightInd w:val="0"/>
              <w:snapToGrid w:val="0"/>
              <w:spacing w:line="240" w:lineRule="auto"/>
              <w:jc w:val="center"/>
              <w:rPr>
                <w:color w:val="000000"/>
                <w:sz w:val="21"/>
              </w:rPr>
            </w:pPr>
          </w:p>
        </w:tc>
        <w:tc>
          <w:tcPr>
            <w:tcW w:w="3008" w:type="pct"/>
            <w:gridSpan w:val="17"/>
            <w:tcBorders>
              <w:tl2br w:val="nil"/>
              <w:tr2bl w:val="nil"/>
            </w:tcBorders>
            <w:vAlign w:val="center"/>
          </w:tcPr>
          <w:p w14:paraId="0986BA92">
            <w:pPr>
              <w:adjustRightInd w:val="0"/>
              <w:snapToGrid w:val="0"/>
              <w:spacing w:line="240" w:lineRule="auto"/>
              <w:jc w:val="center"/>
              <w:rPr>
                <w:color w:val="000000"/>
                <w:sz w:val="21"/>
              </w:rPr>
            </w:pPr>
            <w:r>
              <w:rPr>
                <w:rFonts w:hint="eastAsia"/>
                <w:color w:val="000000"/>
                <w:sz w:val="21"/>
              </w:rPr>
              <w:t>每公里管段周边200m范围内人口数（最大）</w:t>
            </w:r>
          </w:p>
        </w:tc>
        <w:tc>
          <w:tcPr>
            <w:tcW w:w="841" w:type="pct"/>
            <w:tcBorders>
              <w:tl2br w:val="nil"/>
              <w:tr2bl w:val="nil"/>
            </w:tcBorders>
            <w:vAlign w:val="center"/>
          </w:tcPr>
          <w:p w14:paraId="38186CE9">
            <w:pPr>
              <w:adjustRightInd w:val="0"/>
              <w:snapToGrid w:val="0"/>
              <w:spacing w:line="240" w:lineRule="auto"/>
              <w:jc w:val="center"/>
              <w:rPr>
                <w:color w:val="000000"/>
                <w:sz w:val="21"/>
              </w:rPr>
            </w:pPr>
            <w:r>
              <w:rPr>
                <w:rFonts w:hint="eastAsia"/>
                <w:color w:val="000000"/>
                <w:sz w:val="21"/>
              </w:rPr>
              <w:t xml:space="preserve">    人</w:t>
            </w:r>
          </w:p>
        </w:tc>
      </w:tr>
      <w:tr w14:paraId="30503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7F84EA89">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6553E6B4">
            <w:pPr>
              <w:adjustRightInd w:val="0"/>
              <w:snapToGrid w:val="0"/>
              <w:spacing w:line="240" w:lineRule="auto"/>
              <w:jc w:val="center"/>
              <w:rPr>
                <w:color w:val="000000"/>
                <w:sz w:val="21"/>
              </w:rPr>
            </w:pPr>
          </w:p>
        </w:tc>
        <w:tc>
          <w:tcPr>
            <w:tcW w:w="380" w:type="pct"/>
            <w:vMerge w:val="restart"/>
            <w:tcBorders>
              <w:tl2br w:val="nil"/>
              <w:tr2bl w:val="nil"/>
            </w:tcBorders>
            <w:vAlign w:val="center"/>
          </w:tcPr>
          <w:p w14:paraId="55700BED">
            <w:pPr>
              <w:adjustRightInd w:val="0"/>
              <w:snapToGrid w:val="0"/>
              <w:spacing w:line="240" w:lineRule="auto"/>
              <w:jc w:val="center"/>
              <w:rPr>
                <w:color w:val="000000"/>
                <w:sz w:val="21"/>
              </w:rPr>
            </w:pPr>
            <w:r>
              <w:rPr>
                <w:rFonts w:hint="eastAsia"/>
                <w:color w:val="000000"/>
                <w:sz w:val="21"/>
              </w:rPr>
              <w:t>地表水</w:t>
            </w:r>
          </w:p>
        </w:tc>
        <w:tc>
          <w:tcPr>
            <w:tcW w:w="753" w:type="pct"/>
            <w:gridSpan w:val="3"/>
            <w:tcBorders>
              <w:tl2br w:val="nil"/>
              <w:tr2bl w:val="nil"/>
            </w:tcBorders>
            <w:vAlign w:val="center"/>
          </w:tcPr>
          <w:p w14:paraId="0B457AE7">
            <w:pPr>
              <w:adjustRightInd w:val="0"/>
              <w:snapToGrid w:val="0"/>
              <w:spacing w:line="240" w:lineRule="auto"/>
              <w:jc w:val="center"/>
              <w:rPr>
                <w:color w:val="000000"/>
                <w:sz w:val="21"/>
              </w:rPr>
            </w:pPr>
            <w:r>
              <w:rPr>
                <w:rFonts w:hint="eastAsia"/>
                <w:color w:val="000000"/>
                <w:sz w:val="21"/>
              </w:rPr>
              <w:t>地表水功能敏感性</w:t>
            </w:r>
          </w:p>
        </w:tc>
        <w:tc>
          <w:tcPr>
            <w:tcW w:w="1018" w:type="pct"/>
            <w:gridSpan w:val="5"/>
            <w:tcBorders>
              <w:tl2br w:val="nil"/>
              <w:tr2bl w:val="nil"/>
            </w:tcBorders>
            <w:vAlign w:val="center"/>
          </w:tcPr>
          <w:p w14:paraId="503BACEE">
            <w:pPr>
              <w:adjustRightInd w:val="0"/>
              <w:snapToGrid w:val="0"/>
              <w:spacing w:line="240" w:lineRule="auto"/>
              <w:jc w:val="center"/>
              <w:rPr>
                <w:color w:val="000000"/>
                <w:sz w:val="21"/>
              </w:rPr>
            </w:pPr>
            <w:r>
              <w:rPr>
                <w:rFonts w:hint="eastAsia"/>
                <w:color w:val="000000"/>
                <w:sz w:val="21"/>
              </w:rPr>
              <w:t>F1□</w:t>
            </w:r>
          </w:p>
        </w:tc>
        <w:tc>
          <w:tcPr>
            <w:tcW w:w="1081" w:type="pct"/>
            <w:gridSpan w:val="7"/>
            <w:tcBorders>
              <w:tl2br w:val="nil"/>
              <w:tr2bl w:val="nil"/>
            </w:tcBorders>
            <w:vAlign w:val="center"/>
          </w:tcPr>
          <w:p w14:paraId="72704CC8">
            <w:pPr>
              <w:adjustRightInd w:val="0"/>
              <w:snapToGrid w:val="0"/>
              <w:spacing w:line="240" w:lineRule="auto"/>
              <w:jc w:val="center"/>
              <w:rPr>
                <w:color w:val="000000"/>
                <w:sz w:val="21"/>
              </w:rPr>
            </w:pPr>
            <w:r>
              <w:rPr>
                <w:rFonts w:hint="eastAsia"/>
                <w:color w:val="000000"/>
                <w:sz w:val="21"/>
              </w:rPr>
              <w:t>F2☑</w:t>
            </w:r>
          </w:p>
        </w:tc>
        <w:tc>
          <w:tcPr>
            <w:tcW w:w="997" w:type="pct"/>
            <w:gridSpan w:val="3"/>
            <w:tcBorders>
              <w:tl2br w:val="nil"/>
              <w:tr2bl w:val="nil"/>
            </w:tcBorders>
            <w:vAlign w:val="center"/>
          </w:tcPr>
          <w:p w14:paraId="64469C23">
            <w:pPr>
              <w:adjustRightInd w:val="0"/>
              <w:snapToGrid w:val="0"/>
              <w:spacing w:line="240" w:lineRule="auto"/>
              <w:jc w:val="center"/>
              <w:rPr>
                <w:color w:val="000000"/>
                <w:sz w:val="21"/>
              </w:rPr>
            </w:pPr>
            <w:r>
              <w:rPr>
                <w:rFonts w:hint="eastAsia"/>
                <w:color w:val="000000"/>
                <w:sz w:val="21"/>
              </w:rPr>
              <w:t>F3□</w:t>
            </w:r>
          </w:p>
        </w:tc>
      </w:tr>
      <w:tr w14:paraId="1481B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1C2CCB94">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0A5692CA">
            <w:pPr>
              <w:adjustRightInd w:val="0"/>
              <w:snapToGrid w:val="0"/>
              <w:spacing w:line="240" w:lineRule="auto"/>
              <w:jc w:val="center"/>
              <w:rPr>
                <w:color w:val="000000"/>
                <w:sz w:val="21"/>
              </w:rPr>
            </w:pPr>
          </w:p>
        </w:tc>
        <w:tc>
          <w:tcPr>
            <w:tcW w:w="380" w:type="pct"/>
            <w:vMerge w:val="continue"/>
            <w:tcBorders>
              <w:tl2br w:val="nil"/>
              <w:tr2bl w:val="nil"/>
            </w:tcBorders>
            <w:vAlign w:val="center"/>
          </w:tcPr>
          <w:p w14:paraId="26737625">
            <w:pPr>
              <w:adjustRightInd w:val="0"/>
              <w:snapToGrid w:val="0"/>
              <w:spacing w:line="240" w:lineRule="auto"/>
              <w:jc w:val="center"/>
              <w:rPr>
                <w:color w:val="000000"/>
                <w:sz w:val="21"/>
              </w:rPr>
            </w:pPr>
          </w:p>
        </w:tc>
        <w:tc>
          <w:tcPr>
            <w:tcW w:w="753" w:type="pct"/>
            <w:gridSpan w:val="3"/>
            <w:tcBorders>
              <w:tl2br w:val="nil"/>
              <w:tr2bl w:val="nil"/>
            </w:tcBorders>
            <w:vAlign w:val="center"/>
          </w:tcPr>
          <w:p w14:paraId="44FE68C0">
            <w:pPr>
              <w:adjustRightInd w:val="0"/>
              <w:snapToGrid w:val="0"/>
              <w:spacing w:line="240" w:lineRule="auto"/>
              <w:jc w:val="center"/>
              <w:rPr>
                <w:color w:val="000000"/>
                <w:sz w:val="21"/>
              </w:rPr>
            </w:pPr>
            <w:r>
              <w:rPr>
                <w:rFonts w:hint="eastAsia"/>
                <w:color w:val="000000"/>
                <w:sz w:val="21"/>
              </w:rPr>
              <w:t>环境敏感目标分级</w:t>
            </w:r>
          </w:p>
        </w:tc>
        <w:tc>
          <w:tcPr>
            <w:tcW w:w="1018" w:type="pct"/>
            <w:gridSpan w:val="5"/>
            <w:tcBorders>
              <w:tl2br w:val="nil"/>
              <w:tr2bl w:val="nil"/>
            </w:tcBorders>
            <w:vAlign w:val="center"/>
          </w:tcPr>
          <w:p w14:paraId="21900E47">
            <w:pPr>
              <w:adjustRightInd w:val="0"/>
              <w:snapToGrid w:val="0"/>
              <w:spacing w:line="240" w:lineRule="auto"/>
              <w:jc w:val="center"/>
              <w:rPr>
                <w:color w:val="000000"/>
                <w:sz w:val="21"/>
              </w:rPr>
            </w:pPr>
            <w:r>
              <w:rPr>
                <w:rFonts w:hint="eastAsia"/>
                <w:color w:val="000000"/>
                <w:sz w:val="21"/>
              </w:rPr>
              <w:t>S1□</w:t>
            </w:r>
          </w:p>
        </w:tc>
        <w:tc>
          <w:tcPr>
            <w:tcW w:w="1081" w:type="pct"/>
            <w:gridSpan w:val="7"/>
            <w:tcBorders>
              <w:tl2br w:val="nil"/>
              <w:tr2bl w:val="nil"/>
            </w:tcBorders>
            <w:vAlign w:val="center"/>
          </w:tcPr>
          <w:p w14:paraId="3D3C8CCB">
            <w:pPr>
              <w:adjustRightInd w:val="0"/>
              <w:snapToGrid w:val="0"/>
              <w:spacing w:line="240" w:lineRule="auto"/>
              <w:jc w:val="center"/>
              <w:rPr>
                <w:color w:val="000000"/>
                <w:sz w:val="21"/>
              </w:rPr>
            </w:pPr>
            <w:r>
              <w:rPr>
                <w:rFonts w:hint="eastAsia"/>
                <w:color w:val="000000"/>
                <w:sz w:val="21"/>
              </w:rPr>
              <w:t>S2□</w:t>
            </w:r>
          </w:p>
        </w:tc>
        <w:tc>
          <w:tcPr>
            <w:tcW w:w="997" w:type="pct"/>
            <w:gridSpan w:val="3"/>
            <w:tcBorders>
              <w:tl2br w:val="nil"/>
              <w:tr2bl w:val="nil"/>
            </w:tcBorders>
            <w:vAlign w:val="center"/>
          </w:tcPr>
          <w:p w14:paraId="3A8B158F">
            <w:pPr>
              <w:adjustRightInd w:val="0"/>
              <w:snapToGrid w:val="0"/>
              <w:spacing w:line="240" w:lineRule="auto"/>
              <w:jc w:val="center"/>
              <w:rPr>
                <w:color w:val="000000"/>
                <w:sz w:val="21"/>
              </w:rPr>
            </w:pPr>
            <w:r>
              <w:rPr>
                <w:rFonts w:hint="eastAsia"/>
                <w:color w:val="000000"/>
                <w:sz w:val="21"/>
              </w:rPr>
              <w:t>S3☑</w:t>
            </w:r>
          </w:p>
        </w:tc>
      </w:tr>
      <w:tr w14:paraId="569E9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1C1852C5">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09747769">
            <w:pPr>
              <w:adjustRightInd w:val="0"/>
              <w:snapToGrid w:val="0"/>
              <w:spacing w:line="240" w:lineRule="auto"/>
              <w:jc w:val="center"/>
              <w:rPr>
                <w:color w:val="000000"/>
                <w:sz w:val="21"/>
              </w:rPr>
            </w:pPr>
          </w:p>
        </w:tc>
        <w:tc>
          <w:tcPr>
            <w:tcW w:w="380" w:type="pct"/>
            <w:vMerge w:val="restart"/>
            <w:tcBorders>
              <w:tl2br w:val="nil"/>
              <w:tr2bl w:val="nil"/>
            </w:tcBorders>
            <w:vAlign w:val="center"/>
          </w:tcPr>
          <w:p w14:paraId="2E89D339">
            <w:pPr>
              <w:adjustRightInd w:val="0"/>
              <w:snapToGrid w:val="0"/>
              <w:spacing w:line="240" w:lineRule="auto"/>
              <w:jc w:val="center"/>
              <w:rPr>
                <w:color w:val="000000"/>
                <w:sz w:val="21"/>
              </w:rPr>
            </w:pPr>
            <w:r>
              <w:rPr>
                <w:rFonts w:hint="eastAsia"/>
                <w:color w:val="000000"/>
                <w:sz w:val="21"/>
              </w:rPr>
              <w:t>地下水</w:t>
            </w:r>
          </w:p>
        </w:tc>
        <w:tc>
          <w:tcPr>
            <w:tcW w:w="753" w:type="pct"/>
            <w:gridSpan w:val="3"/>
            <w:tcBorders>
              <w:tl2br w:val="nil"/>
              <w:tr2bl w:val="nil"/>
            </w:tcBorders>
            <w:vAlign w:val="center"/>
          </w:tcPr>
          <w:p w14:paraId="227106EE">
            <w:pPr>
              <w:adjustRightInd w:val="0"/>
              <w:snapToGrid w:val="0"/>
              <w:spacing w:line="240" w:lineRule="auto"/>
              <w:jc w:val="center"/>
              <w:rPr>
                <w:color w:val="000000"/>
                <w:sz w:val="21"/>
              </w:rPr>
            </w:pPr>
            <w:r>
              <w:rPr>
                <w:rFonts w:hint="eastAsia"/>
                <w:color w:val="000000"/>
                <w:sz w:val="21"/>
              </w:rPr>
              <w:t>地下水功能敏感性</w:t>
            </w:r>
          </w:p>
        </w:tc>
        <w:tc>
          <w:tcPr>
            <w:tcW w:w="1018" w:type="pct"/>
            <w:gridSpan w:val="5"/>
            <w:tcBorders>
              <w:tl2br w:val="nil"/>
              <w:tr2bl w:val="nil"/>
            </w:tcBorders>
            <w:vAlign w:val="center"/>
          </w:tcPr>
          <w:p w14:paraId="0CD70C92">
            <w:pPr>
              <w:adjustRightInd w:val="0"/>
              <w:snapToGrid w:val="0"/>
              <w:spacing w:line="240" w:lineRule="auto"/>
              <w:jc w:val="center"/>
              <w:rPr>
                <w:color w:val="000000"/>
                <w:sz w:val="21"/>
              </w:rPr>
            </w:pPr>
            <w:r>
              <w:rPr>
                <w:rFonts w:hint="eastAsia"/>
                <w:color w:val="000000"/>
                <w:sz w:val="21"/>
              </w:rPr>
              <w:t>G1□</w:t>
            </w:r>
          </w:p>
        </w:tc>
        <w:tc>
          <w:tcPr>
            <w:tcW w:w="1081" w:type="pct"/>
            <w:gridSpan w:val="7"/>
            <w:tcBorders>
              <w:tl2br w:val="nil"/>
              <w:tr2bl w:val="nil"/>
            </w:tcBorders>
            <w:vAlign w:val="center"/>
          </w:tcPr>
          <w:p w14:paraId="7E289453">
            <w:pPr>
              <w:adjustRightInd w:val="0"/>
              <w:snapToGrid w:val="0"/>
              <w:spacing w:line="240" w:lineRule="auto"/>
              <w:jc w:val="center"/>
              <w:rPr>
                <w:color w:val="000000"/>
                <w:sz w:val="21"/>
              </w:rPr>
            </w:pPr>
            <w:r>
              <w:rPr>
                <w:rFonts w:hint="eastAsia"/>
                <w:color w:val="000000"/>
                <w:sz w:val="21"/>
              </w:rPr>
              <w:t>G2□</w:t>
            </w:r>
          </w:p>
        </w:tc>
        <w:tc>
          <w:tcPr>
            <w:tcW w:w="997" w:type="pct"/>
            <w:gridSpan w:val="3"/>
            <w:tcBorders>
              <w:tl2br w:val="nil"/>
              <w:tr2bl w:val="nil"/>
            </w:tcBorders>
            <w:vAlign w:val="center"/>
          </w:tcPr>
          <w:p w14:paraId="1809B7EA">
            <w:pPr>
              <w:adjustRightInd w:val="0"/>
              <w:snapToGrid w:val="0"/>
              <w:spacing w:line="240" w:lineRule="auto"/>
              <w:jc w:val="center"/>
              <w:rPr>
                <w:color w:val="000000"/>
                <w:sz w:val="21"/>
              </w:rPr>
            </w:pPr>
            <w:r>
              <w:rPr>
                <w:rFonts w:hint="eastAsia"/>
                <w:color w:val="000000"/>
                <w:sz w:val="21"/>
              </w:rPr>
              <w:t>G3☑</w:t>
            </w:r>
          </w:p>
        </w:tc>
      </w:tr>
      <w:tr w14:paraId="6EF43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502100FA">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765D15DE">
            <w:pPr>
              <w:adjustRightInd w:val="0"/>
              <w:snapToGrid w:val="0"/>
              <w:spacing w:line="240" w:lineRule="auto"/>
              <w:jc w:val="center"/>
              <w:rPr>
                <w:color w:val="000000"/>
                <w:sz w:val="21"/>
              </w:rPr>
            </w:pPr>
          </w:p>
        </w:tc>
        <w:tc>
          <w:tcPr>
            <w:tcW w:w="380" w:type="pct"/>
            <w:vMerge w:val="continue"/>
            <w:tcBorders>
              <w:tl2br w:val="nil"/>
              <w:tr2bl w:val="nil"/>
            </w:tcBorders>
            <w:vAlign w:val="center"/>
          </w:tcPr>
          <w:p w14:paraId="327DD810">
            <w:pPr>
              <w:adjustRightInd w:val="0"/>
              <w:snapToGrid w:val="0"/>
              <w:spacing w:line="240" w:lineRule="auto"/>
              <w:jc w:val="center"/>
              <w:rPr>
                <w:color w:val="000000"/>
                <w:sz w:val="21"/>
              </w:rPr>
            </w:pPr>
          </w:p>
        </w:tc>
        <w:tc>
          <w:tcPr>
            <w:tcW w:w="753" w:type="pct"/>
            <w:gridSpan w:val="3"/>
            <w:tcBorders>
              <w:tl2br w:val="nil"/>
              <w:tr2bl w:val="nil"/>
            </w:tcBorders>
            <w:vAlign w:val="center"/>
          </w:tcPr>
          <w:p w14:paraId="58F78C07">
            <w:pPr>
              <w:adjustRightInd w:val="0"/>
              <w:snapToGrid w:val="0"/>
              <w:spacing w:line="240" w:lineRule="auto"/>
              <w:jc w:val="center"/>
              <w:rPr>
                <w:color w:val="000000"/>
                <w:sz w:val="21"/>
              </w:rPr>
            </w:pPr>
            <w:r>
              <w:rPr>
                <w:rFonts w:hint="eastAsia"/>
                <w:color w:val="000000"/>
                <w:sz w:val="21"/>
              </w:rPr>
              <w:t>包气带防污性能</w:t>
            </w:r>
          </w:p>
        </w:tc>
        <w:tc>
          <w:tcPr>
            <w:tcW w:w="1018" w:type="pct"/>
            <w:gridSpan w:val="5"/>
            <w:tcBorders>
              <w:tl2br w:val="nil"/>
              <w:tr2bl w:val="nil"/>
            </w:tcBorders>
            <w:vAlign w:val="center"/>
          </w:tcPr>
          <w:p w14:paraId="79505CE9">
            <w:pPr>
              <w:adjustRightInd w:val="0"/>
              <w:snapToGrid w:val="0"/>
              <w:spacing w:line="240" w:lineRule="auto"/>
              <w:jc w:val="center"/>
              <w:rPr>
                <w:color w:val="000000"/>
                <w:sz w:val="21"/>
              </w:rPr>
            </w:pPr>
            <w:r>
              <w:rPr>
                <w:rFonts w:hint="eastAsia"/>
                <w:color w:val="000000"/>
                <w:sz w:val="21"/>
              </w:rPr>
              <w:t>D1□</w:t>
            </w:r>
          </w:p>
        </w:tc>
        <w:tc>
          <w:tcPr>
            <w:tcW w:w="1081" w:type="pct"/>
            <w:gridSpan w:val="7"/>
            <w:tcBorders>
              <w:tl2br w:val="nil"/>
              <w:tr2bl w:val="nil"/>
            </w:tcBorders>
            <w:vAlign w:val="center"/>
          </w:tcPr>
          <w:p w14:paraId="559061DF">
            <w:pPr>
              <w:adjustRightInd w:val="0"/>
              <w:snapToGrid w:val="0"/>
              <w:spacing w:line="240" w:lineRule="auto"/>
              <w:jc w:val="center"/>
              <w:rPr>
                <w:color w:val="000000"/>
                <w:sz w:val="21"/>
              </w:rPr>
            </w:pPr>
            <w:r>
              <w:rPr>
                <w:rFonts w:hint="eastAsia"/>
                <w:color w:val="000000"/>
                <w:sz w:val="21"/>
              </w:rPr>
              <w:t>D2☑</w:t>
            </w:r>
          </w:p>
        </w:tc>
        <w:tc>
          <w:tcPr>
            <w:tcW w:w="997" w:type="pct"/>
            <w:gridSpan w:val="3"/>
            <w:tcBorders>
              <w:tl2br w:val="nil"/>
              <w:tr2bl w:val="nil"/>
            </w:tcBorders>
            <w:vAlign w:val="center"/>
          </w:tcPr>
          <w:p w14:paraId="40F1FC8F">
            <w:pPr>
              <w:adjustRightInd w:val="0"/>
              <w:snapToGrid w:val="0"/>
              <w:spacing w:line="240" w:lineRule="auto"/>
              <w:jc w:val="center"/>
              <w:rPr>
                <w:color w:val="000000"/>
                <w:sz w:val="21"/>
              </w:rPr>
            </w:pPr>
            <w:r>
              <w:rPr>
                <w:rFonts w:hint="eastAsia"/>
                <w:color w:val="000000"/>
                <w:sz w:val="21"/>
              </w:rPr>
              <w:t>D3□</w:t>
            </w:r>
          </w:p>
        </w:tc>
      </w:tr>
      <w:tr w14:paraId="1C095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vMerge w:val="restart"/>
            <w:tcBorders>
              <w:tl2br w:val="nil"/>
              <w:tr2bl w:val="nil"/>
            </w:tcBorders>
            <w:vAlign w:val="center"/>
          </w:tcPr>
          <w:p w14:paraId="432020F3">
            <w:pPr>
              <w:adjustRightInd w:val="0"/>
              <w:snapToGrid w:val="0"/>
              <w:spacing w:line="240" w:lineRule="auto"/>
              <w:jc w:val="center"/>
              <w:rPr>
                <w:color w:val="000000"/>
                <w:sz w:val="21"/>
              </w:rPr>
            </w:pPr>
            <w:r>
              <w:rPr>
                <w:rFonts w:hint="eastAsia"/>
                <w:color w:val="000000"/>
                <w:sz w:val="21"/>
              </w:rPr>
              <w:t>物质及工艺系统危险性</w:t>
            </w:r>
          </w:p>
        </w:tc>
        <w:tc>
          <w:tcPr>
            <w:tcW w:w="380" w:type="pct"/>
            <w:tcBorders>
              <w:tl2br w:val="nil"/>
              <w:tr2bl w:val="nil"/>
            </w:tcBorders>
            <w:vAlign w:val="center"/>
          </w:tcPr>
          <w:p w14:paraId="0F12C42F">
            <w:pPr>
              <w:adjustRightInd w:val="0"/>
              <w:snapToGrid w:val="0"/>
              <w:spacing w:line="240" w:lineRule="auto"/>
              <w:jc w:val="center"/>
              <w:rPr>
                <w:color w:val="000000"/>
                <w:sz w:val="21"/>
              </w:rPr>
            </w:pPr>
            <w:r>
              <w:rPr>
                <w:rFonts w:hint="eastAsia"/>
                <w:color w:val="000000"/>
                <w:sz w:val="21"/>
              </w:rPr>
              <w:t>Q值</w:t>
            </w:r>
          </w:p>
        </w:tc>
        <w:tc>
          <w:tcPr>
            <w:tcW w:w="753" w:type="pct"/>
            <w:gridSpan w:val="3"/>
            <w:tcBorders>
              <w:tl2br w:val="nil"/>
              <w:tr2bl w:val="nil"/>
            </w:tcBorders>
            <w:vAlign w:val="center"/>
          </w:tcPr>
          <w:p w14:paraId="46BF2643">
            <w:pPr>
              <w:adjustRightInd w:val="0"/>
              <w:snapToGrid w:val="0"/>
              <w:spacing w:line="240" w:lineRule="auto"/>
              <w:jc w:val="center"/>
              <w:rPr>
                <w:color w:val="000000"/>
                <w:sz w:val="21"/>
              </w:rPr>
            </w:pPr>
            <w:r>
              <w:rPr>
                <w:rFonts w:hint="eastAsia"/>
                <w:color w:val="000000"/>
                <w:sz w:val="21"/>
              </w:rPr>
              <w:t>Q＜1□</w:t>
            </w:r>
          </w:p>
        </w:tc>
        <w:tc>
          <w:tcPr>
            <w:tcW w:w="1018" w:type="pct"/>
            <w:gridSpan w:val="5"/>
            <w:tcBorders>
              <w:tl2br w:val="nil"/>
              <w:tr2bl w:val="nil"/>
            </w:tcBorders>
            <w:vAlign w:val="center"/>
          </w:tcPr>
          <w:p w14:paraId="2A1588CE">
            <w:pPr>
              <w:adjustRightInd w:val="0"/>
              <w:snapToGrid w:val="0"/>
              <w:spacing w:line="240" w:lineRule="auto"/>
              <w:jc w:val="center"/>
              <w:rPr>
                <w:rFonts w:hint="eastAsia" w:eastAsia="宋体"/>
                <w:color w:val="000000"/>
                <w:sz w:val="21"/>
                <w:lang w:eastAsia="zh-CN"/>
              </w:rPr>
            </w:pPr>
            <w:r>
              <w:rPr>
                <w:rFonts w:hint="eastAsia"/>
                <w:color w:val="000000"/>
                <w:sz w:val="21"/>
              </w:rPr>
              <w:t>1≤Q＜10</w:t>
            </w:r>
            <w:r>
              <w:rPr>
                <w:rFonts w:hint="eastAsia"/>
                <w:color w:val="000000"/>
                <w:sz w:val="21"/>
                <w:lang w:eastAsia="zh-CN"/>
              </w:rPr>
              <w:t>□</w:t>
            </w:r>
          </w:p>
        </w:tc>
        <w:tc>
          <w:tcPr>
            <w:tcW w:w="1081" w:type="pct"/>
            <w:gridSpan w:val="7"/>
            <w:tcBorders>
              <w:tl2br w:val="nil"/>
              <w:tr2bl w:val="nil"/>
            </w:tcBorders>
            <w:vAlign w:val="center"/>
          </w:tcPr>
          <w:p w14:paraId="105A4ECF">
            <w:pPr>
              <w:adjustRightInd w:val="0"/>
              <w:snapToGrid w:val="0"/>
              <w:spacing w:line="240" w:lineRule="auto"/>
              <w:jc w:val="center"/>
              <w:rPr>
                <w:color w:val="000000"/>
                <w:sz w:val="21"/>
              </w:rPr>
            </w:pPr>
            <w:r>
              <w:rPr>
                <w:rFonts w:hint="eastAsia"/>
                <w:color w:val="000000"/>
                <w:sz w:val="21"/>
              </w:rPr>
              <w:t>10≤Q＜100□</w:t>
            </w:r>
          </w:p>
        </w:tc>
        <w:tc>
          <w:tcPr>
            <w:tcW w:w="997" w:type="pct"/>
            <w:gridSpan w:val="3"/>
            <w:tcBorders>
              <w:tl2br w:val="nil"/>
              <w:tr2bl w:val="nil"/>
            </w:tcBorders>
            <w:vAlign w:val="center"/>
          </w:tcPr>
          <w:p w14:paraId="7C30F6A1">
            <w:pPr>
              <w:adjustRightInd w:val="0"/>
              <w:snapToGrid w:val="0"/>
              <w:spacing w:line="240" w:lineRule="auto"/>
              <w:jc w:val="center"/>
              <w:rPr>
                <w:rFonts w:hint="eastAsia" w:eastAsia="宋体"/>
                <w:color w:val="000000"/>
                <w:sz w:val="21"/>
                <w:lang w:eastAsia="zh-CN"/>
              </w:rPr>
            </w:pPr>
            <w:r>
              <w:rPr>
                <w:rFonts w:hint="eastAsia"/>
                <w:color w:val="000000"/>
                <w:sz w:val="21"/>
              </w:rPr>
              <w:t>Q＞100</w:t>
            </w:r>
            <w:r>
              <w:rPr>
                <w:rFonts w:hint="eastAsia"/>
                <w:color w:val="000000"/>
                <w:sz w:val="21"/>
                <w:lang w:eastAsia="zh-CN"/>
              </w:rPr>
              <w:t>☑</w:t>
            </w:r>
          </w:p>
        </w:tc>
      </w:tr>
      <w:tr w14:paraId="3988C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vMerge w:val="continue"/>
            <w:tcBorders>
              <w:tl2br w:val="nil"/>
              <w:tr2bl w:val="nil"/>
            </w:tcBorders>
            <w:vAlign w:val="center"/>
          </w:tcPr>
          <w:p w14:paraId="70866A7B">
            <w:pPr>
              <w:adjustRightInd w:val="0"/>
              <w:snapToGrid w:val="0"/>
              <w:spacing w:line="240" w:lineRule="auto"/>
              <w:jc w:val="center"/>
              <w:rPr>
                <w:color w:val="000000"/>
                <w:sz w:val="21"/>
              </w:rPr>
            </w:pPr>
          </w:p>
        </w:tc>
        <w:tc>
          <w:tcPr>
            <w:tcW w:w="380" w:type="pct"/>
            <w:tcBorders>
              <w:tl2br w:val="nil"/>
              <w:tr2bl w:val="nil"/>
            </w:tcBorders>
            <w:vAlign w:val="center"/>
          </w:tcPr>
          <w:p w14:paraId="07578F14">
            <w:pPr>
              <w:adjustRightInd w:val="0"/>
              <w:snapToGrid w:val="0"/>
              <w:spacing w:line="240" w:lineRule="auto"/>
              <w:jc w:val="center"/>
              <w:rPr>
                <w:color w:val="000000"/>
                <w:sz w:val="21"/>
              </w:rPr>
            </w:pPr>
            <w:r>
              <w:rPr>
                <w:rFonts w:hint="eastAsia"/>
                <w:color w:val="000000"/>
                <w:sz w:val="21"/>
              </w:rPr>
              <w:t>M值</w:t>
            </w:r>
          </w:p>
        </w:tc>
        <w:tc>
          <w:tcPr>
            <w:tcW w:w="753" w:type="pct"/>
            <w:gridSpan w:val="3"/>
            <w:tcBorders>
              <w:tl2br w:val="nil"/>
              <w:tr2bl w:val="nil"/>
            </w:tcBorders>
            <w:vAlign w:val="center"/>
          </w:tcPr>
          <w:p w14:paraId="26E1E32C">
            <w:pPr>
              <w:adjustRightInd w:val="0"/>
              <w:snapToGrid w:val="0"/>
              <w:spacing w:line="240" w:lineRule="auto"/>
              <w:jc w:val="center"/>
              <w:rPr>
                <w:color w:val="000000"/>
                <w:sz w:val="21"/>
              </w:rPr>
            </w:pPr>
            <w:r>
              <w:rPr>
                <w:rFonts w:hint="eastAsia"/>
                <w:color w:val="000000"/>
                <w:sz w:val="21"/>
              </w:rPr>
              <w:t>M1□</w:t>
            </w:r>
          </w:p>
        </w:tc>
        <w:tc>
          <w:tcPr>
            <w:tcW w:w="1018" w:type="pct"/>
            <w:gridSpan w:val="5"/>
            <w:tcBorders>
              <w:tl2br w:val="nil"/>
              <w:tr2bl w:val="nil"/>
            </w:tcBorders>
            <w:vAlign w:val="center"/>
          </w:tcPr>
          <w:p w14:paraId="22243149">
            <w:pPr>
              <w:adjustRightInd w:val="0"/>
              <w:snapToGrid w:val="0"/>
              <w:spacing w:line="240" w:lineRule="auto"/>
              <w:jc w:val="center"/>
              <w:rPr>
                <w:rFonts w:hint="eastAsia" w:eastAsia="宋体"/>
                <w:color w:val="000000"/>
                <w:sz w:val="21"/>
                <w:lang w:eastAsia="zh-CN"/>
              </w:rPr>
            </w:pPr>
            <w:r>
              <w:rPr>
                <w:rFonts w:hint="eastAsia"/>
                <w:color w:val="000000"/>
                <w:sz w:val="21"/>
              </w:rPr>
              <w:t>M2</w:t>
            </w:r>
            <w:r>
              <w:rPr>
                <w:rFonts w:hint="eastAsia"/>
                <w:color w:val="000000"/>
                <w:sz w:val="21"/>
                <w:lang w:eastAsia="zh-CN"/>
              </w:rPr>
              <w:t>□</w:t>
            </w:r>
          </w:p>
        </w:tc>
        <w:tc>
          <w:tcPr>
            <w:tcW w:w="1081" w:type="pct"/>
            <w:gridSpan w:val="7"/>
            <w:tcBorders>
              <w:tl2br w:val="nil"/>
              <w:tr2bl w:val="nil"/>
            </w:tcBorders>
            <w:vAlign w:val="center"/>
          </w:tcPr>
          <w:p w14:paraId="2B2EC0AB">
            <w:pPr>
              <w:adjustRightInd w:val="0"/>
              <w:snapToGrid w:val="0"/>
              <w:spacing w:line="240" w:lineRule="auto"/>
              <w:jc w:val="center"/>
              <w:rPr>
                <w:rFonts w:hint="eastAsia" w:eastAsia="宋体"/>
                <w:color w:val="000000"/>
                <w:sz w:val="21"/>
                <w:lang w:eastAsia="zh-CN"/>
              </w:rPr>
            </w:pPr>
            <w:r>
              <w:rPr>
                <w:rFonts w:hint="eastAsia"/>
                <w:color w:val="000000"/>
                <w:sz w:val="21"/>
              </w:rPr>
              <w:t>M3</w:t>
            </w:r>
            <w:r>
              <w:rPr>
                <w:rFonts w:hint="eastAsia"/>
                <w:color w:val="000000"/>
                <w:sz w:val="21"/>
                <w:lang w:eastAsia="zh-CN"/>
              </w:rPr>
              <w:t>☑</w:t>
            </w:r>
          </w:p>
        </w:tc>
        <w:tc>
          <w:tcPr>
            <w:tcW w:w="997" w:type="pct"/>
            <w:gridSpan w:val="3"/>
            <w:tcBorders>
              <w:tl2br w:val="nil"/>
              <w:tr2bl w:val="nil"/>
            </w:tcBorders>
            <w:vAlign w:val="center"/>
          </w:tcPr>
          <w:p w14:paraId="7F522246">
            <w:pPr>
              <w:adjustRightInd w:val="0"/>
              <w:snapToGrid w:val="0"/>
              <w:spacing w:line="240" w:lineRule="auto"/>
              <w:jc w:val="center"/>
              <w:rPr>
                <w:color w:val="000000"/>
                <w:sz w:val="21"/>
              </w:rPr>
            </w:pPr>
            <w:r>
              <w:rPr>
                <w:rFonts w:hint="eastAsia"/>
                <w:color w:val="000000"/>
                <w:sz w:val="21"/>
              </w:rPr>
              <w:t>M4□</w:t>
            </w:r>
          </w:p>
        </w:tc>
      </w:tr>
      <w:tr w14:paraId="7265D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vMerge w:val="continue"/>
            <w:tcBorders>
              <w:tl2br w:val="nil"/>
              <w:tr2bl w:val="nil"/>
            </w:tcBorders>
            <w:vAlign w:val="center"/>
          </w:tcPr>
          <w:p w14:paraId="391C50F4">
            <w:pPr>
              <w:adjustRightInd w:val="0"/>
              <w:snapToGrid w:val="0"/>
              <w:spacing w:line="240" w:lineRule="auto"/>
              <w:jc w:val="center"/>
              <w:rPr>
                <w:color w:val="000000"/>
                <w:sz w:val="21"/>
              </w:rPr>
            </w:pPr>
          </w:p>
        </w:tc>
        <w:tc>
          <w:tcPr>
            <w:tcW w:w="380" w:type="pct"/>
            <w:tcBorders>
              <w:tl2br w:val="nil"/>
              <w:tr2bl w:val="nil"/>
            </w:tcBorders>
            <w:vAlign w:val="center"/>
          </w:tcPr>
          <w:p w14:paraId="4668586B">
            <w:pPr>
              <w:adjustRightInd w:val="0"/>
              <w:snapToGrid w:val="0"/>
              <w:spacing w:line="240" w:lineRule="auto"/>
              <w:jc w:val="center"/>
              <w:rPr>
                <w:color w:val="000000"/>
                <w:sz w:val="21"/>
              </w:rPr>
            </w:pPr>
            <w:r>
              <w:rPr>
                <w:rFonts w:hint="eastAsia"/>
                <w:color w:val="000000"/>
                <w:sz w:val="21"/>
              </w:rPr>
              <w:t>P值</w:t>
            </w:r>
          </w:p>
        </w:tc>
        <w:tc>
          <w:tcPr>
            <w:tcW w:w="753" w:type="pct"/>
            <w:gridSpan w:val="3"/>
            <w:tcBorders>
              <w:tl2br w:val="nil"/>
              <w:tr2bl w:val="nil"/>
            </w:tcBorders>
            <w:vAlign w:val="center"/>
          </w:tcPr>
          <w:p w14:paraId="59D0E9C1">
            <w:pPr>
              <w:adjustRightInd w:val="0"/>
              <w:snapToGrid w:val="0"/>
              <w:spacing w:line="240" w:lineRule="auto"/>
              <w:jc w:val="center"/>
              <w:rPr>
                <w:color w:val="000000"/>
                <w:sz w:val="21"/>
              </w:rPr>
            </w:pPr>
            <w:r>
              <w:rPr>
                <w:rFonts w:hint="eastAsia"/>
                <w:color w:val="000000"/>
                <w:sz w:val="21"/>
              </w:rPr>
              <w:t>P1□</w:t>
            </w:r>
          </w:p>
        </w:tc>
        <w:tc>
          <w:tcPr>
            <w:tcW w:w="1018" w:type="pct"/>
            <w:gridSpan w:val="5"/>
            <w:tcBorders>
              <w:tl2br w:val="nil"/>
              <w:tr2bl w:val="nil"/>
            </w:tcBorders>
            <w:vAlign w:val="center"/>
          </w:tcPr>
          <w:p w14:paraId="6DA59E45">
            <w:pPr>
              <w:adjustRightInd w:val="0"/>
              <w:snapToGrid w:val="0"/>
              <w:spacing w:line="240" w:lineRule="auto"/>
              <w:jc w:val="center"/>
              <w:rPr>
                <w:rFonts w:hint="eastAsia" w:eastAsia="宋体"/>
                <w:color w:val="000000"/>
                <w:sz w:val="21"/>
                <w:lang w:eastAsia="zh-CN"/>
              </w:rPr>
            </w:pPr>
            <w:r>
              <w:rPr>
                <w:rFonts w:hint="eastAsia"/>
                <w:color w:val="000000"/>
                <w:sz w:val="21"/>
              </w:rPr>
              <w:t>P2</w:t>
            </w:r>
            <w:r>
              <w:rPr>
                <w:rFonts w:hint="eastAsia"/>
                <w:color w:val="000000"/>
                <w:sz w:val="21"/>
                <w:lang w:eastAsia="zh-CN"/>
              </w:rPr>
              <w:t>☑</w:t>
            </w:r>
          </w:p>
        </w:tc>
        <w:tc>
          <w:tcPr>
            <w:tcW w:w="1081" w:type="pct"/>
            <w:gridSpan w:val="7"/>
            <w:tcBorders>
              <w:tl2br w:val="nil"/>
              <w:tr2bl w:val="nil"/>
            </w:tcBorders>
            <w:vAlign w:val="center"/>
          </w:tcPr>
          <w:p w14:paraId="4A2DE2C0">
            <w:pPr>
              <w:adjustRightInd w:val="0"/>
              <w:snapToGrid w:val="0"/>
              <w:spacing w:line="240" w:lineRule="auto"/>
              <w:jc w:val="center"/>
              <w:rPr>
                <w:rFonts w:hint="eastAsia" w:eastAsia="宋体"/>
                <w:color w:val="000000"/>
                <w:sz w:val="21"/>
                <w:lang w:eastAsia="zh-CN"/>
              </w:rPr>
            </w:pPr>
            <w:r>
              <w:rPr>
                <w:rFonts w:hint="eastAsia"/>
                <w:color w:val="000000"/>
                <w:sz w:val="21"/>
              </w:rPr>
              <w:t>P3</w:t>
            </w:r>
            <w:r>
              <w:rPr>
                <w:rFonts w:hint="eastAsia"/>
                <w:color w:val="000000"/>
                <w:sz w:val="21"/>
                <w:lang w:eastAsia="zh-CN"/>
              </w:rPr>
              <w:t>□</w:t>
            </w:r>
          </w:p>
        </w:tc>
        <w:tc>
          <w:tcPr>
            <w:tcW w:w="997" w:type="pct"/>
            <w:gridSpan w:val="3"/>
            <w:tcBorders>
              <w:tl2br w:val="nil"/>
              <w:tr2bl w:val="nil"/>
            </w:tcBorders>
            <w:vAlign w:val="center"/>
          </w:tcPr>
          <w:p w14:paraId="219ED2BA">
            <w:pPr>
              <w:adjustRightInd w:val="0"/>
              <w:snapToGrid w:val="0"/>
              <w:spacing w:line="240" w:lineRule="auto"/>
              <w:jc w:val="center"/>
              <w:rPr>
                <w:color w:val="000000"/>
                <w:sz w:val="21"/>
              </w:rPr>
            </w:pPr>
            <w:r>
              <w:rPr>
                <w:rFonts w:hint="eastAsia"/>
                <w:color w:val="000000"/>
                <w:sz w:val="21"/>
              </w:rPr>
              <w:t>P4□</w:t>
            </w:r>
          </w:p>
        </w:tc>
      </w:tr>
      <w:tr w14:paraId="48366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vMerge w:val="restart"/>
            <w:tcBorders>
              <w:tl2br w:val="nil"/>
              <w:tr2bl w:val="nil"/>
            </w:tcBorders>
            <w:vAlign w:val="center"/>
          </w:tcPr>
          <w:p w14:paraId="46B8A7FB">
            <w:pPr>
              <w:adjustRightInd w:val="0"/>
              <w:snapToGrid w:val="0"/>
              <w:spacing w:line="240" w:lineRule="auto"/>
              <w:jc w:val="center"/>
              <w:rPr>
                <w:color w:val="000000"/>
                <w:sz w:val="21"/>
              </w:rPr>
            </w:pPr>
            <w:r>
              <w:rPr>
                <w:rFonts w:hint="eastAsia"/>
                <w:color w:val="000000"/>
                <w:sz w:val="21"/>
              </w:rPr>
              <w:t>环境敏感程度</w:t>
            </w:r>
          </w:p>
        </w:tc>
        <w:tc>
          <w:tcPr>
            <w:tcW w:w="380" w:type="pct"/>
            <w:tcBorders>
              <w:tl2br w:val="nil"/>
              <w:tr2bl w:val="nil"/>
            </w:tcBorders>
            <w:vAlign w:val="center"/>
          </w:tcPr>
          <w:p w14:paraId="145D9D14">
            <w:pPr>
              <w:adjustRightInd w:val="0"/>
              <w:snapToGrid w:val="0"/>
              <w:spacing w:line="240" w:lineRule="auto"/>
              <w:jc w:val="center"/>
              <w:rPr>
                <w:color w:val="000000"/>
                <w:sz w:val="21"/>
              </w:rPr>
            </w:pPr>
            <w:r>
              <w:rPr>
                <w:rFonts w:hint="eastAsia"/>
                <w:color w:val="000000"/>
                <w:sz w:val="21"/>
              </w:rPr>
              <w:t>大气</w:t>
            </w:r>
          </w:p>
        </w:tc>
        <w:tc>
          <w:tcPr>
            <w:tcW w:w="1529" w:type="pct"/>
            <w:gridSpan w:val="6"/>
            <w:tcBorders>
              <w:tl2br w:val="nil"/>
              <w:tr2bl w:val="nil"/>
            </w:tcBorders>
            <w:vAlign w:val="center"/>
          </w:tcPr>
          <w:p w14:paraId="4EE6CBDD">
            <w:pPr>
              <w:adjustRightInd w:val="0"/>
              <w:snapToGrid w:val="0"/>
              <w:spacing w:line="240" w:lineRule="auto"/>
              <w:jc w:val="center"/>
              <w:rPr>
                <w:color w:val="000000"/>
                <w:sz w:val="21"/>
              </w:rPr>
            </w:pPr>
            <w:r>
              <w:rPr>
                <w:rFonts w:hint="eastAsia"/>
                <w:color w:val="000000"/>
                <w:sz w:val="21"/>
              </w:rPr>
              <w:t>E1□</w:t>
            </w:r>
          </w:p>
        </w:tc>
        <w:tc>
          <w:tcPr>
            <w:tcW w:w="1165" w:type="pct"/>
            <w:gridSpan w:val="6"/>
            <w:tcBorders>
              <w:tl2br w:val="nil"/>
              <w:tr2bl w:val="nil"/>
            </w:tcBorders>
            <w:vAlign w:val="center"/>
          </w:tcPr>
          <w:p w14:paraId="36165BCE">
            <w:pPr>
              <w:adjustRightInd w:val="0"/>
              <w:snapToGrid w:val="0"/>
              <w:spacing w:line="240" w:lineRule="auto"/>
              <w:jc w:val="center"/>
              <w:rPr>
                <w:color w:val="000000"/>
                <w:sz w:val="21"/>
              </w:rPr>
            </w:pPr>
            <w:r>
              <w:rPr>
                <w:rFonts w:hint="eastAsia"/>
                <w:color w:val="000000"/>
                <w:sz w:val="21"/>
              </w:rPr>
              <w:t>E2☑</w:t>
            </w:r>
          </w:p>
        </w:tc>
        <w:tc>
          <w:tcPr>
            <w:tcW w:w="1155" w:type="pct"/>
            <w:gridSpan w:val="6"/>
            <w:tcBorders>
              <w:tl2br w:val="nil"/>
              <w:tr2bl w:val="nil"/>
            </w:tcBorders>
            <w:vAlign w:val="center"/>
          </w:tcPr>
          <w:p w14:paraId="6FED4268">
            <w:pPr>
              <w:adjustRightInd w:val="0"/>
              <w:snapToGrid w:val="0"/>
              <w:spacing w:line="240" w:lineRule="auto"/>
              <w:jc w:val="center"/>
              <w:rPr>
                <w:color w:val="000000"/>
                <w:sz w:val="21"/>
              </w:rPr>
            </w:pPr>
            <w:r>
              <w:rPr>
                <w:rFonts w:hint="eastAsia"/>
                <w:color w:val="000000"/>
                <w:sz w:val="21"/>
              </w:rPr>
              <w:t>E3□</w:t>
            </w:r>
          </w:p>
        </w:tc>
      </w:tr>
      <w:tr w14:paraId="6B79D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vMerge w:val="continue"/>
            <w:tcBorders>
              <w:tl2br w:val="nil"/>
              <w:tr2bl w:val="nil"/>
            </w:tcBorders>
            <w:vAlign w:val="center"/>
          </w:tcPr>
          <w:p w14:paraId="4C21CE93">
            <w:pPr>
              <w:adjustRightInd w:val="0"/>
              <w:snapToGrid w:val="0"/>
              <w:spacing w:line="240" w:lineRule="auto"/>
              <w:jc w:val="center"/>
              <w:rPr>
                <w:color w:val="000000"/>
                <w:sz w:val="21"/>
              </w:rPr>
            </w:pPr>
          </w:p>
        </w:tc>
        <w:tc>
          <w:tcPr>
            <w:tcW w:w="380" w:type="pct"/>
            <w:tcBorders>
              <w:tl2br w:val="nil"/>
              <w:tr2bl w:val="nil"/>
            </w:tcBorders>
            <w:vAlign w:val="center"/>
          </w:tcPr>
          <w:p w14:paraId="622673C0">
            <w:pPr>
              <w:adjustRightInd w:val="0"/>
              <w:snapToGrid w:val="0"/>
              <w:spacing w:line="240" w:lineRule="auto"/>
              <w:jc w:val="center"/>
              <w:rPr>
                <w:color w:val="000000"/>
                <w:sz w:val="21"/>
              </w:rPr>
            </w:pPr>
            <w:r>
              <w:rPr>
                <w:rFonts w:hint="eastAsia"/>
                <w:color w:val="000000"/>
                <w:sz w:val="21"/>
              </w:rPr>
              <w:t>地表水</w:t>
            </w:r>
          </w:p>
        </w:tc>
        <w:tc>
          <w:tcPr>
            <w:tcW w:w="1529" w:type="pct"/>
            <w:gridSpan w:val="6"/>
            <w:tcBorders>
              <w:tl2br w:val="nil"/>
              <w:tr2bl w:val="nil"/>
            </w:tcBorders>
            <w:vAlign w:val="center"/>
          </w:tcPr>
          <w:p w14:paraId="20549EE0">
            <w:pPr>
              <w:adjustRightInd w:val="0"/>
              <w:snapToGrid w:val="0"/>
              <w:spacing w:line="240" w:lineRule="auto"/>
              <w:jc w:val="center"/>
              <w:rPr>
                <w:color w:val="000000"/>
                <w:sz w:val="21"/>
              </w:rPr>
            </w:pPr>
            <w:r>
              <w:rPr>
                <w:rFonts w:hint="eastAsia"/>
                <w:color w:val="000000"/>
                <w:sz w:val="21"/>
              </w:rPr>
              <w:t>E1□</w:t>
            </w:r>
          </w:p>
        </w:tc>
        <w:tc>
          <w:tcPr>
            <w:tcW w:w="1165" w:type="pct"/>
            <w:gridSpan w:val="6"/>
            <w:tcBorders>
              <w:tl2br w:val="nil"/>
              <w:tr2bl w:val="nil"/>
            </w:tcBorders>
            <w:vAlign w:val="center"/>
          </w:tcPr>
          <w:p w14:paraId="7D803FC5">
            <w:pPr>
              <w:adjustRightInd w:val="0"/>
              <w:snapToGrid w:val="0"/>
              <w:spacing w:line="240" w:lineRule="auto"/>
              <w:jc w:val="center"/>
              <w:rPr>
                <w:color w:val="000000"/>
                <w:sz w:val="21"/>
              </w:rPr>
            </w:pPr>
            <w:r>
              <w:rPr>
                <w:rFonts w:hint="eastAsia"/>
                <w:color w:val="000000"/>
                <w:sz w:val="21"/>
              </w:rPr>
              <w:t>E2☑</w:t>
            </w:r>
          </w:p>
        </w:tc>
        <w:tc>
          <w:tcPr>
            <w:tcW w:w="1155" w:type="pct"/>
            <w:gridSpan w:val="6"/>
            <w:tcBorders>
              <w:tl2br w:val="nil"/>
              <w:tr2bl w:val="nil"/>
            </w:tcBorders>
            <w:vAlign w:val="center"/>
          </w:tcPr>
          <w:p w14:paraId="51439CCC">
            <w:pPr>
              <w:adjustRightInd w:val="0"/>
              <w:snapToGrid w:val="0"/>
              <w:spacing w:line="240" w:lineRule="auto"/>
              <w:jc w:val="center"/>
              <w:rPr>
                <w:color w:val="000000"/>
                <w:sz w:val="21"/>
              </w:rPr>
            </w:pPr>
            <w:r>
              <w:rPr>
                <w:rFonts w:hint="eastAsia"/>
                <w:color w:val="000000"/>
                <w:sz w:val="21"/>
              </w:rPr>
              <w:t>E3□</w:t>
            </w:r>
          </w:p>
        </w:tc>
      </w:tr>
      <w:tr w14:paraId="508D6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3" w:hRule="atLeast"/>
          <w:jc w:val="center"/>
        </w:trPr>
        <w:tc>
          <w:tcPr>
            <w:tcW w:w="768" w:type="pct"/>
            <w:gridSpan w:val="2"/>
            <w:vMerge w:val="continue"/>
            <w:tcBorders>
              <w:tl2br w:val="nil"/>
              <w:tr2bl w:val="nil"/>
            </w:tcBorders>
            <w:vAlign w:val="center"/>
          </w:tcPr>
          <w:p w14:paraId="3B338C9A">
            <w:pPr>
              <w:adjustRightInd w:val="0"/>
              <w:snapToGrid w:val="0"/>
              <w:spacing w:line="240" w:lineRule="auto"/>
              <w:jc w:val="center"/>
              <w:rPr>
                <w:color w:val="000000"/>
                <w:sz w:val="21"/>
              </w:rPr>
            </w:pPr>
          </w:p>
        </w:tc>
        <w:tc>
          <w:tcPr>
            <w:tcW w:w="380" w:type="pct"/>
            <w:tcBorders>
              <w:tl2br w:val="nil"/>
              <w:tr2bl w:val="nil"/>
            </w:tcBorders>
            <w:vAlign w:val="center"/>
          </w:tcPr>
          <w:p w14:paraId="26ACDB54">
            <w:pPr>
              <w:adjustRightInd w:val="0"/>
              <w:snapToGrid w:val="0"/>
              <w:spacing w:line="240" w:lineRule="auto"/>
              <w:jc w:val="center"/>
              <w:rPr>
                <w:color w:val="000000"/>
                <w:sz w:val="21"/>
              </w:rPr>
            </w:pPr>
            <w:r>
              <w:rPr>
                <w:rFonts w:hint="eastAsia"/>
                <w:color w:val="000000"/>
                <w:sz w:val="21"/>
              </w:rPr>
              <w:t>地下水</w:t>
            </w:r>
          </w:p>
        </w:tc>
        <w:tc>
          <w:tcPr>
            <w:tcW w:w="1529" w:type="pct"/>
            <w:gridSpan w:val="6"/>
            <w:tcBorders>
              <w:tl2br w:val="nil"/>
              <w:tr2bl w:val="nil"/>
            </w:tcBorders>
            <w:vAlign w:val="center"/>
          </w:tcPr>
          <w:p w14:paraId="14E1785E">
            <w:pPr>
              <w:adjustRightInd w:val="0"/>
              <w:snapToGrid w:val="0"/>
              <w:spacing w:line="240" w:lineRule="auto"/>
              <w:jc w:val="center"/>
              <w:rPr>
                <w:color w:val="000000"/>
                <w:sz w:val="21"/>
              </w:rPr>
            </w:pPr>
            <w:r>
              <w:rPr>
                <w:rFonts w:hint="eastAsia"/>
                <w:color w:val="000000"/>
                <w:sz w:val="21"/>
              </w:rPr>
              <w:t>E1□</w:t>
            </w:r>
          </w:p>
        </w:tc>
        <w:tc>
          <w:tcPr>
            <w:tcW w:w="1165" w:type="pct"/>
            <w:gridSpan w:val="6"/>
            <w:tcBorders>
              <w:tl2br w:val="nil"/>
              <w:tr2bl w:val="nil"/>
            </w:tcBorders>
            <w:vAlign w:val="center"/>
          </w:tcPr>
          <w:p w14:paraId="03439534">
            <w:pPr>
              <w:adjustRightInd w:val="0"/>
              <w:snapToGrid w:val="0"/>
              <w:spacing w:line="240" w:lineRule="auto"/>
              <w:jc w:val="center"/>
              <w:rPr>
                <w:rFonts w:hint="eastAsia" w:eastAsia="宋体"/>
                <w:color w:val="000000"/>
                <w:sz w:val="21"/>
                <w:lang w:eastAsia="zh-CN"/>
              </w:rPr>
            </w:pPr>
            <w:r>
              <w:rPr>
                <w:rFonts w:hint="eastAsia"/>
                <w:color w:val="000000"/>
                <w:sz w:val="21"/>
              </w:rPr>
              <w:t>E2</w:t>
            </w:r>
            <w:r>
              <w:rPr>
                <w:rFonts w:hint="eastAsia"/>
                <w:color w:val="000000"/>
                <w:sz w:val="21"/>
                <w:lang w:eastAsia="zh-CN"/>
              </w:rPr>
              <w:t>□</w:t>
            </w:r>
          </w:p>
        </w:tc>
        <w:tc>
          <w:tcPr>
            <w:tcW w:w="1155" w:type="pct"/>
            <w:gridSpan w:val="6"/>
            <w:tcBorders>
              <w:tl2br w:val="nil"/>
              <w:tr2bl w:val="nil"/>
            </w:tcBorders>
            <w:vAlign w:val="center"/>
          </w:tcPr>
          <w:p w14:paraId="67C41A7F">
            <w:pPr>
              <w:adjustRightInd w:val="0"/>
              <w:snapToGrid w:val="0"/>
              <w:spacing w:line="240" w:lineRule="auto"/>
              <w:jc w:val="center"/>
              <w:rPr>
                <w:rFonts w:hint="eastAsia" w:eastAsia="宋体"/>
                <w:color w:val="000000"/>
                <w:sz w:val="21"/>
                <w:lang w:eastAsia="zh-CN"/>
              </w:rPr>
            </w:pPr>
            <w:r>
              <w:rPr>
                <w:rFonts w:hint="eastAsia"/>
                <w:color w:val="000000"/>
                <w:sz w:val="21"/>
              </w:rPr>
              <w:t>E3</w:t>
            </w:r>
            <w:r>
              <w:rPr>
                <w:rFonts w:hint="eastAsia"/>
                <w:color w:val="000000"/>
                <w:sz w:val="21"/>
                <w:lang w:eastAsia="zh-CN"/>
              </w:rPr>
              <w:t>☑</w:t>
            </w:r>
          </w:p>
        </w:tc>
      </w:tr>
      <w:tr w14:paraId="4EE6F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tcBorders>
              <w:tl2br w:val="nil"/>
              <w:tr2bl w:val="nil"/>
            </w:tcBorders>
            <w:vAlign w:val="center"/>
          </w:tcPr>
          <w:p w14:paraId="5AE16D63">
            <w:pPr>
              <w:adjustRightInd w:val="0"/>
              <w:snapToGrid w:val="0"/>
              <w:spacing w:line="240" w:lineRule="auto"/>
              <w:jc w:val="center"/>
              <w:rPr>
                <w:color w:val="000000"/>
                <w:sz w:val="21"/>
              </w:rPr>
            </w:pPr>
            <w:r>
              <w:rPr>
                <w:rFonts w:hint="eastAsia"/>
                <w:color w:val="000000"/>
                <w:sz w:val="21"/>
              </w:rPr>
              <w:t>环境风险潜势</w:t>
            </w:r>
          </w:p>
        </w:tc>
        <w:tc>
          <w:tcPr>
            <w:tcW w:w="566" w:type="pct"/>
            <w:gridSpan w:val="2"/>
            <w:tcBorders>
              <w:tl2br w:val="nil"/>
              <w:tr2bl w:val="nil"/>
            </w:tcBorders>
            <w:vAlign w:val="center"/>
          </w:tcPr>
          <w:p w14:paraId="29C2F2F4">
            <w:pPr>
              <w:adjustRightInd w:val="0"/>
              <w:snapToGrid w:val="0"/>
              <w:spacing w:line="240" w:lineRule="auto"/>
              <w:jc w:val="center"/>
              <w:rPr>
                <w:color w:val="000000"/>
                <w:sz w:val="21"/>
              </w:rPr>
            </w:pPr>
            <w:r>
              <w:rPr>
                <w:color w:val="000000"/>
                <w:sz w:val="21"/>
              </w:rPr>
              <w:t>Ⅳ</w:t>
            </w:r>
            <w:r>
              <w:rPr>
                <w:rFonts w:hint="eastAsia"/>
                <w:color w:val="000000"/>
                <w:sz w:val="21"/>
              </w:rPr>
              <w:t>+□</w:t>
            </w:r>
          </w:p>
        </w:tc>
        <w:tc>
          <w:tcPr>
            <w:tcW w:w="567" w:type="pct"/>
            <w:gridSpan w:val="2"/>
            <w:tcBorders>
              <w:tl2br w:val="nil"/>
              <w:tr2bl w:val="nil"/>
            </w:tcBorders>
            <w:vAlign w:val="center"/>
          </w:tcPr>
          <w:p w14:paraId="45EC5CDB">
            <w:pPr>
              <w:adjustRightInd w:val="0"/>
              <w:snapToGrid w:val="0"/>
              <w:spacing w:line="240" w:lineRule="auto"/>
              <w:jc w:val="center"/>
              <w:rPr>
                <w:color w:val="000000"/>
                <w:sz w:val="21"/>
              </w:rPr>
            </w:pPr>
            <w:r>
              <w:rPr>
                <w:color w:val="000000"/>
                <w:sz w:val="21"/>
              </w:rPr>
              <w:t>Ⅳ</w:t>
            </w:r>
            <w:r>
              <w:rPr>
                <w:rFonts w:hint="eastAsia"/>
                <w:color w:val="000000"/>
                <w:sz w:val="21"/>
              </w:rPr>
              <w:t>□</w:t>
            </w:r>
          </w:p>
        </w:tc>
        <w:tc>
          <w:tcPr>
            <w:tcW w:w="1253" w:type="pct"/>
            <w:gridSpan w:val="7"/>
            <w:tcBorders>
              <w:tl2br w:val="nil"/>
              <w:tr2bl w:val="nil"/>
            </w:tcBorders>
            <w:vAlign w:val="center"/>
          </w:tcPr>
          <w:p w14:paraId="081AF34C">
            <w:pPr>
              <w:adjustRightInd w:val="0"/>
              <w:snapToGrid w:val="0"/>
              <w:spacing w:line="240" w:lineRule="auto"/>
              <w:jc w:val="center"/>
              <w:rPr>
                <w:rFonts w:hint="eastAsia" w:eastAsia="宋体"/>
                <w:color w:val="000000"/>
                <w:sz w:val="21"/>
                <w:lang w:eastAsia="zh-CN"/>
              </w:rPr>
            </w:pPr>
            <w:r>
              <w:rPr>
                <w:color w:val="000000"/>
                <w:sz w:val="21"/>
              </w:rPr>
              <w:t>Ⅲ</w:t>
            </w:r>
            <w:r>
              <w:rPr>
                <w:rFonts w:hint="eastAsia"/>
                <w:color w:val="000000"/>
                <w:sz w:val="21"/>
                <w:lang w:eastAsia="zh-CN"/>
              </w:rPr>
              <w:t>☑</w:t>
            </w:r>
          </w:p>
        </w:tc>
        <w:tc>
          <w:tcPr>
            <w:tcW w:w="1001" w:type="pct"/>
            <w:gridSpan w:val="7"/>
            <w:tcBorders>
              <w:tl2br w:val="nil"/>
              <w:tr2bl w:val="nil"/>
            </w:tcBorders>
            <w:vAlign w:val="center"/>
          </w:tcPr>
          <w:p w14:paraId="6A6DB74F">
            <w:pPr>
              <w:adjustRightInd w:val="0"/>
              <w:snapToGrid w:val="0"/>
              <w:spacing w:line="240" w:lineRule="auto"/>
              <w:jc w:val="center"/>
              <w:rPr>
                <w:color w:val="000000"/>
                <w:sz w:val="21"/>
              </w:rPr>
            </w:pPr>
            <w:r>
              <w:rPr>
                <w:color w:val="000000"/>
                <w:sz w:val="21"/>
              </w:rPr>
              <w:t>Ⅱ</w:t>
            </w:r>
            <w:r>
              <w:rPr>
                <w:rFonts w:hint="eastAsia"/>
                <w:color w:val="000000"/>
                <w:sz w:val="21"/>
              </w:rPr>
              <w:t>□</w:t>
            </w:r>
          </w:p>
        </w:tc>
        <w:tc>
          <w:tcPr>
            <w:tcW w:w="841" w:type="pct"/>
            <w:tcBorders>
              <w:tl2br w:val="nil"/>
              <w:tr2bl w:val="nil"/>
            </w:tcBorders>
            <w:vAlign w:val="center"/>
          </w:tcPr>
          <w:p w14:paraId="150B3119">
            <w:pPr>
              <w:adjustRightInd w:val="0"/>
              <w:snapToGrid w:val="0"/>
              <w:spacing w:line="240" w:lineRule="auto"/>
              <w:jc w:val="center"/>
              <w:rPr>
                <w:color w:val="000000"/>
                <w:sz w:val="21"/>
              </w:rPr>
            </w:pPr>
            <w:r>
              <w:rPr>
                <w:color w:val="000000"/>
                <w:sz w:val="21"/>
              </w:rPr>
              <w:t>Ⅰ</w:t>
            </w:r>
            <w:r>
              <w:rPr>
                <w:rFonts w:hint="eastAsia"/>
                <w:color w:val="000000"/>
                <w:sz w:val="21"/>
              </w:rPr>
              <w:t>□</w:t>
            </w:r>
          </w:p>
        </w:tc>
      </w:tr>
      <w:tr w14:paraId="64A91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tcBorders>
              <w:tl2br w:val="nil"/>
              <w:tr2bl w:val="nil"/>
            </w:tcBorders>
            <w:vAlign w:val="center"/>
          </w:tcPr>
          <w:p w14:paraId="46F38AFB">
            <w:pPr>
              <w:adjustRightInd w:val="0"/>
              <w:snapToGrid w:val="0"/>
              <w:spacing w:line="240" w:lineRule="auto"/>
              <w:jc w:val="center"/>
              <w:rPr>
                <w:color w:val="000000"/>
                <w:sz w:val="21"/>
              </w:rPr>
            </w:pPr>
            <w:r>
              <w:rPr>
                <w:rFonts w:hint="eastAsia"/>
                <w:color w:val="000000"/>
                <w:sz w:val="21"/>
              </w:rPr>
              <w:t>评价等级</w:t>
            </w:r>
          </w:p>
        </w:tc>
        <w:tc>
          <w:tcPr>
            <w:tcW w:w="1133" w:type="pct"/>
            <w:gridSpan w:val="4"/>
            <w:tcBorders>
              <w:tl2br w:val="nil"/>
              <w:tr2bl w:val="nil"/>
            </w:tcBorders>
            <w:vAlign w:val="center"/>
          </w:tcPr>
          <w:p w14:paraId="2C210905">
            <w:pPr>
              <w:adjustRightInd w:val="0"/>
              <w:snapToGrid w:val="0"/>
              <w:spacing w:line="240" w:lineRule="auto"/>
              <w:jc w:val="center"/>
              <w:rPr>
                <w:color w:val="000000"/>
                <w:sz w:val="21"/>
              </w:rPr>
            </w:pPr>
            <w:r>
              <w:rPr>
                <w:rFonts w:hint="eastAsia"/>
                <w:color w:val="000000"/>
                <w:sz w:val="21"/>
              </w:rPr>
              <w:t>一级□</w:t>
            </w:r>
          </w:p>
        </w:tc>
        <w:tc>
          <w:tcPr>
            <w:tcW w:w="1253" w:type="pct"/>
            <w:gridSpan w:val="7"/>
            <w:tcBorders>
              <w:tl2br w:val="nil"/>
              <w:tr2bl w:val="nil"/>
            </w:tcBorders>
            <w:vAlign w:val="center"/>
          </w:tcPr>
          <w:p w14:paraId="572E7639">
            <w:pPr>
              <w:adjustRightInd w:val="0"/>
              <w:snapToGrid w:val="0"/>
              <w:spacing w:line="240" w:lineRule="auto"/>
              <w:jc w:val="center"/>
              <w:rPr>
                <w:color w:val="000000"/>
                <w:sz w:val="21"/>
              </w:rPr>
            </w:pPr>
            <w:r>
              <w:rPr>
                <w:rFonts w:hint="eastAsia"/>
                <w:color w:val="000000"/>
                <w:sz w:val="21"/>
              </w:rPr>
              <w:t>二级☑</w:t>
            </w:r>
          </w:p>
        </w:tc>
        <w:tc>
          <w:tcPr>
            <w:tcW w:w="1001" w:type="pct"/>
            <w:gridSpan w:val="7"/>
            <w:tcBorders>
              <w:tl2br w:val="nil"/>
              <w:tr2bl w:val="nil"/>
            </w:tcBorders>
            <w:vAlign w:val="center"/>
          </w:tcPr>
          <w:p w14:paraId="54DF8102">
            <w:pPr>
              <w:adjustRightInd w:val="0"/>
              <w:snapToGrid w:val="0"/>
              <w:spacing w:line="240" w:lineRule="auto"/>
              <w:jc w:val="center"/>
              <w:rPr>
                <w:color w:val="000000"/>
                <w:sz w:val="21"/>
              </w:rPr>
            </w:pPr>
            <w:r>
              <w:rPr>
                <w:rFonts w:hint="eastAsia"/>
                <w:color w:val="000000"/>
                <w:sz w:val="21"/>
              </w:rPr>
              <w:t>三级□</w:t>
            </w:r>
          </w:p>
        </w:tc>
        <w:tc>
          <w:tcPr>
            <w:tcW w:w="841" w:type="pct"/>
            <w:tcBorders>
              <w:tl2br w:val="nil"/>
              <w:tr2bl w:val="nil"/>
            </w:tcBorders>
            <w:vAlign w:val="center"/>
          </w:tcPr>
          <w:p w14:paraId="3E0CFFCB">
            <w:pPr>
              <w:adjustRightInd w:val="0"/>
              <w:snapToGrid w:val="0"/>
              <w:spacing w:line="240" w:lineRule="auto"/>
              <w:jc w:val="center"/>
              <w:rPr>
                <w:color w:val="000000"/>
                <w:sz w:val="21"/>
              </w:rPr>
            </w:pPr>
            <w:r>
              <w:rPr>
                <w:rFonts w:hint="eastAsia"/>
                <w:color w:val="000000"/>
                <w:sz w:val="21"/>
              </w:rPr>
              <w:t>简单分析□</w:t>
            </w:r>
          </w:p>
        </w:tc>
      </w:tr>
      <w:tr w14:paraId="66691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restart"/>
            <w:tcBorders>
              <w:tl2br w:val="nil"/>
              <w:tr2bl w:val="nil"/>
            </w:tcBorders>
            <w:vAlign w:val="center"/>
          </w:tcPr>
          <w:p w14:paraId="66725112">
            <w:pPr>
              <w:adjustRightInd w:val="0"/>
              <w:snapToGrid w:val="0"/>
              <w:spacing w:line="240" w:lineRule="auto"/>
              <w:jc w:val="center"/>
              <w:rPr>
                <w:color w:val="000000"/>
                <w:sz w:val="21"/>
              </w:rPr>
            </w:pPr>
            <w:r>
              <w:rPr>
                <w:rFonts w:hint="eastAsia"/>
                <w:color w:val="000000"/>
                <w:sz w:val="21"/>
              </w:rPr>
              <w:t>风</w:t>
            </w:r>
          </w:p>
          <w:p w14:paraId="6408A416">
            <w:pPr>
              <w:adjustRightInd w:val="0"/>
              <w:snapToGrid w:val="0"/>
              <w:spacing w:line="240" w:lineRule="auto"/>
              <w:jc w:val="center"/>
              <w:rPr>
                <w:color w:val="000000"/>
                <w:sz w:val="21"/>
              </w:rPr>
            </w:pPr>
            <w:r>
              <w:rPr>
                <w:rFonts w:hint="eastAsia"/>
                <w:color w:val="000000"/>
                <w:sz w:val="21"/>
              </w:rPr>
              <w:t>险</w:t>
            </w:r>
          </w:p>
          <w:p w14:paraId="14D464DD">
            <w:pPr>
              <w:adjustRightInd w:val="0"/>
              <w:snapToGrid w:val="0"/>
              <w:spacing w:line="240" w:lineRule="auto"/>
              <w:jc w:val="center"/>
              <w:rPr>
                <w:color w:val="000000"/>
                <w:sz w:val="21"/>
              </w:rPr>
            </w:pPr>
            <w:r>
              <w:rPr>
                <w:rFonts w:hint="eastAsia"/>
                <w:color w:val="000000"/>
                <w:sz w:val="21"/>
              </w:rPr>
              <w:t>识</w:t>
            </w:r>
          </w:p>
          <w:p w14:paraId="560B263C">
            <w:pPr>
              <w:adjustRightInd w:val="0"/>
              <w:snapToGrid w:val="0"/>
              <w:spacing w:line="240" w:lineRule="auto"/>
              <w:jc w:val="center"/>
              <w:rPr>
                <w:color w:val="000000"/>
                <w:sz w:val="21"/>
              </w:rPr>
            </w:pPr>
            <w:r>
              <w:rPr>
                <w:rFonts w:hint="eastAsia"/>
                <w:color w:val="000000"/>
                <w:sz w:val="21"/>
              </w:rPr>
              <w:t>别</w:t>
            </w:r>
          </w:p>
        </w:tc>
        <w:tc>
          <w:tcPr>
            <w:tcW w:w="604" w:type="pct"/>
            <w:tcBorders>
              <w:tl2br w:val="nil"/>
              <w:tr2bl w:val="nil"/>
            </w:tcBorders>
            <w:vAlign w:val="center"/>
          </w:tcPr>
          <w:p w14:paraId="11E427AE">
            <w:pPr>
              <w:adjustRightInd w:val="0"/>
              <w:snapToGrid w:val="0"/>
              <w:spacing w:line="240" w:lineRule="auto"/>
              <w:jc w:val="center"/>
              <w:rPr>
                <w:color w:val="000000"/>
                <w:sz w:val="21"/>
              </w:rPr>
            </w:pPr>
            <w:r>
              <w:rPr>
                <w:rFonts w:hint="eastAsia"/>
                <w:color w:val="000000"/>
                <w:sz w:val="21"/>
              </w:rPr>
              <w:t>物质危险性</w:t>
            </w:r>
          </w:p>
        </w:tc>
        <w:tc>
          <w:tcPr>
            <w:tcW w:w="2034" w:type="pct"/>
            <w:gridSpan w:val="8"/>
            <w:tcBorders>
              <w:tl2br w:val="nil"/>
              <w:tr2bl w:val="nil"/>
            </w:tcBorders>
            <w:vAlign w:val="center"/>
          </w:tcPr>
          <w:p w14:paraId="52481031">
            <w:pPr>
              <w:adjustRightInd w:val="0"/>
              <w:snapToGrid w:val="0"/>
              <w:spacing w:line="240" w:lineRule="auto"/>
              <w:jc w:val="center"/>
              <w:rPr>
                <w:color w:val="000000"/>
                <w:sz w:val="21"/>
              </w:rPr>
            </w:pPr>
            <w:r>
              <w:rPr>
                <w:rFonts w:hint="eastAsia"/>
                <w:color w:val="000000"/>
                <w:sz w:val="21"/>
              </w:rPr>
              <w:t>有毒有害☑</w:t>
            </w:r>
          </w:p>
        </w:tc>
        <w:tc>
          <w:tcPr>
            <w:tcW w:w="2197" w:type="pct"/>
            <w:gridSpan w:val="11"/>
            <w:tcBorders>
              <w:tl2br w:val="nil"/>
              <w:tr2bl w:val="nil"/>
            </w:tcBorders>
            <w:vAlign w:val="center"/>
          </w:tcPr>
          <w:p w14:paraId="5E0DCE2C">
            <w:pPr>
              <w:adjustRightInd w:val="0"/>
              <w:snapToGrid w:val="0"/>
              <w:spacing w:line="240" w:lineRule="auto"/>
              <w:jc w:val="center"/>
              <w:rPr>
                <w:color w:val="000000"/>
                <w:sz w:val="21"/>
              </w:rPr>
            </w:pPr>
            <w:r>
              <w:rPr>
                <w:rFonts w:hint="eastAsia"/>
                <w:color w:val="000000"/>
                <w:sz w:val="21"/>
              </w:rPr>
              <w:t>易燃易爆☑</w:t>
            </w:r>
          </w:p>
        </w:tc>
      </w:tr>
      <w:tr w14:paraId="5DB88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1C29B2CD">
            <w:pPr>
              <w:adjustRightInd w:val="0"/>
              <w:snapToGrid w:val="0"/>
              <w:spacing w:line="240" w:lineRule="auto"/>
              <w:jc w:val="center"/>
              <w:rPr>
                <w:color w:val="000000"/>
                <w:sz w:val="21"/>
              </w:rPr>
            </w:pPr>
          </w:p>
        </w:tc>
        <w:tc>
          <w:tcPr>
            <w:tcW w:w="604" w:type="pct"/>
            <w:tcBorders>
              <w:tl2br w:val="nil"/>
              <w:tr2bl w:val="nil"/>
            </w:tcBorders>
            <w:vAlign w:val="center"/>
          </w:tcPr>
          <w:p w14:paraId="417B8AC8">
            <w:pPr>
              <w:adjustRightInd w:val="0"/>
              <w:snapToGrid w:val="0"/>
              <w:spacing w:line="240" w:lineRule="auto"/>
              <w:jc w:val="center"/>
              <w:rPr>
                <w:color w:val="000000"/>
                <w:sz w:val="21"/>
              </w:rPr>
            </w:pPr>
            <w:r>
              <w:rPr>
                <w:rFonts w:hint="eastAsia"/>
                <w:color w:val="000000"/>
                <w:sz w:val="21"/>
              </w:rPr>
              <w:t>环境风险类型</w:t>
            </w:r>
          </w:p>
        </w:tc>
        <w:tc>
          <w:tcPr>
            <w:tcW w:w="2034" w:type="pct"/>
            <w:gridSpan w:val="8"/>
            <w:tcBorders>
              <w:tl2br w:val="nil"/>
              <w:tr2bl w:val="nil"/>
            </w:tcBorders>
            <w:vAlign w:val="center"/>
          </w:tcPr>
          <w:p w14:paraId="7B4CD646">
            <w:pPr>
              <w:adjustRightInd w:val="0"/>
              <w:snapToGrid w:val="0"/>
              <w:spacing w:line="240" w:lineRule="auto"/>
              <w:jc w:val="center"/>
              <w:rPr>
                <w:color w:val="000000"/>
                <w:sz w:val="21"/>
              </w:rPr>
            </w:pPr>
            <w:r>
              <w:rPr>
                <w:rFonts w:hint="eastAsia"/>
                <w:color w:val="000000"/>
                <w:sz w:val="21"/>
              </w:rPr>
              <w:t>泄漏☑</w:t>
            </w:r>
          </w:p>
        </w:tc>
        <w:tc>
          <w:tcPr>
            <w:tcW w:w="2197" w:type="pct"/>
            <w:gridSpan w:val="11"/>
            <w:tcBorders>
              <w:tl2br w:val="nil"/>
              <w:tr2bl w:val="nil"/>
            </w:tcBorders>
            <w:vAlign w:val="center"/>
          </w:tcPr>
          <w:p w14:paraId="4387C28E">
            <w:pPr>
              <w:adjustRightInd w:val="0"/>
              <w:snapToGrid w:val="0"/>
              <w:spacing w:line="240" w:lineRule="auto"/>
              <w:jc w:val="center"/>
              <w:rPr>
                <w:color w:val="000000"/>
                <w:sz w:val="21"/>
              </w:rPr>
            </w:pPr>
            <w:r>
              <w:rPr>
                <w:rFonts w:hint="eastAsia"/>
                <w:color w:val="000000"/>
                <w:sz w:val="21"/>
              </w:rPr>
              <w:t>火灾、爆炸引发伴生/次生污染物排放☑</w:t>
            </w:r>
          </w:p>
        </w:tc>
      </w:tr>
      <w:tr w14:paraId="41E68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76" w:hRule="atLeast"/>
          <w:jc w:val="center"/>
        </w:trPr>
        <w:tc>
          <w:tcPr>
            <w:tcW w:w="164" w:type="pct"/>
            <w:vMerge w:val="continue"/>
            <w:tcBorders>
              <w:tl2br w:val="nil"/>
              <w:tr2bl w:val="nil"/>
            </w:tcBorders>
            <w:vAlign w:val="center"/>
          </w:tcPr>
          <w:p w14:paraId="58D93D6A">
            <w:pPr>
              <w:adjustRightInd w:val="0"/>
              <w:snapToGrid w:val="0"/>
              <w:spacing w:line="240" w:lineRule="auto"/>
              <w:jc w:val="center"/>
              <w:rPr>
                <w:color w:val="000000"/>
                <w:sz w:val="21"/>
              </w:rPr>
            </w:pPr>
          </w:p>
        </w:tc>
        <w:tc>
          <w:tcPr>
            <w:tcW w:w="604" w:type="pct"/>
            <w:tcBorders>
              <w:tl2br w:val="nil"/>
              <w:tr2bl w:val="nil"/>
            </w:tcBorders>
            <w:vAlign w:val="center"/>
          </w:tcPr>
          <w:p w14:paraId="5C41EA03">
            <w:pPr>
              <w:adjustRightInd w:val="0"/>
              <w:snapToGrid w:val="0"/>
              <w:spacing w:line="240" w:lineRule="auto"/>
              <w:jc w:val="center"/>
              <w:rPr>
                <w:color w:val="000000"/>
                <w:sz w:val="21"/>
              </w:rPr>
            </w:pPr>
            <w:r>
              <w:rPr>
                <w:rFonts w:hint="eastAsia"/>
                <w:color w:val="000000"/>
                <w:sz w:val="21"/>
              </w:rPr>
              <w:t>影响途径</w:t>
            </w:r>
          </w:p>
        </w:tc>
        <w:tc>
          <w:tcPr>
            <w:tcW w:w="1381" w:type="pct"/>
            <w:gridSpan w:val="6"/>
            <w:tcBorders>
              <w:tl2br w:val="nil"/>
              <w:tr2bl w:val="nil"/>
            </w:tcBorders>
            <w:vAlign w:val="center"/>
          </w:tcPr>
          <w:p w14:paraId="4C5F539E">
            <w:pPr>
              <w:adjustRightInd w:val="0"/>
              <w:snapToGrid w:val="0"/>
              <w:spacing w:line="240" w:lineRule="auto"/>
              <w:jc w:val="center"/>
              <w:rPr>
                <w:color w:val="000000"/>
                <w:sz w:val="21"/>
              </w:rPr>
            </w:pPr>
            <w:r>
              <w:rPr>
                <w:rFonts w:hint="eastAsia"/>
                <w:color w:val="000000"/>
                <w:sz w:val="21"/>
              </w:rPr>
              <w:t>大气☑</w:t>
            </w:r>
          </w:p>
        </w:tc>
        <w:tc>
          <w:tcPr>
            <w:tcW w:w="1434" w:type="pct"/>
            <w:gridSpan w:val="6"/>
            <w:tcBorders>
              <w:tl2br w:val="nil"/>
              <w:tr2bl w:val="nil"/>
            </w:tcBorders>
            <w:vAlign w:val="center"/>
          </w:tcPr>
          <w:p w14:paraId="3FB559BC">
            <w:pPr>
              <w:adjustRightInd w:val="0"/>
              <w:snapToGrid w:val="0"/>
              <w:spacing w:line="240" w:lineRule="auto"/>
              <w:jc w:val="center"/>
              <w:rPr>
                <w:color w:val="000000"/>
                <w:sz w:val="21"/>
              </w:rPr>
            </w:pPr>
            <w:r>
              <w:rPr>
                <w:rFonts w:hint="eastAsia"/>
                <w:color w:val="000000"/>
                <w:sz w:val="21"/>
              </w:rPr>
              <w:t>地表水☑</w:t>
            </w:r>
          </w:p>
        </w:tc>
        <w:tc>
          <w:tcPr>
            <w:tcW w:w="1415" w:type="pct"/>
            <w:gridSpan w:val="7"/>
            <w:tcBorders>
              <w:tl2br w:val="nil"/>
              <w:tr2bl w:val="nil"/>
            </w:tcBorders>
            <w:vAlign w:val="center"/>
          </w:tcPr>
          <w:p w14:paraId="7B76A59E">
            <w:pPr>
              <w:adjustRightInd w:val="0"/>
              <w:snapToGrid w:val="0"/>
              <w:spacing w:line="240" w:lineRule="auto"/>
              <w:jc w:val="center"/>
              <w:rPr>
                <w:color w:val="000000"/>
                <w:sz w:val="21"/>
              </w:rPr>
            </w:pPr>
            <w:r>
              <w:rPr>
                <w:rFonts w:hint="eastAsia"/>
                <w:color w:val="000000"/>
                <w:sz w:val="21"/>
              </w:rPr>
              <w:t>地下水□</w:t>
            </w:r>
          </w:p>
        </w:tc>
      </w:tr>
      <w:tr w14:paraId="0A0DC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tcBorders>
              <w:tl2br w:val="nil"/>
              <w:tr2bl w:val="nil"/>
            </w:tcBorders>
            <w:vAlign w:val="center"/>
          </w:tcPr>
          <w:p w14:paraId="2091A06C">
            <w:pPr>
              <w:adjustRightInd w:val="0"/>
              <w:snapToGrid w:val="0"/>
              <w:spacing w:line="240" w:lineRule="auto"/>
              <w:jc w:val="center"/>
              <w:rPr>
                <w:color w:val="000000"/>
                <w:sz w:val="21"/>
              </w:rPr>
            </w:pPr>
            <w:r>
              <w:rPr>
                <w:rFonts w:hint="eastAsia"/>
                <w:color w:val="000000"/>
                <w:sz w:val="21"/>
              </w:rPr>
              <w:t>事故情形分析</w:t>
            </w:r>
          </w:p>
        </w:tc>
        <w:tc>
          <w:tcPr>
            <w:tcW w:w="595" w:type="pct"/>
            <w:gridSpan w:val="3"/>
            <w:tcBorders>
              <w:tl2br w:val="nil"/>
              <w:tr2bl w:val="nil"/>
            </w:tcBorders>
            <w:vAlign w:val="center"/>
          </w:tcPr>
          <w:p w14:paraId="73DB0429">
            <w:pPr>
              <w:adjustRightInd w:val="0"/>
              <w:snapToGrid w:val="0"/>
              <w:spacing w:line="240" w:lineRule="auto"/>
              <w:jc w:val="center"/>
              <w:rPr>
                <w:color w:val="000000"/>
                <w:sz w:val="21"/>
              </w:rPr>
            </w:pPr>
            <w:r>
              <w:rPr>
                <w:rFonts w:hint="eastAsia"/>
                <w:color w:val="000000"/>
                <w:sz w:val="21"/>
              </w:rPr>
              <w:t>源强设定方法</w:t>
            </w:r>
          </w:p>
        </w:tc>
        <w:tc>
          <w:tcPr>
            <w:tcW w:w="1438" w:type="pct"/>
            <w:gridSpan w:val="5"/>
            <w:tcBorders>
              <w:tl2br w:val="nil"/>
              <w:tr2bl w:val="nil"/>
            </w:tcBorders>
            <w:vAlign w:val="center"/>
          </w:tcPr>
          <w:p w14:paraId="5B154348">
            <w:pPr>
              <w:adjustRightInd w:val="0"/>
              <w:snapToGrid w:val="0"/>
              <w:spacing w:line="240" w:lineRule="auto"/>
              <w:jc w:val="center"/>
              <w:rPr>
                <w:color w:val="000000"/>
                <w:sz w:val="21"/>
              </w:rPr>
            </w:pPr>
            <w:r>
              <w:rPr>
                <w:rFonts w:hint="eastAsia"/>
                <w:color w:val="000000"/>
                <w:sz w:val="21"/>
              </w:rPr>
              <w:t>计算法☑</w:t>
            </w:r>
          </w:p>
        </w:tc>
        <w:tc>
          <w:tcPr>
            <w:tcW w:w="1125" w:type="pct"/>
            <w:gridSpan w:val="6"/>
            <w:tcBorders>
              <w:tl2br w:val="nil"/>
              <w:tr2bl w:val="nil"/>
            </w:tcBorders>
            <w:vAlign w:val="center"/>
          </w:tcPr>
          <w:p w14:paraId="76C1B68C">
            <w:pPr>
              <w:adjustRightInd w:val="0"/>
              <w:snapToGrid w:val="0"/>
              <w:spacing w:line="240" w:lineRule="auto"/>
              <w:jc w:val="center"/>
              <w:rPr>
                <w:color w:val="000000"/>
                <w:sz w:val="21"/>
              </w:rPr>
            </w:pPr>
            <w:r>
              <w:rPr>
                <w:rFonts w:hint="eastAsia"/>
                <w:color w:val="000000"/>
                <w:sz w:val="21"/>
              </w:rPr>
              <w:t>经验估算法□</w:t>
            </w:r>
          </w:p>
        </w:tc>
        <w:tc>
          <w:tcPr>
            <w:tcW w:w="1071" w:type="pct"/>
            <w:gridSpan w:val="5"/>
            <w:tcBorders>
              <w:tl2br w:val="nil"/>
              <w:tr2bl w:val="nil"/>
            </w:tcBorders>
            <w:vAlign w:val="center"/>
          </w:tcPr>
          <w:p w14:paraId="25E9DF93">
            <w:pPr>
              <w:adjustRightInd w:val="0"/>
              <w:snapToGrid w:val="0"/>
              <w:spacing w:line="240" w:lineRule="auto"/>
              <w:jc w:val="center"/>
              <w:rPr>
                <w:color w:val="000000"/>
                <w:sz w:val="21"/>
              </w:rPr>
            </w:pPr>
            <w:r>
              <w:rPr>
                <w:rFonts w:hint="eastAsia"/>
                <w:color w:val="000000"/>
                <w:sz w:val="21"/>
              </w:rPr>
              <w:t>其他估算法□</w:t>
            </w:r>
          </w:p>
        </w:tc>
      </w:tr>
      <w:tr w14:paraId="4D941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restart"/>
            <w:tcBorders>
              <w:tl2br w:val="nil"/>
              <w:tr2bl w:val="nil"/>
            </w:tcBorders>
            <w:vAlign w:val="center"/>
          </w:tcPr>
          <w:p w14:paraId="138062B9">
            <w:pPr>
              <w:adjustRightInd w:val="0"/>
              <w:snapToGrid w:val="0"/>
              <w:spacing w:line="240" w:lineRule="auto"/>
              <w:jc w:val="center"/>
              <w:rPr>
                <w:color w:val="000000"/>
                <w:sz w:val="21"/>
              </w:rPr>
            </w:pPr>
            <w:r>
              <w:rPr>
                <w:rFonts w:hint="eastAsia"/>
                <w:color w:val="000000"/>
                <w:sz w:val="21"/>
              </w:rPr>
              <w:t>风</w:t>
            </w:r>
          </w:p>
          <w:p w14:paraId="31FCF971">
            <w:pPr>
              <w:adjustRightInd w:val="0"/>
              <w:snapToGrid w:val="0"/>
              <w:spacing w:line="240" w:lineRule="auto"/>
              <w:jc w:val="center"/>
              <w:rPr>
                <w:color w:val="000000"/>
                <w:sz w:val="21"/>
              </w:rPr>
            </w:pPr>
            <w:r>
              <w:rPr>
                <w:rFonts w:hint="eastAsia"/>
                <w:color w:val="000000"/>
                <w:sz w:val="21"/>
              </w:rPr>
              <w:t>险</w:t>
            </w:r>
          </w:p>
          <w:p w14:paraId="20247A67">
            <w:pPr>
              <w:adjustRightInd w:val="0"/>
              <w:snapToGrid w:val="0"/>
              <w:spacing w:line="240" w:lineRule="auto"/>
              <w:jc w:val="center"/>
              <w:rPr>
                <w:color w:val="000000"/>
                <w:sz w:val="21"/>
              </w:rPr>
            </w:pPr>
            <w:r>
              <w:rPr>
                <w:rFonts w:hint="eastAsia"/>
                <w:color w:val="000000"/>
                <w:sz w:val="21"/>
              </w:rPr>
              <w:t>预</w:t>
            </w:r>
          </w:p>
          <w:p w14:paraId="45EE3EC5">
            <w:pPr>
              <w:adjustRightInd w:val="0"/>
              <w:snapToGrid w:val="0"/>
              <w:spacing w:line="240" w:lineRule="auto"/>
              <w:jc w:val="center"/>
              <w:rPr>
                <w:color w:val="000000"/>
                <w:sz w:val="21"/>
              </w:rPr>
            </w:pPr>
            <w:r>
              <w:rPr>
                <w:rFonts w:hint="eastAsia"/>
                <w:color w:val="000000"/>
                <w:sz w:val="21"/>
              </w:rPr>
              <w:t>测</w:t>
            </w:r>
          </w:p>
          <w:p w14:paraId="60322010">
            <w:pPr>
              <w:adjustRightInd w:val="0"/>
              <w:snapToGrid w:val="0"/>
              <w:spacing w:line="240" w:lineRule="auto"/>
              <w:jc w:val="center"/>
              <w:rPr>
                <w:color w:val="000000"/>
                <w:sz w:val="21"/>
              </w:rPr>
            </w:pPr>
            <w:r>
              <w:rPr>
                <w:rFonts w:hint="eastAsia"/>
                <w:color w:val="000000"/>
                <w:sz w:val="21"/>
              </w:rPr>
              <w:t>与</w:t>
            </w:r>
          </w:p>
          <w:p w14:paraId="24C4A75D">
            <w:pPr>
              <w:adjustRightInd w:val="0"/>
              <w:snapToGrid w:val="0"/>
              <w:spacing w:line="240" w:lineRule="auto"/>
              <w:jc w:val="center"/>
              <w:rPr>
                <w:color w:val="000000"/>
                <w:sz w:val="21"/>
              </w:rPr>
            </w:pPr>
            <w:r>
              <w:rPr>
                <w:rFonts w:hint="eastAsia"/>
                <w:color w:val="000000"/>
                <w:sz w:val="21"/>
              </w:rPr>
              <w:t>评</w:t>
            </w:r>
          </w:p>
          <w:p w14:paraId="6C25B5C5">
            <w:pPr>
              <w:adjustRightInd w:val="0"/>
              <w:snapToGrid w:val="0"/>
              <w:spacing w:line="240" w:lineRule="auto"/>
              <w:jc w:val="center"/>
              <w:rPr>
                <w:color w:val="000000"/>
                <w:sz w:val="21"/>
              </w:rPr>
            </w:pPr>
            <w:r>
              <w:rPr>
                <w:rFonts w:hint="eastAsia"/>
                <w:color w:val="000000"/>
                <w:sz w:val="21"/>
              </w:rPr>
              <w:t>价</w:t>
            </w:r>
          </w:p>
        </w:tc>
        <w:tc>
          <w:tcPr>
            <w:tcW w:w="604" w:type="pct"/>
            <w:vMerge w:val="restart"/>
            <w:tcBorders>
              <w:tl2br w:val="nil"/>
              <w:tr2bl w:val="nil"/>
            </w:tcBorders>
            <w:vAlign w:val="center"/>
          </w:tcPr>
          <w:p w14:paraId="6A9A1E0A">
            <w:pPr>
              <w:adjustRightInd w:val="0"/>
              <w:snapToGrid w:val="0"/>
              <w:spacing w:line="240" w:lineRule="auto"/>
              <w:jc w:val="center"/>
              <w:rPr>
                <w:color w:val="000000"/>
                <w:sz w:val="21"/>
              </w:rPr>
            </w:pPr>
            <w:r>
              <w:rPr>
                <w:rFonts w:hint="eastAsia"/>
                <w:color w:val="000000"/>
                <w:sz w:val="21"/>
              </w:rPr>
              <w:t>大气</w:t>
            </w:r>
          </w:p>
        </w:tc>
        <w:tc>
          <w:tcPr>
            <w:tcW w:w="595" w:type="pct"/>
            <w:gridSpan w:val="3"/>
            <w:tcBorders>
              <w:tl2br w:val="nil"/>
              <w:tr2bl w:val="nil"/>
            </w:tcBorders>
            <w:vAlign w:val="center"/>
          </w:tcPr>
          <w:p w14:paraId="181C8B61">
            <w:pPr>
              <w:adjustRightInd w:val="0"/>
              <w:snapToGrid w:val="0"/>
              <w:spacing w:line="240" w:lineRule="auto"/>
              <w:jc w:val="center"/>
              <w:rPr>
                <w:color w:val="000000"/>
                <w:sz w:val="21"/>
              </w:rPr>
            </w:pPr>
            <w:r>
              <w:rPr>
                <w:rFonts w:hint="eastAsia"/>
                <w:color w:val="000000"/>
                <w:sz w:val="21"/>
              </w:rPr>
              <w:t>预测模型</w:t>
            </w:r>
          </w:p>
        </w:tc>
        <w:tc>
          <w:tcPr>
            <w:tcW w:w="1791" w:type="pct"/>
            <w:gridSpan w:val="8"/>
            <w:tcBorders>
              <w:tl2br w:val="nil"/>
              <w:tr2bl w:val="nil"/>
            </w:tcBorders>
            <w:vAlign w:val="center"/>
          </w:tcPr>
          <w:p w14:paraId="644ADFB0">
            <w:pPr>
              <w:adjustRightInd w:val="0"/>
              <w:snapToGrid w:val="0"/>
              <w:spacing w:line="240" w:lineRule="auto"/>
              <w:jc w:val="center"/>
              <w:rPr>
                <w:color w:val="000000"/>
                <w:sz w:val="21"/>
              </w:rPr>
            </w:pPr>
            <w:r>
              <w:rPr>
                <w:rFonts w:hint="eastAsia"/>
                <w:color w:val="000000"/>
                <w:sz w:val="21"/>
              </w:rPr>
              <w:t>SLAB☑</w:t>
            </w:r>
          </w:p>
        </w:tc>
        <w:tc>
          <w:tcPr>
            <w:tcW w:w="924" w:type="pct"/>
            <w:gridSpan w:val="6"/>
            <w:tcBorders>
              <w:tl2br w:val="nil"/>
              <w:tr2bl w:val="nil"/>
            </w:tcBorders>
            <w:vAlign w:val="center"/>
          </w:tcPr>
          <w:p w14:paraId="63C39B11">
            <w:pPr>
              <w:adjustRightInd w:val="0"/>
              <w:snapToGrid w:val="0"/>
              <w:spacing w:line="240" w:lineRule="auto"/>
              <w:jc w:val="center"/>
              <w:rPr>
                <w:color w:val="000000"/>
                <w:sz w:val="21"/>
              </w:rPr>
            </w:pPr>
            <w:r>
              <w:rPr>
                <w:rFonts w:hint="eastAsia"/>
                <w:color w:val="000000"/>
                <w:sz w:val="21"/>
              </w:rPr>
              <w:t>AFTOX☑</w:t>
            </w:r>
          </w:p>
        </w:tc>
        <w:tc>
          <w:tcPr>
            <w:tcW w:w="919" w:type="pct"/>
            <w:gridSpan w:val="2"/>
            <w:tcBorders>
              <w:tl2br w:val="nil"/>
              <w:tr2bl w:val="nil"/>
            </w:tcBorders>
            <w:vAlign w:val="center"/>
          </w:tcPr>
          <w:p w14:paraId="108354C6">
            <w:pPr>
              <w:adjustRightInd w:val="0"/>
              <w:snapToGrid w:val="0"/>
              <w:spacing w:line="240" w:lineRule="auto"/>
              <w:jc w:val="center"/>
              <w:rPr>
                <w:color w:val="000000"/>
                <w:sz w:val="21"/>
              </w:rPr>
            </w:pPr>
            <w:r>
              <w:rPr>
                <w:rFonts w:hint="eastAsia"/>
                <w:color w:val="000000"/>
                <w:sz w:val="21"/>
              </w:rPr>
              <w:t>其他□</w:t>
            </w:r>
          </w:p>
        </w:tc>
      </w:tr>
      <w:tr w14:paraId="28677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3C745D97">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26D057F5">
            <w:pPr>
              <w:adjustRightInd w:val="0"/>
              <w:snapToGrid w:val="0"/>
              <w:spacing w:line="240" w:lineRule="auto"/>
              <w:jc w:val="center"/>
              <w:rPr>
                <w:color w:val="000000"/>
                <w:sz w:val="21"/>
              </w:rPr>
            </w:pPr>
          </w:p>
        </w:tc>
        <w:tc>
          <w:tcPr>
            <w:tcW w:w="595" w:type="pct"/>
            <w:gridSpan w:val="3"/>
            <w:vMerge w:val="restart"/>
            <w:tcBorders>
              <w:tl2br w:val="nil"/>
              <w:tr2bl w:val="nil"/>
            </w:tcBorders>
            <w:vAlign w:val="center"/>
          </w:tcPr>
          <w:p w14:paraId="07FC03B1">
            <w:pPr>
              <w:adjustRightInd w:val="0"/>
              <w:snapToGrid w:val="0"/>
              <w:spacing w:line="240" w:lineRule="auto"/>
              <w:jc w:val="center"/>
              <w:rPr>
                <w:color w:val="000000"/>
                <w:sz w:val="21"/>
              </w:rPr>
            </w:pPr>
            <w:r>
              <w:rPr>
                <w:rFonts w:hint="eastAsia"/>
                <w:color w:val="000000"/>
                <w:sz w:val="21"/>
              </w:rPr>
              <w:t>预测结果</w:t>
            </w:r>
          </w:p>
        </w:tc>
        <w:tc>
          <w:tcPr>
            <w:tcW w:w="3635" w:type="pct"/>
            <w:gridSpan w:val="16"/>
            <w:tcBorders>
              <w:tl2br w:val="nil"/>
              <w:tr2bl w:val="nil"/>
            </w:tcBorders>
            <w:vAlign w:val="center"/>
          </w:tcPr>
          <w:p w14:paraId="0BFC7CA2">
            <w:pPr>
              <w:adjustRightInd w:val="0"/>
              <w:snapToGrid w:val="0"/>
              <w:spacing w:line="240" w:lineRule="auto"/>
              <w:jc w:val="center"/>
              <w:rPr>
                <w:color w:val="000000"/>
                <w:sz w:val="21"/>
              </w:rPr>
            </w:pPr>
            <w:r>
              <w:rPr>
                <w:rFonts w:hint="eastAsia"/>
                <w:color w:val="000000"/>
                <w:sz w:val="21"/>
              </w:rPr>
              <w:t>大气毒性终点浓度-1 最大影响范围</w:t>
            </w:r>
            <w:r>
              <w:rPr>
                <w:rFonts w:hint="eastAsia"/>
                <w:color w:val="000000"/>
                <w:sz w:val="21"/>
                <w:u w:val="single"/>
              </w:rPr>
              <w:t xml:space="preserve">  </w:t>
            </w:r>
            <w:r>
              <w:rPr>
                <w:rFonts w:hint="eastAsia"/>
                <w:color w:val="000000"/>
                <w:sz w:val="21"/>
                <w:u w:val="single"/>
                <w:lang w:val="en-US" w:eastAsia="zh-CN"/>
              </w:rPr>
              <w:t>740</w:t>
            </w:r>
            <w:r>
              <w:rPr>
                <w:rFonts w:hint="eastAsia"/>
                <w:color w:val="000000"/>
                <w:sz w:val="21"/>
                <w:u w:val="single"/>
              </w:rPr>
              <w:t xml:space="preserve">  </w:t>
            </w:r>
            <w:r>
              <w:rPr>
                <w:rFonts w:hint="eastAsia"/>
                <w:color w:val="000000"/>
                <w:sz w:val="21"/>
              </w:rPr>
              <w:t>m</w:t>
            </w:r>
          </w:p>
        </w:tc>
      </w:tr>
      <w:tr w14:paraId="4D13A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74D0F329">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5246F0CB">
            <w:pPr>
              <w:adjustRightInd w:val="0"/>
              <w:snapToGrid w:val="0"/>
              <w:spacing w:line="240" w:lineRule="auto"/>
              <w:jc w:val="center"/>
              <w:rPr>
                <w:color w:val="000000"/>
                <w:sz w:val="21"/>
              </w:rPr>
            </w:pPr>
          </w:p>
        </w:tc>
        <w:tc>
          <w:tcPr>
            <w:tcW w:w="595" w:type="pct"/>
            <w:gridSpan w:val="3"/>
            <w:vMerge w:val="continue"/>
            <w:tcBorders>
              <w:tl2br w:val="nil"/>
              <w:tr2bl w:val="nil"/>
            </w:tcBorders>
            <w:vAlign w:val="center"/>
          </w:tcPr>
          <w:p w14:paraId="09B181F2">
            <w:pPr>
              <w:adjustRightInd w:val="0"/>
              <w:snapToGrid w:val="0"/>
              <w:spacing w:line="240" w:lineRule="auto"/>
              <w:jc w:val="center"/>
              <w:rPr>
                <w:color w:val="000000"/>
                <w:sz w:val="21"/>
              </w:rPr>
            </w:pPr>
          </w:p>
        </w:tc>
        <w:tc>
          <w:tcPr>
            <w:tcW w:w="3635" w:type="pct"/>
            <w:gridSpan w:val="16"/>
            <w:tcBorders>
              <w:tl2br w:val="nil"/>
              <w:tr2bl w:val="nil"/>
            </w:tcBorders>
            <w:vAlign w:val="center"/>
          </w:tcPr>
          <w:p w14:paraId="03C4C4BD">
            <w:pPr>
              <w:adjustRightInd w:val="0"/>
              <w:snapToGrid w:val="0"/>
              <w:spacing w:line="240" w:lineRule="auto"/>
              <w:jc w:val="center"/>
              <w:rPr>
                <w:color w:val="000000"/>
                <w:sz w:val="21"/>
              </w:rPr>
            </w:pPr>
            <w:r>
              <w:rPr>
                <w:rFonts w:hint="eastAsia"/>
                <w:color w:val="000000"/>
                <w:sz w:val="21"/>
              </w:rPr>
              <w:t>大气毒性终点浓度-2 最大影响范围</w:t>
            </w:r>
            <w:r>
              <w:rPr>
                <w:rFonts w:hint="eastAsia"/>
                <w:color w:val="000000"/>
                <w:sz w:val="21"/>
                <w:u w:val="single"/>
              </w:rPr>
              <w:t xml:space="preserve">  </w:t>
            </w:r>
            <w:r>
              <w:rPr>
                <w:rFonts w:hint="eastAsia"/>
                <w:color w:val="000000"/>
                <w:sz w:val="21"/>
                <w:u w:val="single"/>
                <w:lang w:val="en-US" w:eastAsia="zh-CN"/>
              </w:rPr>
              <w:t>320</w:t>
            </w:r>
            <w:r>
              <w:rPr>
                <w:rFonts w:hint="eastAsia"/>
                <w:color w:val="000000"/>
                <w:sz w:val="21"/>
                <w:u w:val="single"/>
              </w:rPr>
              <w:t xml:space="preserve">0  </w:t>
            </w:r>
            <w:r>
              <w:rPr>
                <w:rFonts w:hint="eastAsia"/>
                <w:color w:val="000000"/>
                <w:sz w:val="21"/>
              </w:rPr>
              <w:t>m</w:t>
            </w:r>
          </w:p>
        </w:tc>
      </w:tr>
      <w:tr w14:paraId="673A8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6A74C284">
            <w:pPr>
              <w:adjustRightInd w:val="0"/>
              <w:snapToGrid w:val="0"/>
              <w:spacing w:line="240" w:lineRule="auto"/>
              <w:jc w:val="center"/>
              <w:rPr>
                <w:color w:val="000000"/>
                <w:sz w:val="21"/>
              </w:rPr>
            </w:pPr>
          </w:p>
        </w:tc>
        <w:tc>
          <w:tcPr>
            <w:tcW w:w="604" w:type="pct"/>
            <w:tcBorders>
              <w:tl2br w:val="nil"/>
              <w:tr2bl w:val="nil"/>
            </w:tcBorders>
            <w:vAlign w:val="center"/>
          </w:tcPr>
          <w:p w14:paraId="2F45CD58">
            <w:pPr>
              <w:adjustRightInd w:val="0"/>
              <w:snapToGrid w:val="0"/>
              <w:spacing w:line="240" w:lineRule="auto"/>
              <w:jc w:val="center"/>
              <w:rPr>
                <w:color w:val="000000"/>
                <w:sz w:val="21"/>
              </w:rPr>
            </w:pPr>
            <w:r>
              <w:rPr>
                <w:rFonts w:hint="eastAsia"/>
                <w:color w:val="000000"/>
                <w:sz w:val="21"/>
              </w:rPr>
              <w:t>地表水</w:t>
            </w:r>
          </w:p>
        </w:tc>
        <w:tc>
          <w:tcPr>
            <w:tcW w:w="4231" w:type="pct"/>
            <w:gridSpan w:val="19"/>
            <w:tcBorders>
              <w:tl2br w:val="nil"/>
              <w:tr2bl w:val="nil"/>
            </w:tcBorders>
            <w:vAlign w:val="center"/>
          </w:tcPr>
          <w:p w14:paraId="639525D7">
            <w:pPr>
              <w:adjustRightInd w:val="0"/>
              <w:snapToGrid w:val="0"/>
              <w:spacing w:line="240" w:lineRule="auto"/>
              <w:jc w:val="center"/>
              <w:rPr>
                <w:color w:val="000000"/>
                <w:sz w:val="21"/>
              </w:rPr>
            </w:pPr>
            <w:r>
              <w:rPr>
                <w:rFonts w:hint="eastAsia"/>
                <w:color w:val="000000"/>
                <w:sz w:val="21"/>
              </w:rPr>
              <w:t>最近环境敏感目标    ，到达时间    h</w:t>
            </w:r>
          </w:p>
        </w:tc>
      </w:tr>
      <w:tr w14:paraId="5FC8B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164" w:type="pct"/>
            <w:vMerge w:val="continue"/>
            <w:tcBorders>
              <w:tl2br w:val="nil"/>
              <w:tr2bl w:val="nil"/>
            </w:tcBorders>
            <w:vAlign w:val="center"/>
          </w:tcPr>
          <w:p w14:paraId="1922CAD0">
            <w:pPr>
              <w:adjustRightInd w:val="0"/>
              <w:snapToGrid w:val="0"/>
              <w:spacing w:line="240" w:lineRule="auto"/>
              <w:jc w:val="center"/>
              <w:rPr>
                <w:color w:val="000000"/>
                <w:sz w:val="21"/>
              </w:rPr>
            </w:pPr>
          </w:p>
        </w:tc>
        <w:tc>
          <w:tcPr>
            <w:tcW w:w="604" w:type="pct"/>
            <w:vMerge w:val="restart"/>
            <w:tcBorders>
              <w:tl2br w:val="nil"/>
              <w:tr2bl w:val="nil"/>
            </w:tcBorders>
            <w:vAlign w:val="center"/>
          </w:tcPr>
          <w:p w14:paraId="46C8BB8E">
            <w:pPr>
              <w:adjustRightInd w:val="0"/>
              <w:snapToGrid w:val="0"/>
              <w:spacing w:line="240" w:lineRule="auto"/>
              <w:jc w:val="center"/>
              <w:rPr>
                <w:color w:val="000000"/>
                <w:sz w:val="21"/>
              </w:rPr>
            </w:pPr>
            <w:r>
              <w:rPr>
                <w:rFonts w:hint="eastAsia"/>
                <w:color w:val="000000"/>
                <w:sz w:val="21"/>
              </w:rPr>
              <w:t>地下水</w:t>
            </w:r>
          </w:p>
        </w:tc>
        <w:tc>
          <w:tcPr>
            <w:tcW w:w="4231" w:type="pct"/>
            <w:gridSpan w:val="19"/>
            <w:tcBorders>
              <w:tl2br w:val="nil"/>
              <w:tr2bl w:val="nil"/>
            </w:tcBorders>
            <w:vAlign w:val="center"/>
          </w:tcPr>
          <w:p w14:paraId="02BC262E">
            <w:pPr>
              <w:adjustRightInd w:val="0"/>
              <w:snapToGrid w:val="0"/>
              <w:spacing w:line="240" w:lineRule="auto"/>
              <w:jc w:val="center"/>
              <w:rPr>
                <w:color w:val="000000"/>
                <w:sz w:val="21"/>
              </w:rPr>
            </w:pPr>
            <w:r>
              <w:rPr>
                <w:rFonts w:hint="eastAsia"/>
                <w:color w:val="000000"/>
                <w:sz w:val="21"/>
              </w:rPr>
              <w:t>下游厂区边界达到时间    d</w:t>
            </w:r>
          </w:p>
        </w:tc>
      </w:tr>
      <w:tr w14:paraId="0D4D8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3" w:hRule="atLeast"/>
          <w:jc w:val="center"/>
        </w:trPr>
        <w:tc>
          <w:tcPr>
            <w:tcW w:w="164" w:type="pct"/>
            <w:vMerge w:val="continue"/>
            <w:tcBorders>
              <w:tl2br w:val="nil"/>
              <w:tr2bl w:val="nil"/>
            </w:tcBorders>
            <w:vAlign w:val="center"/>
          </w:tcPr>
          <w:p w14:paraId="30702685">
            <w:pPr>
              <w:adjustRightInd w:val="0"/>
              <w:snapToGrid w:val="0"/>
              <w:spacing w:line="240" w:lineRule="auto"/>
              <w:jc w:val="center"/>
              <w:rPr>
                <w:color w:val="000000"/>
                <w:sz w:val="21"/>
              </w:rPr>
            </w:pPr>
          </w:p>
        </w:tc>
        <w:tc>
          <w:tcPr>
            <w:tcW w:w="604" w:type="pct"/>
            <w:vMerge w:val="continue"/>
            <w:tcBorders>
              <w:tl2br w:val="nil"/>
              <w:tr2bl w:val="nil"/>
            </w:tcBorders>
            <w:vAlign w:val="center"/>
          </w:tcPr>
          <w:p w14:paraId="18A4810D">
            <w:pPr>
              <w:adjustRightInd w:val="0"/>
              <w:snapToGrid w:val="0"/>
              <w:spacing w:line="240" w:lineRule="auto"/>
              <w:jc w:val="center"/>
              <w:rPr>
                <w:color w:val="000000"/>
                <w:sz w:val="21"/>
              </w:rPr>
            </w:pPr>
          </w:p>
        </w:tc>
        <w:tc>
          <w:tcPr>
            <w:tcW w:w="4231" w:type="pct"/>
            <w:gridSpan w:val="19"/>
            <w:tcBorders>
              <w:tl2br w:val="nil"/>
              <w:tr2bl w:val="nil"/>
            </w:tcBorders>
            <w:vAlign w:val="center"/>
          </w:tcPr>
          <w:p w14:paraId="2846F396">
            <w:pPr>
              <w:adjustRightInd w:val="0"/>
              <w:snapToGrid w:val="0"/>
              <w:spacing w:line="240" w:lineRule="auto"/>
              <w:jc w:val="center"/>
              <w:rPr>
                <w:color w:val="000000"/>
                <w:sz w:val="21"/>
              </w:rPr>
            </w:pPr>
            <w:r>
              <w:rPr>
                <w:rFonts w:hint="eastAsia"/>
                <w:color w:val="000000"/>
                <w:sz w:val="21"/>
              </w:rPr>
              <w:t>最近环境敏感目标    ，到达时间    d</w:t>
            </w:r>
          </w:p>
        </w:tc>
      </w:tr>
      <w:tr w14:paraId="6D584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tcBorders>
              <w:tl2br w:val="nil"/>
              <w:tr2bl w:val="nil"/>
            </w:tcBorders>
            <w:vAlign w:val="center"/>
          </w:tcPr>
          <w:p w14:paraId="4CF83BDF">
            <w:pPr>
              <w:adjustRightInd w:val="0"/>
              <w:snapToGrid w:val="0"/>
              <w:spacing w:line="240" w:lineRule="auto"/>
              <w:jc w:val="center"/>
              <w:rPr>
                <w:color w:val="000000"/>
                <w:sz w:val="21"/>
              </w:rPr>
            </w:pPr>
            <w:r>
              <w:rPr>
                <w:rFonts w:hint="eastAsia"/>
                <w:color w:val="000000"/>
                <w:sz w:val="21"/>
              </w:rPr>
              <w:t>重点风险防范措施</w:t>
            </w:r>
          </w:p>
        </w:tc>
        <w:tc>
          <w:tcPr>
            <w:tcW w:w="4231" w:type="pct"/>
            <w:gridSpan w:val="19"/>
            <w:tcBorders>
              <w:tl2br w:val="nil"/>
              <w:tr2bl w:val="nil"/>
            </w:tcBorders>
            <w:vAlign w:val="center"/>
          </w:tcPr>
          <w:p w14:paraId="136F4728">
            <w:pPr>
              <w:adjustRightInd w:val="0"/>
              <w:snapToGrid w:val="0"/>
              <w:spacing w:line="240" w:lineRule="auto"/>
              <w:jc w:val="center"/>
              <w:rPr>
                <w:color w:val="000000"/>
                <w:sz w:val="21"/>
              </w:rPr>
            </w:pPr>
            <w:r>
              <w:rPr>
                <w:rFonts w:hint="eastAsia"/>
                <w:color w:val="000000"/>
                <w:sz w:val="21"/>
              </w:rPr>
              <w:t>1、废水风险防范措施：生产车间内生产区设置环形事故导流沟，车间进出口设置漫坡，事故导流沟、车间地面以及围墙采用防腐、防渗涂层。原料及产品储罐组区、原料储罐组区均设置围堰，罐区地面以及围墙采用防腐、防渗涂层。项目设置有专人负责</w:t>
            </w:r>
            <w:r>
              <w:rPr>
                <w:rFonts w:hint="eastAsia"/>
                <w:color w:val="000000"/>
                <w:sz w:val="21"/>
                <w:lang w:eastAsia="zh-CN"/>
              </w:rPr>
              <w:t>事故应急池</w:t>
            </w:r>
            <w:r>
              <w:rPr>
                <w:rFonts w:hint="eastAsia"/>
                <w:color w:val="000000"/>
                <w:sz w:val="21"/>
              </w:rPr>
              <w:t>池、初期雨水池等阀门切换，只要做好日常管理及维护措施，保证消防废水、事故废水、泄漏化学品不会排放至项目外。</w:t>
            </w:r>
          </w:p>
          <w:p w14:paraId="0E629CF9">
            <w:pPr>
              <w:adjustRightInd w:val="0"/>
              <w:snapToGrid w:val="0"/>
              <w:spacing w:line="240" w:lineRule="auto"/>
              <w:jc w:val="center"/>
              <w:rPr>
                <w:color w:val="000000"/>
                <w:sz w:val="21"/>
              </w:rPr>
            </w:pPr>
            <w:r>
              <w:rPr>
                <w:rFonts w:hint="eastAsia"/>
                <w:color w:val="000000"/>
                <w:sz w:val="21"/>
              </w:rPr>
              <w:t>2、废气风险防范措施：设备定期维护、操作人员的教育培训、合理安排生产制度</w:t>
            </w:r>
          </w:p>
        </w:tc>
      </w:tr>
      <w:tr w14:paraId="777ED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3" w:hRule="atLeast"/>
          <w:jc w:val="center"/>
        </w:trPr>
        <w:tc>
          <w:tcPr>
            <w:tcW w:w="768" w:type="pct"/>
            <w:gridSpan w:val="2"/>
            <w:tcBorders>
              <w:tl2br w:val="nil"/>
              <w:tr2bl w:val="nil"/>
            </w:tcBorders>
            <w:vAlign w:val="center"/>
          </w:tcPr>
          <w:p w14:paraId="18437E8B">
            <w:pPr>
              <w:adjustRightInd w:val="0"/>
              <w:snapToGrid w:val="0"/>
              <w:spacing w:line="240" w:lineRule="auto"/>
              <w:jc w:val="center"/>
              <w:rPr>
                <w:color w:val="000000"/>
                <w:sz w:val="21"/>
              </w:rPr>
            </w:pPr>
            <w:r>
              <w:rPr>
                <w:rFonts w:hint="eastAsia"/>
                <w:color w:val="000000"/>
                <w:sz w:val="21"/>
              </w:rPr>
              <w:t>评估结论与建议</w:t>
            </w:r>
          </w:p>
        </w:tc>
        <w:tc>
          <w:tcPr>
            <w:tcW w:w="4231" w:type="pct"/>
            <w:gridSpan w:val="19"/>
            <w:tcBorders>
              <w:tl2br w:val="nil"/>
              <w:tr2bl w:val="nil"/>
            </w:tcBorders>
            <w:vAlign w:val="center"/>
          </w:tcPr>
          <w:p w14:paraId="410101E5">
            <w:pPr>
              <w:adjustRightInd w:val="0"/>
              <w:snapToGrid w:val="0"/>
              <w:spacing w:line="240" w:lineRule="auto"/>
              <w:jc w:val="center"/>
              <w:rPr>
                <w:color w:val="000000"/>
                <w:sz w:val="21"/>
              </w:rPr>
            </w:pPr>
            <w:r>
              <w:rPr>
                <w:rFonts w:hint="eastAsia"/>
                <w:color w:val="000000"/>
                <w:sz w:val="21"/>
              </w:rPr>
              <w:t>本项目危险物质的数量较少，环境风险水平较低，在落实相应风险防范和控制措施的情况下，总体环境风险可控。</w:t>
            </w:r>
          </w:p>
        </w:tc>
      </w:tr>
      <w:tr w14:paraId="68280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3" w:hRule="atLeast"/>
          <w:jc w:val="center"/>
        </w:trPr>
        <w:tc>
          <w:tcPr>
            <w:tcW w:w="5000" w:type="pct"/>
            <w:gridSpan w:val="21"/>
            <w:tcBorders>
              <w:tl2br w:val="nil"/>
              <w:tr2bl w:val="nil"/>
            </w:tcBorders>
            <w:vAlign w:val="center"/>
          </w:tcPr>
          <w:p w14:paraId="729296D2">
            <w:pPr>
              <w:adjustRightInd w:val="0"/>
              <w:snapToGrid w:val="0"/>
              <w:spacing w:line="240" w:lineRule="auto"/>
              <w:jc w:val="center"/>
              <w:rPr>
                <w:color w:val="000000"/>
                <w:sz w:val="21"/>
              </w:rPr>
            </w:pPr>
            <w:r>
              <w:rPr>
                <w:rFonts w:hint="eastAsia"/>
                <w:color w:val="000000"/>
                <w:sz w:val="21"/>
              </w:rPr>
              <w:t>注：“□”为勾选项；“</w:t>
            </w:r>
            <w:r>
              <w:rPr>
                <w:rFonts w:hint="eastAsia"/>
                <w:color w:val="000000"/>
                <w:sz w:val="21"/>
                <w:u w:val="single"/>
              </w:rPr>
              <w:t xml:space="preserve">    </w:t>
            </w:r>
            <w:r>
              <w:rPr>
                <w:rFonts w:hint="eastAsia"/>
                <w:color w:val="000000"/>
                <w:sz w:val="21"/>
              </w:rPr>
              <w:t>”为填写项。</w:t>
            </w:r>
          </w:p>
        </w:tc>
      </w:tr>
    </w:tbl>
    <w:p w14:paraId="2E901E7B">
      <w:pPr>
        <w:ind w:firstLine="480" w:firstLineChars="200"/>
        <w:rPr>
          <w:rFonts w:hint="eastAsia"/>
          <w:lang w:val="en-US" w:eastAsia="zh-CN"/>
        </w:rPr>
      </w:pPr>
    </w:p>
    <w:p w14:paraId="7851E2F2">
      <w:pPr>
        <w:ind w:firstLine="480" w:firstLineChars="200"/>
        <w:rPr>
          <w:rFonts w:hint="eastAsia"/>
          <w:lang w:val="en-US" w:eastAsia="zh-CN"/>
        </w:rPr>
      </w:pPr>
    </w:p>
    <w:p w14:paraId="1ADBAD55">
      <w:pPr>
        <w:ind w:firstLine="480" w:firstLineChars="200"/>
        <w:rPr>
          <w:rFonts w:hint="default"/>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A4E14">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E8982">
    <w:pPr>
      <w:tabs>
        <w:tab w:val="center" w:pos="4153"/>
        <w:tab w:val="right" w:pos="8306"/>
      </w:tabs>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078FF9">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51078FF9">
                    <w:pPr>
                      <w:pStyle w:val="7"/>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94798">
    <w:pPr>
      <w:tabs>
        <w:tab w:val="center" w:pos="4153"/>
        <w:tab w:val="right" w:pos="8306"/>
      </w:tabs>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22"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3A8907">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7"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1KF40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sNSheNAIAAGUEAAAOAAAAAAAAAAEAIAAAAB8BAABkcnMvZTJvRG9jLnhtbFBL&#10;BQYAAAAABgAGAFkBAADFBQAAAAA=&#10;">
              <v:fill on="f" focussize="0,0"/>
              <v:stroke on="f" weight="0.5pt"/>
              <v:imagedata o:title=""/>
              <o:lock v:ext="edit" aspectratio="f"/>
              <v:textbox inset="0mm,0mm,0mm,0mm" style="mso-fit-shape-to-text:t;">
                <w:txbxContent>
                  <w:p w14:paraId="543A8907">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794EA">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B8107D">
                          <w:pPr>
                            <w:pStyle w:val="7"/>
                          </w:pPr>
                          <w:r>
                            <w:t xml:space="preserve">— </w:t>
                          </w:r>
                          <w:r>
                            <w:fldChar w:fldCharType="begin"/>
                          </w:r>
                          <w:r>
                            <w:instrText xml:space="preserve"> PAGE  \* MERGEFORMAT </w:instrText>
                          </w:r>
                          <w:r>
                            <w:fldChar w:fldCharType="separate"/>
                          </w:r>
                          <w:r>
                            <w:t>94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14:paraId="7CB8107D">
                    <w:pPr>
                      <w:pStyle w:val="7"/>
                    </w:pPr>
                    <w:r>
                      <w:t xml:space="preserve">— </w:t>
                    </w:r>
                    <w:r>
                      <w:fldChar w:fldCharType="begin"/>
                    </w:r>
                    <w:r>
                      <w:instrText xml:space="preserve"> PAGE  \* MERGEFORMAT </w:instrText>
                    </w:r>
                    <w:r>
                      <w:fldChar w:fldCharType="separate"/>
                    </w:r>
                    <w:r>
                      <w:t>94</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D8BE8">
    <w:pPr>
      <w:tabs>
        <w:tab w:val="center" w:pos="4153"/>
        <w:tab w:val="right" w:pos="8306"/>
      </w:tabs>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B0FA19">
                          <w:pPr>
                            <w:pStyle w:val="7"/>
                          </w:pPr>
                          <w:r>
                            <w:t xml:space="preserve">— </w:t>
                          </w:r>
                          <w:r>
                            <w:fldChar w:fldCharType="begin"/>
                          </w:r>
                          <w:r>
                            <w:instrText xml:space="preserve"> PAGE  \* MERGEFORMAT </w:instrText>
                          </w:r>
                          <w:r>
                            <w:fldChar w:fldCharType="separate"/>
                          </w:r>
                          <w:r>
                            <w:t>112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cOrUyAgAAZ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sLsWRY2&#10;+t7yCB3l8Xa5D5AzqRxF6ZVAd+IG05f6dH4pcbz/3Keox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9w6tTICAABlBAAADgAAAAAAAAABACAAAAAfAQAAZHJzL2Uyb0RvYy54bWxQSwUG&#10;AAAAAAYABgBZAQAAwwUAAAAA&#10;">
              <v:fill on="f" focussize="0,0"/>
              <v:stroke on="f" weight="0.5pt"/>
              <v:imagedata o:title=""/>
              <o:lock v:ext="edit" aspectratio="f"/>
              <v:textbox inset="0mm,0mm,0mm,0mm" style="mso-fit-shape-to-text:t;">
                <w:txbxContent>
                  <w:p w14:paraId="6AB0FA19">
                    <w:pPr>
                      <w:pStyle w:val="7"/>
                    </w:pPr>
                    <w:r>
                      <w:t xml:space="preserve">— </w:t>
                    </w:r>
                    <w:r>
                      <w:fldChar w:fldCharType="begin"/>
                    </w:r>
                    <w:r>
                      <w:instrText xml:space="preserve"> PAGE  \* MERGEFORMAT </w:instrText>
                    </w:r>
                    <w:r>
                      <w:fldChar w:fldCharType="separate"/>
                    </w:r>
                    <w:r>
                      <w:t>112</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035F5">
    <w:pPr>
      <w:autoSpaceDE w:val="0"/>
      <w:autoSpaceDN w:val="0"/>
      <w:spacing w:line="14" w:lineRule="auto"/>
      <w:jc w:val="left"/>
      <w:rPr>
        <w:rFonts w:ascii="宋体" w:hAnsi="宋体" w:cs="宋体"/>
        <w:sz w:val="2"/>
      </w:rPr>
    </w:pPr>
    <w:r>
      <w:rPr>
        <w:sz w:val="2"/>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9336C9">
                          <w:pPr>
                            <w:pStyle w:val="7"/>
                          </w:pPr>
                          <w:r>
                            <w:t xml:space="preserve">— </w:t>
                          </w:r>
                          <w:r>
                            <w:fldChar w:fldCharType="begin"/>
                          </w:r>
                          <w:r>
                            <w:instrText xml:space="preserve"> PAGE  \* MERGEFORMAT </w:instrText>
                          </w:r>
                          <w:r>
                            <w:fldChar w:fldCharType="separate"/>
                          </w:r>
                          <w:r>
                            <w:t>139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dABc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hdABczAgAAZQQAAA4AAAAAAAAAAQAgAAAAHwEAAGRycy9lMm9Eb2MueG1sUEsF&#10;BgAAAAAGAAYAWQEAAMQFAAAAAA==&#10;">
              <v:fill on="f" focussize="0,0"/>
              <v:stroke on="f" weight="0.5pt"/>
              <v:imagedata o:title=""/>
              <o:lock v:ext="edit" aspectratio="f"/>
              <v:textbox inset="0mm,0mm,0mm,0mm" style="mso-fit-shape-to-text:t;">
                <w:txbxContent>
                  <w:p w14:paraId="119336C9">
                    <w:pPr>
                      <w:pStyle w:val="7"/>
                    </w:pPr>
                    <w:r>
                      <w:t xml:space="preserve">— </w:t>
                    </w:r>
                    <w:r>
                      <w:fldChar w:fldCharType="begin"/>
                    </w:r>
                    <w:r>
                      <w:instrText xml:space="preserve"> PAGE  \* MERGEFORMAT </w:instrText>
                    </w:r>
                    <w:r>
                      <w:fldChar w:fldCharType="separate"/>
                    </w:r>
                    <w:r>
                      <w:t>139</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hNzI5NDY0ZDMyYmU5NTVhNGU2YWQ2YmI3MjI3YWIifQ=="/>
    <w:docVar w:name="KSO_WPS_MARK_KEY" w:val="8b263241-6d2a-4ff4-b728-7b234b22b343"/>
  </w:docVars>
  <w:rsids>
    <w:rsidRoot w:val="00172A27"/>
    <w:rsid w:val="0000506E"/>
    <w:rsid w:val="000060B3"/>
    <w:rsid w:val="00017DE0"/>
    <w:rsid w:val="000331BC"/>
    <w:rsid w:val="0004364B"/>
    <w:rsid w:val="0005733A"/>
    <w:rsid w:val="00061B1F"/>
    <w:rsid w:val="000635A7"/>
    <w:rsid w:val="00064200"/>
    <w:rsid w:val="00064387"/>
    <w:rsid w:val="000733C4"/>
    <w:rsid w:val="00074783"/>
    <w:rsid w:val="000800DC"/>
    <w:rsid w:val="0008070B"/>
    <w:rsid w:val="000810AC"/>
    <w:rsid w:val="00081A02"/>
    <w:rsid w:val="00081B62"/>
    <w:rsid w:val="00082231"/>
    <w:rsid w:val="00092D38"/>
    <w:rsid w:val="0009377B"/>
    <w:rsid w:val="000970D7"/>
    <w:rsid w:val="000A20C9"/>
    <w:rsid w:val="000B058F"/>
    <w:rsid w:val="000B4467"/>
    <w:rsid w:val="000B4DB9"/>
    <w:rsid w:val="000C09AC"/>
    <w:rsid w:val="000C33EC"/>
    <w:rsid w:val="000C767F"/>
    <w:rsid w:val="000D5A44"/>
    <w:rsid w:val="000D7640"/>
    <w:rsid w:val="000E3ED2"/>
    <w:rsid w:val="000F3733"/>
    <w:rsid w:val="000F41AD"/>
    <w:rsid w:val="00105D96"/>
    <w:rsid w:val="001251A6"/>
    <w:rsid w:val="00126D33"/>
    <w:rsid w:val="00131F42"/>
    <w:rsid w:val="00132791"/>
    <w:rsid w:val="00133A32"/>
    <w:rsid w:val="001357F1"/>
    <w:rsid w:val="00136024"/>
    <w:rsid w:val="001371EB"/>
    <w:rsid w:val="00140FA8"/>
    <w:rsid w:val="00142FEB"/>
    <w:rsid w:val="00143A2D"/>
    <w:rsid w:val="00145A41"/>
    <w:rsid w:val="0014782D"/>
    <w:rsid w:val="00151675"/>
    <w:rsid w:val="00157435"/>
    <w:rsid w:val="00170A57"/>
    <w:rsid w:val="00170EED"/>
    <w:rsid w:val="00172A27"/>
    <w:rsid w:val="0017504D"/>
    <w:rsid w:val="0017671A"/>
    <w:rsid w:val="00177422"/>
    <w:rsid w:val="00184590"/>
    <w:rsid w:val="001851F1"/>
    <w:rsid w:val="001870D1"/>
    <w:rsid w:val="0018746C"/>
    <w:rsid w:val="0018781E"/>
    <w:rsid w:val="0019262D"/>
    <w:rsid w:val="0019624B"/>
    <w:rsid w:val="00196F32"/>
    <w:rsid w:val="001A04D3"/>
    <w:rsid w:val="001A1B35"/>
    <w:rsid w:val="001A48A2"/>
    <w:rsid w:val="001A5B49"/>
    <w:rsid w:val="001A6F61"/>
    <w:rsid w:val="001B72B8"/>
    <w:rsid w:val="001C49EE"/>
    <w:rsid w:val="001C69B3"/>
    <w:rsid w:val="001C70C8"/>
    <w:rsid w:val="001D5595"/>
    <w:rsid w:val="001D5C7B"/>
    <w:rsid w:val="001D7874"/>
    <w:rsid w:val="001D7F22"/>
    <w:rsid w:val="001E2B6F"/>
    <w:rsid w:val="001E51A3"/>
    <w:rsid w:val="001E7918"/>
    <w:rsid w:val="001E7952"/>
    <w:rsid w:val="001F0F17"/>
    <w:rsid w:val="001F2207"/>
    <w:rsid w:val="001F3347"/>
    <w:rsid w:val="001F6043"/>
    <w:rsid w:val="001F69E4"/>
    <w:rsid w:val="001F6A96"/>
    <w:rsid w:val="0021251A"/>
    <w:rsid w:val="002125B4"/>
    <w:rsid w:val="002155B8"/>
    <w:rsid w:val="002156F7"/>
    <w:rsid w:val="00223BCF"/>
    <w:rsid w:val="00224839"/>
    <w:rsid w:val="002249B2"/>
    <w:rsid w:val="00226574"/>
    <w:rsid w:val="002278EC"/>
    <w:rsid w:val="0023280E"/>
    <w:rsid w:val="002377D1"/>
    <w:rsid w:val="002447CD"/>
    <w:rsid w:val="00246708"/>
    <w:rsid w:val="002506BC"/>
    <w:rsid w:val="002506FA"/>
    <w:rsid w:val="00250C7B"/>
    <w:rsid w:val="00254345"/>
    <w:rsid w:val="00264557"/>
    <w:rsid w:val="002805AB"/>
    <w:rsid w:val="002810E6"/>
    <w:rsid w:val="00284204"/>
    <w:rsid w:val="00284830"/>
    <w:rsid w:val="00291773"/>
    <w:rsid w:val="00295960"/>
    <w:rsid w:val="002A010B"/>
    <w:rsid w:val="002A168C"/>
    <w:rsid w:val="002A3DC7"/>
    <w:rsid w:val="002A5ADB"/>
    <w:rsid w:val="002A6B97"/>
    <w:rsid w:val="002B49E2"/>
    <w:rsid w:val="002B5969"/>
    <w:rsid w:val="002B7021"/>
    <w:rsid w:val="002B7B00"/>
    <w:rsid w:val="002B7C44"/>
    <w:rsid w:val="002C2B17"/>
    <w:rsid w:val="002C5303"/>
    <w:rsid w:val="002C5CE3"/>
    <w:rsid w:val="002D1010"/>
    <w:rsid w:val="002D3DD0"/>
    <w:rsid w:val="002E1F3A"/>
    <w:rsid w:val="002E298A"/>
    <w:rsid w:val="002E4F14"/>
    <w:rsid w:val="002E6C89"/>
    <w:rsid w:val="00301978"/>
    <w:rsid w:val="00301AF8"/>
    <w:rsid w:val="0030332C"/>
    <w:rsid w:val="003051C2"/>
    <w:rsid w:val="0031048E"/>
    <w:rsid w:val="00312296"/>
    <w:rsid w:val="00314F0E"/>
    <w:rsid w:val="00321D8E"/>
    <w:rsid w:val="00325928"/>
    <w:rsid w:val="00332863"/>
    <w:rsid w:val="0033684D"/>
    <w:rsid w:val="00337B42"/>
    <w:rsid w:val="00341B42"/>
    <w:rsid w:val="0034348F"/>
    <w:rsid w:val="00343F85"/>
    <w:rsid w:val="00356653"/>
    <w:rsid w:val="0035743F"/>
    <w:rsid w:val="00357BE2"/>
    <w:rsid w:val="0036170C"/>
    <w:rsid w:val="00364C09"/>
    <w:rsid w:val="003668C8"/>
    <w:rsid w:val="00366E0F"/>
    <w:rsid w:val="00367788"/>
    <w:rsid w:val="00372093"/>
    <w:rsid w:val="0037232D"/>
    <w:rsid w:val="00381A72"/>
    <w:rsid w:val="00382095"/>
    <w:rsid w:val="00384676"/>
    <w:rsid w:val="00385490"/>
    <w:rsid w:val="00386C1F"/>
    <w:rsid w:val="003878F6"/>
    <w:rsid w:val="00390857"/>
    <w:rsid w:val="00395C29"/>
    <w:rsid w:val="003A09A6"/>
    <w:rsid w:val="003A2B2A"/>
    <w:rsid w:val="003A4BF3"/>
    <w:rsid w:val="003B420D"/>
    <w:rsid w:val="003B564B"/>
    <w:rsid w:val="003C6C16"/>
    <w:rsid w:val="003C7BE1"/>
    <w:rsid w:val="003D6F69"/>
    <w:rsid w:val="003D794D"/>
    <w:rsid w:val="003E3058"/>
    <w:rsid w:val="003E76A9"/>
    <w:rsid w:val="003F0809"/>
    <w:rsid w:val="003F0BBB"/>
    <w:rsid w:val="003F1876"/>
    <w:rsid w:val="003F6A8C"/>
    <w:rsid w:val="003F755C"/>
    <w:rsid w:val="00406F01"/>
    <w:rsid w:val="004111FE"/>
    <w:rsid w:val="00416D50"/>
    <w:rsid w:val="00416FD5"/>
    <w:rsid w:val="00417772"/>
    <w:rsid w:val="00420E6A"/>
    <w:rsid w:val="00425A9E"/>
    <w:rsid w:val="00426D6B"/>
    <w:rsid w:val="00431E6C"/>
    <w:rsid w:val="00433CE7"/>
    <w:rsid w:val="00436DAE"/>
    <w:rsid w:val="00440A08"/>
    <w:rsid w:val="0044310A"/>
    <w:rsid w:val="00445E53"/>
    <w:rsid w:val="0045203D"/>
    <w:rsid w:val="00452131"/>
    <w:rsid w:val="00452738"/>
    <w:rsid w:val="00456091"/>
    <w:rsid w:val="00460EB9"/>
    <w:rsid w:val="00463030"/>
    <w:rsid w:val="00466321"/>
    <w:rsid w:val="004715DE"/>
    <w:rsid w:val="00477246"/>
    <w:rsid w:val="00484B9B"/>
    <w:rsid w:val="004855F6"/>
    <w:rsid w:val="0048661E"/>
    <w:rsid w:val="004873E4"/>
    <w:rsid w:val="00492EB8"/>
    <w:rsid w:val="00494670"/>
    <w:rsid w:val="0049619B"/>
    <w:rsid w:val="004A3823"/>
    <w:rsid w:val="004A4061"/>
    <w:rsid w:val="004C3973"/>
    <w:rsid w:val="004D71E2"/>
    <w:rsid w:val="004E67C4"/>
    <w:rsid w:val="004E6946"/>
    <w:rsid w:val="004F0AF6"/>
    <w:rsid w:val="004F0BA4"/>
    <w:rsid w:val="004F1AD8"/>
    <w:rsid w:val="004F3314"/>
    <w:rsid w:val="005039CB"/>
    <w:rsid w:val="0050558F"/>
    <w:rsid w:val="00506286"/>
    <w:rsid w:val="00510813"/>
    <w:rsid w:val="00511990"/>
    <w:rsid w:val="00511DE0"/>
    <w:rsid w:val="005125F1"/>
    <w:rsid w:val="00514870"/>
    <w:rsid w:val="00514B9B"/>
    <w:rsid w:val="005173BC"/>
    <w:rsid w:val="00517F02"/>
    <w:rsid w:val="00524303"/>
    <w:rsid w:val="005258A2"/>
    <w:rsid w:val="00526AAC"/>
    <w:rsid w:val="00526AAF"/>
    <w:rsid w:val="00530C47"/>
    <w:rsid w:val="00531932"/>
    <w:rsid w:val="005401AE"/>
    <w:rsid w:val="0054049E"/>
    <w:rsid w:val="00542256"/>
    <w:rsid w:val="00542E07"/>
    <w:rsid w:val="00545424"/>
    <w:rsid w:val="00554A7B"/>
    <w:rsid w:val="0055572C"/>
    <w:rsid w:val="0056106A"/>
    <w:rsid w:val="005623C7"/>
    <w:rsid w:val="005707D2"/>
    <w:rsid w:val="005720AE"/>
    <w:rsid w:val="00573F2C"/>
    <w:rsid w:val="005758ED"/>
    <w:rsid w:val="005850A0"/>
    <w:rsid w:val="00594D77"/>
    <w:rsid w:val="005969E4"/>
    <w:rsid w:val="005A06B7"/>
    <w:rsid w:val="005A1759"/>
    <w:rsid w:val="005A36DA"/>
    <w:rsid w:val="005A68A7"/>
    <w:rsid w:val="005B625A"/>
    <w:rsid w:val="005D3516"/>
    <w:rsid w:val="005D36AB"/>
    <w:rsid w:val="005F6635"/>
    <w:rsid w:val="00601129"/>
    <w:rsid w:val="006014A9"/>
    <w:rsid w:val="00603FC5"/>
    <w:rsid w:val="0060684C"/>
    <w:rsid w:val="0061569B"/>
    <w:rsid w:val="00617CC3"/>
    <w:rsid w:val="0062495B"/>
    <w:rsid w:val="00624F6A"/>
    <w:rsid w:val="0062519D"/>
    <w:rsid w:val="006376EF"/>
    <w:rsid w:val="006377A6"/>
    <w:rsid w:val="00637A3D"/>
    <w:rsid w:val="006411EF"/>
    <w:rsid w:val="00647F49"/>
    <w:rsid w:val="00652929"/>
    <w:rsid w:val="006531A1"/>
    <w:rsid w:val="00664F4A"/>
    <w:rsid w:val="0067296D"/>
    <w:rsid w:val="006748B8"/>
    <w:rsid w:val="00676685"/>
    <w:rsid w:val="006775C3"/>
    <w:rsid w:val="00685160"/>
    <w:rsid w:val="00685648"/>
    <w:rsid w:val="006906B7"/>
    <w:rsid w:val="0069290A"/>
    <w:rsid w:val="0069775A"/>
    <w:rsid w:val="00697813"/>
    <w:rsid w:val="006A3EE8"/>
    <w:rsid w:val="006A72BF"/>
    <w:rsid w:val="006B03F2"/>
    <w:rsid w:val="006B2309"/>
    <w:rsid w:val="006B37DC"/>
    <w:rsid w:val="006B4F68"/>
    <w:rsid w:val="006B5BAA"/>
    <w:rsid w:val="006C0592"/>
    <w:rsid w:val="006C272E"/>
    <w:rsid w:val="006C5479"/>
    <w:rsid w:val="006C600E"/>
    <w:rsid w:val="006D13B5"/>
    <w:rsid w:val="006E12FF"/>
    <w:rsid w:val="006E607E"/>
    <w:rsid w:val="006E76AE"/>
    <w:rsid w:val="00706C5D"/>
    <w:rsid w:val="00722A5C"/>
    <w:rsid w:val="00723B0F"/>
    <w:rsid w:val="00732922"/>
    <w:rsid w:val="00733520"/>
    <w:rsid w:val="007442E9"/>
    <w:rsid w:val="0075162E"/>
    <w:rsid w:val="00754034"/>
    <w:rsid w:val="00754BF4"/>
    <w:rsid w:val="00756556"/>
    <w:rsid w:val="007618C4"/>
    <w:rsid w:val="00767980"/>
    <w:rsid w:val="00770B19"/>
    <w:rsid w:val="0077463F"/>
    <w:rsid w:val="007836EA"/>
    <w:rsid w:val="00784CDA"/>
    <w:rsid w:val="007903B0"/>
    <w:rsid w:val="007906C4"/>
    <w:rsid w:val="007940EA"/>
    <w:rsid w:val="007967E8"/>
    <w:rsid w:val="007A2170"/>
    <w:rsid w:val="007A22BF"/>
    <w:rsid w:val="007A3323"/>
    <w:rsid w:val="007B72B8"/>
    <w:rsid w:val="007B7A58"/>
    <w:rsid w:val="007C21B5"/>
    <w:rsid w:val="007C447F"/>
    <w:rsid w:val="007D474C"/>
    <w:rsid w:val="007E4BD2"/>
    <w:rsid w:val="007F0A49"/>
    <w:rsid w:val="007F5E7B"/>
    <w:rsid w:val="007F7422"/>
    <w:rsid w:val="00801393"/>
    <w:rsid w:val="00802F88"/>
    <w:rsid w:val="0081293E"/>
    <w:rsid w:val="00815465"/>
    <w:rsid w:val="00817E9A"/>
    <w:rsid w:val="0082577F"/>
    <w:rsid w:val="008306BD"/>
    <w:rsid w:val="0083161A"/>
    <w:rsid w:val="00831A80"/>
    <w:rsid w:val="00833743"/>
    <w:rsid w:val="008340A4"/>
    <w:rsid w:val="008357AC"/>
    <w:rsid w:val="008416B5"/>
    <w:rsid w:val="00857979"/>
    <w:rsid w:val="00861BE7"/>
    <w:rsid w:val="0087135F"/>
    <w:rsid w:val="00872D94"/>
    <w:rsid w:val="00876ADF"/>
    <w:rsid w:val="00880364"/>
    <w:rsid w:val="008803A3"/>
    <w:rsid w:val="00884DAC"/>
    <w:rsid w:val="0088783D"/>
    <w:rsid w:val="00891592"/>
    <w:rsid w:val="00891E9E"/>
    <w:rsid w:val="0089476A"/>
    <w:rsid w:val="008A0A77"/>
    <w:rsid w:val="008A1B72"/>
    <w:rsid w:val="008A2CE2"/>
    <w:rsid w:val="008A2F68"/>
    <w:rsid w:val="008B0C73"/>
    <w:rsid w:val="008B4CC7"/>
    <w:rsid w:val="008B4FA6"/>
    <w:rsid w:val="008B5282"/>
    <w:rsid w:val="008B6912"/>
    <w:rsid w:val="008B7906"/>
    <w:rsid w:val="008B7C17"/>
    <w:rsid w:val="008C2D01"/>
    <w:rsid w:val="008C40E6"/>
    <w:rsid w:val="008C71A0"/>
    <w:rsid w:val="008D0F7A"/>
    <w:rsid w:val="008D21D7"/>
    <w:rsid w:val="008D68E4"/>
    <w:rsid w:val="008E0506"/>
    <w:rsid w:val="008E0CFF"/>
    <w:rsid w:val="008E4A10"/>
    <w:rsid w:val="008E5D6B"/>
    <w:rsid w:val="008E76F0"/>
    <w:rsid w:val="008F15FE"/>
    <w:rsid w:val="008F2D29"/>
    <w:rsid w:val="008F5187"/>
    <w:rsid w:val="008F5311"/>
    <w:rsid w:val="008F60D8"/>
    <w:rsid w:val="00902727"/>
    <w:rsid w:val="0090312B"/>
    <w:rsid w:val="009054EF"/>
    <w:rsid w:val="009076CD"/>
    <w:rsid w:val="0091175C"/>
    <w:rsid w:val="009144D3"/>
    <w:rsid w:val="0091736D"/>
    <w:rsid w:val="00921598"/>
    <w:rsid w:val="00924602"/>
    <w:rsid w:val="00927DE1"/>
    <w:rsid w:val="0093037A"/>
    <w:rsid w:val="0093269A"/>
    <w:rsid w:val="00935717"/>
    <w:rsid w:val="0094154D"/>
    <w:rsid w:val="00944B3B"/>
    <w:rsid w:val="0095155F"/>
    <w:rsid w:val="00954429"/>
    <w:rsid w:val="009563CE"/>
    <w:rsid w:val="00960FF1"/>
    <w:rsid w:val="00961532"/>
    <w:rsid w:val="009646E5"/>
    <w:rsid w:val="00976328"/>
    <w:rsid w:val="0097680D"/>
    <w:rsid w:val="00982438"/>
    <w:rsid w:val="0098404C"/>
    <w:rsid w:val="00985283"/>
    <w:rsid w:val="00994879"/>
    <w:rsid w:val="00994F55"/>
    <w:rsid w:val="00995992"/>
    <w:rsid w:val="009A03E5"/>
    <w:rsid w:val="009A0F3B"/>
    <w:rsid w:val="009A1BB4"/>
    <w:rsid w:val="009A2628"/>
    <w:rsid w:val="009A3200"/>
    <w:rsid w:val="009A3CFE"/>
    <w:rsid w:val="009B0411"/>
    <w:rsid w:val="009B0897"/>
    <w:rsid w:val="009B0938"/>
    <w:rsid w:val="009B2D03"/>
    <w:rsid w:val="009B59EA"/>
    <w:rsid w:val="009B681E"/>
    <w:rsid w:val="009B7BD9"/>
    <w:rsid w:val="009C7DD5"/>
    <w:rsid w:val="009D00B1"/>
    <w:rsid w:val="009E227D"/>
    <w:rsid w:val="009E5019"/>
    <w:rsid w:val="009F431E"/>
    <w:rsid w:val="009F53B7"/>
    <w:rsid w:val="00A04F1B"/>
    <w:rsid w:val="00A0501B"/>
    <w:rsid w:val="00A06C02"/>
    <w:rsid w:val="00A14947"/>
    <w:rsid w:val="00A15483"/>
    <w:rsid w:val="00A21BAE"/>
    <w:rsid w:val="00A32A83"/>
    <w:rsid w:val="00A368DB"/>
    <w:rsid w:val="00A3780A"/>
    <w:rsid w:val="00A404AC"/>
    <w:rsid w:val="00A423AA"/>
    <w:rsid w:val="00A43D4F"/>
    <w:rsid w:val="00A446D3"/>
    <w:rsid w:val="00A46CB2"/>
    <w:rsid w:val="00A53EC6"/>
    <w:rsid w:val="00A55C0F"/>
    <w:rsid w:val="00A57FE2"/>
    <w:rsid w:val="00A61B0D"/>
    <w:rsid w:val="00A66A7E"/>
    <w:rsid w:val="00A72725"/>
    <w:rsid w:val="00A83BDB"/>
    <w:rsid w:val="00A8713F"/>
    <w:rsid w:val="00A90BA1"/>
    <w:rsid w:val="00A9714E"/>
    <w:rsid w:val="00A97A9A"/>
    <w:rsid w:val="00AA0671"/>
    <w:rsid w:val="00AA0F5D"/>
    <w:rsid w:val="00AA2531"/>
    <w:rsid w:val="00AB1E09"/>
    <w:rsid w:val="00AB2AF7"/>
    <w:rsid w:val="00AB5330"/>
    <w:rsid w:val="00AB69FE"/>
    <w:rsid w:val="00AB7747"/>
    <w:rsid w:val="00AC0A28"/>
    <w:rsid w:val="00AC14CE"/>
    <w:rsid w:val="00AC2A56"/>
    <w:rsid w:val="00AC3BB7"/>
    <w:rsid w:val="00AD055E"/>
    <w:rsid w:val="00AD47A7"/>
    <w:rsid w:val="00AE594C"/>
    <w:rsid w:val="00AE6F1A"/>
    <w:rsid w:val="00AF0CBF"/>
    <w:rsid w:val="00AF257F"/>
    <w:rsid w:val="00AF33CF"/>
    <w:rsid w:val="00AF4D50"/>
    <w:rsid w:val="00AF6179"/>
    <w:rsid w:val="00B0142F"/>
    <w:rsid w:val="00B1295A"/>
    <w:rsid w:val="00B13E38"/>
    <w:rsid w:val="00B20A45"/>
    <w:rsid w:val="00B214A1"/>
    <w:rsid w:val="00B21BA3"/>
    <w:rsid w:val="00B21DE2"/>
    <w:rsid w:val="00B22C5C"/>
    <w:rsid w:val="00B24F30"/>
    <w:rsid w:val="00B2702A"/>
    <w:rsid w:val="00B31ABF"/>
    <w:rsid w:val="00B33BE3"/>
    <w:rsid w:val="00B34D20"/>
    <w:rsid w:val="00B53B5D"/>
    <w:rsid w:val="00B53CED"/>
    <w:rsid w:val="00B6055E"/>
    <w:rsid w:val="00B6273B"/>
    <w:rsid w:val="00B6317D"/>
    <w:rsid w:val="00B6359B"/>
    <w:rsid w:val="00B65573"/>
    <w:rsid w:val="00B66090"/>
    <w:rsid w:val="00B666DF"/>
    <w:rsid w:val="00B67219"/>
    <w:rsid w:val="00B710D3"/>
    <w:rsid w:val="00B7301E"/>
    <w:rsid w:val="00B75CDF"/>
    <w:rsid w:val="00B76EF6"/>
    <w:rsid w:val="00B7723F"/>
    <w:rsid w:val="00B80534"/>
    <w:rsid w:val="00B8101D"/>
    <w:rsid w:val="00B818D5"/>
    <w:rsid w:val="00B8433C"/>
    <w:rsid w:val="00B86699"/>
    <w:rsid w:val="00B87491"/>
    <w:rsid w:val="00B95149"/>
    <w:rsid w:val="00B9567D"/>
    <w:rsid w:val="00BA129E"/>
    <w:rsid w:val="00BA29E9"/>
    <w:rsid w:val="00BA4238"/>
    <w:rsid w:val="00BA52B5"/>
    <w:rsid w:val="00BA7142"/>
    <w:rsid w:val="00BB237C"/>
    <w:rsid w:val="00BB2CF4"/>
    <w:rsid w:val="00BB41A3"/>
    <w:rsid w:val="00BC3126"/>
    <w:rsid w:val="00BC32DC"/>
    <w:rsid w:val="00BC35B6"/>
    <w:rsid w:val="00BC4805"/>
    <w:rsid w:val="00BD1B51"/>
    <w:rsid w:val="00BD3436"/>
    <w:rsid w:val="00BD4596"/>
    <w:rsid w:val="00BD6836"/>
    <w:rsid w:val="00BE1273"/>
    <w:rsid w:val="00BE1405"/>
    <w:rsid w:val="00BE2BB9"/>
    <w:rsid w:val="00BE312D"/>
    <w:rsid w:val="00BE4144"/>
    <w:rsid w:val="00BE4938"/>
    <w:rsid w:val="00BE7767"/>
    <w:rsid w:val="00BF02B5"/>
    <w:rsid w:val="00BF1C20"/>
    <w:rsid w:val="00BF6EE4"/>
    <w:rsid w:val="00C10578"/>
    <w:rsid w:val="00C135BC"/>
    <w:rsid w:val="00C15C95"/>
    <w:rsid w:val="00C178BC"/>
    <w:rsid w:val="00C2596A"/>
    <w:rsid w:val="00C26B1F"/>
    <w:rsid w:val="00C27537"/>
    <w:rsid w:val="00C2795D"/>
    <w:rsid w:val="00C328FE"/>
    <w:rsid w:val="00C33507"/>
    <w:rsid w:val="00C4409D"/>
    <w:rsid w:val="00C44E72"/>
    <w:rsid w:val="00C45A06"/>
    <w:rsid w:val="00C478BA"/>
    <w:rsid w:val="00C47E5B"/>
    <w:rsid w:val="00C60722"/>
    <w:rsid w:val="00C618B9"/>
    <w:rsid w:val="00C61E4B"/>
    <w:rsid w:val="00C64BFF"/>
    <w:rsid w:val="00C704E9"/>
    <w:rsid w:val="00C73D34"/>
    <w:rsid w:val="00C763C9"/>
    <w:rsid w:val="00C80057"/>
    <w:rsid w:val="00C82232"/>
    <w:rsid w:val="00C82913"/>
    <w:rsid w:val="00C8324B"/>
    <w:rsid w:val="00C8338D"/>
    <w:rsid w:val="00C85F20"/>
    <w:rsid w:val="00C972B1"/>
    <w:rsid w:val="00CA2CCE"/>
    <w:rsid w:val="00CA43FD"/>
    <w:rsid w:val="00CA73B5"/>
    <w:rsid w:val="00CA7DE0"/>
    <w:rsid w:val="00CA7EF8"/>
    <w:rsid w:val="00CB3906"/>
    <w:rsid w:val="00CB51BD"/>
    <w:rsid w:val="00CB5F67"/>
    <w:rsid w:val="00CC101C"/>
    <w:rsid w:val="00CC406D"/>
    <w:rsid w:val="00CC489B"/>
    <w:rsid w:val="00CD2BCD"/>
    <w:rsid w:val="00CD3A4C"/>
    <w:rsid w:val="00CD67BE"/>
    <w:rsid w:val="00CE10E9"/>
    <w:rsid w:val="00CE2910"/>
    <w:rsid w:val="00CE4097"/>
    <w:rsid w:val="00CE5393"/>
    <w:rsid w:val="00CF2DF8"/>
    <w:rsid w:val="00CF36BE"/>
    <w:rsid w:val="00CF6000"/>
    <w:rsid w:val="00CF7451"/>
    <w:rsid w:val="00D003F3"/>
    <w:rsid w:val="00D0364F"/>
    <w:rsid w:val="00D06834"/>
    <w:rsid w:val="00D072EB"/>
    <w:rsid w:val="00D07C8F"/>
    <w:rsid w:val="00D10D3A"/>
    <w:rsid w:val="00D116DE"/>
    <w:rsid w:val="00D22BFD"/>
    <w:rsid w:val="00D308ED"/>
    <w:rsid w:val="00D36D86"/>
    <w:rsid w:val="00D428AA"/>
    <w:rsid w:val="00D43243"/>
    <w:rsid w:val="00D446A6"/>
    <w:rsid w:val="00D45070"/>
    <w:rsid w:val="00D45596"/>
    <w:rsid w:val="00D50A34"/>
    <w:rsid w:val="00D53EFA"/>
    <w:rsid w:val="00D57D65"/>
    <w:rsid w:val="00D65128"/>
    <w:rsid w:val="00D658ED"/>
    <w:rsid w:val="00D840D9"/>
    <w:rsid w:val="00D91918"/>
    <w:rsid w:val="00D94A7C"/>
    <w:rsid w:val="00D953E6"/>
    <w:rsid w:val="00D95896"/>
    <w:rsid w:val="00DB112A"/>
    <w:rsid w:val="00DB2983"/>
    <w:rsid w:val="00DC1257"/>
    <w:rsid w:val="00DC1A0D"/>
    <w:rsid w:val="00DC3DC0"/>
    <w:rsid w:val="00DC5B2B"/>
    <w:rsid w:val="00DC6950"/>
    <w:rsid w:val="00DD318D"/>
    <w:rsid w:val="00DE3B58"/>
    <w:rsid w:val="00DE4350"/>
    <w:rsid w:val="00DE6286"/>
    <w:rsid w:val="00DF05D9"/>
    <w:rsid w:val="00DF2E12"/>
    <w:rsid w:val="00DF514A"/>
    <w:rsid w:val="00DF6690"/>
    <w:rsid w:val="00DF6804"/>
    <w:rsid w:val="00DF683D"/>
    <w:rsid w:val="00E00F3A"/>
    <w:rsid w:val="00E0358D"/>
    <w:rsid w:val="00E03BB0"/>
    <w:rsid w:val="00E03EC4"/>
    <w:rsid w:val="00E04323"/>
    <w:rsid w:val="00E0464B"/>
    <w:rsid w:val="00E070A2"/>
    <w:rsid w:val="00E16614"/>
    <w:rsid w:val="00E2656A"/>
    <w:rsid w:val="00E412D0"/>
    <w:rsid w:val="00E56322"/>
    <w:rsid w:val="00E60982"/>
    <w:rsid w:val="00E62C62"/>
    <w:rsid w:val="00E654C1"/>
    <w:rsid w:val="00E65D97"/>
    <w:rsid w:val="00E72A5A"/>
    <w:rsid w:val="00E73354"/>
    <w:rsid w:val="00E74EF2"/>
    <w:rsid w:val="00E76035"/>
    <w:rsid w:val="00E77E42"/>
    <w:rsid w:val="00E80418"/>
    <w:rsid w:val="00E81B7D"/>
    <w:rsid w:val="00E904E8"/>
    <w:rsid w:val="00E92264"/>
    <w:rsid w:val="00E9242D"/>
    <w:rsid w:val="00E928EE"/>
    <w:rsid w:val="00E97C7A"/>
    <w:rsid w:val="00EA290C"/>
    <w:rsid w:val="00EA4260"/>
    <w:rsid w:val="00EB5255"/>
    <w:rsid w:val="00EB5C47"/>
    <w:rsid w:val="00EC0206"/>
    <w:rsid w:val="00EC213D"/>
    <w:rsid w:val="00EC3770"/>
    <w:rsid w:val="00ED0639"/>
    <w:rsid w:val="00ED28CD"/>
    <w:rsid w:val="00EE15BF"/>
    <w:rsid w:val="00EE3EC3"/>
    <w:rsid w:val="00EE6D8E"/>
    <w:rsid w:val="00EF0756"/>
    <w:rsid w:val="00EF0A62"/>
    <w:rsid w:val="00EF4755"/>
    <w:rsid w:val="00EF49D7"/>
    <w:rsid w:val="00EF7135"/>
    <w:rsid w:val="00F027DB"/>
    <w:rsid w:val="00F0380B"/>
    <w:rsid w:val="00F10FE7"/>
    <w:rsid w:val="00F1464B"/>
    <w:rsid w:val="00F14A7A"/>
    <w:rsid w:val="00F22985"/>
    <w:rsid w:val="00F24DF2"/>
    <w:rsid w:val="00F26972"/>
    <w:rsid w:val="00F3383E"/>
    <w:rsid w:val="00F44C62"/>
    <w:rsid w:val="00F465A7"/>
    <w:rsid w:val="00F50B7C"/>
    <w:rsid w:val="00F550E6"/>
    <w:rsid w:val="00F63591"/>
    <w:rsid w:val="00F67638"/>
    <w:rsid w:val="00F72C81"/>
    <w:rsid w:val="00F74345"/>
    <w:rsid w:val="00F80A0A"/>
    <w:rsid w:val="00F82B19"/>
    <w:rsid w:val="00F9212D"/>
    <w:rsid w:val="00F965DA"/>
    <w:rsid w:val="00F97070"/>
    <w:rsid w:val="00FA195A"/>
    <w:rsid w:val="00FA224C"/>
    <w:rsid w:val="00FA32ED"/>
    <w:rsid w:val="00FA406A"/>
    <w:rsid w:val="00FB1797"/>
    <w:rsid w:val="00FB503A"/>
    <w:rsid w:val="00FB516C"/>
    <w:rsid w:val="00FC088F"/>
    <w:rsid w:val="00FC7237"/>
    <w:rsid w:val="00FD0236"/>
    <w:rsid w:val="00FD12F1"/>
    <w:rsid w:val="00FD18F4"/>
    <w:rsid w:val="00FD54DB"/>
    <w:rsid w:val="00FD619F"/>
    <w:rsid w:val="00FD6261"/>
    <w:rsid w:val="00FE0017"/>
    <w:rsid w:val="00FE3577"/>
    <w:rsid w:val="00FE484A"/>
    <w:rsid w:val="00FF2A9C"/>
    <w:rsid w:val="010C653A"/>
    <w:rsid w:val="01191888"/>
    <w:rsid w:val="011D0619"/>
    <w:rsid w:val="011D2710"/>
    <w:rsid w:val="012327D9"/>
    <w:rsid w:val="01290F7E"/>
    <w:rsid w:val="012F3ECF"/>
    <w:rsid w:val="01337949"/>
    <w:rsid w:val="013F690F"/>
    <w:rsid w:val="015652A5"/>
    <w:rsid w:val="015D1E09"/>
    <w:rsid w:val="0160261F"/>
    <w:rsid w:val="0161522A"/>
    <w:rsid w:val="016D4D19"/>
    <w:rsid w:val="016E4D66"/>
    <w:rsid w:val="01706781"/>
    <w:rsid w:val="0182366E"/>
    <w:rsid w:val="018348F5"/>
    <w:rsid w:val="01882199"/>
    <w:rsid w:val="018A2537"/>
    <w:rsid w:val="01945DCD"/>
    <w:rsid w:val="019977F4"/>
    <w:rsid w:val="01B62455"/>
    <w:rsid w:val="01BE01AD"/>
    <w:rsid w:val="01C1789B"/>
    <w:rsid w:val="01C72691"/>
    <w:rsid w:val="01FA184C"/>
    <w:rsid w:val="02196B2A"/>
    <w:rsid w:val="021D135C"/>
    <w:rsid w:val="02244E19"/>
    <w:rsid w:val="022A6ACA"/>
    <w:rsid w:val="022C6982"/>
    <w:rsid w:val="02301FCF"/>
    <w:rsid w:val="02315D4B"/>
    <w:rsid w:val="026737D7"/>
    <w:rsid w:val="02697903"/>
    <w:rsid w:val="0273764F"/>
    <w:rsid w:val="02851CCF"/>
    <w:rsid w:val="02917EE1"/>
    <w:rsid w:val="029434E3"/>
    <w:rsid w:val="02A42A5F"/>
    <w:rsid w:val="02A4476B"/>
    <w:rsid w:val="02B20C36"/>
    <w:rsid w:val="02BA3F8E"/>
    <w:rsid w:val="02C83C1F"/>
    <w:rsid w:val="02CB524D"/>
    <w:rsid w:val="02D07464"/>
    <w:rsid w:val="02E9000B"/>
    <w:rsid w:val="02F96569"/>
    <w:rsid w:val="03124064"/>
    <w:rsid w:val="03140887"/>
    <w:rsid w:val="03157925"/>
    <w:rsid w:val="033B78B3"/>
    <w:rsid w:val="03437558"/>
    <w:rsid w:val="03465F5F"/>
    <w:rsid w:val="034766CD"/>
    <w:rsid w:val="035A7809"/>
    <w:rsid w:val="0361440A"/>
    <w:rsid w:val="0383781B"/>
    <w:rsid w:val="03964C18"/>
    <w:rsid w:val="03AE28B7"/>
    <w:rsid w:val="03C74658"/>
    <w:rsid w:val="03D91250"/>
    <w:rsid w:val="03E67D83"/>
    <w:rsid w:val="03EA7B21"/>
    <w:rsid w:val="03F76482"/>
    <w:rsid w:val="03FB660C"/>
    <w:rsid w:val="03FB766B"/>
    <w:rsid w:val="040000C7"/>
    <w:rsid w:val="04025BED"/>
    <w:rsid w:val="040556DD"/>
    <w:rsid w:val="041306E8"/>
    <w:rsid w:val="04194A57"/>
    <w:rsid w:val="041F5034"/>
    <w:rsid w:val="041F7C4D"/>
    <w:rsid w:val="04272627"/>
    <w:rsid w:val="045C3351"/>
    <w:rsid w:val="046B7FE6"/>
    <w:rsid w:val="046E5030"/>
    <w:rsid w:val="048B6EB5"/>
    <w:rsid w:val="04CB5FDF"/>
    <w:rsid w:val="04CC7C44"/>
    <w:rsid w:val="04D866DF"/>
    <w:rsid w:val="04DC1F6C"/>
    <w:rsid w:val="04E978D1"/>
    <w:rsid w:val="04F50C36"/>
    <w:rsid w:val="050B6D23"/>
    <w:rsid w:val="051F00E1"/>
    <w:rsid w:val="05330914"/>
    <w:rsid w:val="05341E77"/>
    <w:rsid w:val="054A4A92"/>
    <w:rsid w:val="05721979"/>
    <w:rsid w:val="05785527"/>
    <w:rsid w:val="057D6B1B"/>
    <w:rsid w:val="057E2034"/>
    <w:rsid w:val="05983B33"/>
    <w:rsid w:val="05B25A5C"/>
    <w:rsid w:val="05C96957"/>
    <w:rsid w:val="05D64F65"/>
    <w:rsid w:val="05EB4E16"/>
    <w:rsid w:val="05EC0669"/>
    <w:rsid w:val="05ED6429"/>
    <w:rsid w:val="05EE7782"/>
    <w:rsid w:val="05F83EAE"/>
    <w:rsid w:val="06024707"/>
    <w:rsid w:val="060A2EF6"/>
    <w:rsid w:val="06133A77"/>
    <w:rsid w:val="06247F9C"/>
    <w:rsid w:val="06373A89"/>
    <w:rsid w:val="063B1CB0"/>
    <w:rsid w:val="063E7D85"/>
    <w:rsid w:val="064C13A1"/>
    <w:rsid w:val="064C400C"/>
    <w:rsid w:val="064C776E"/>
    <w:rsid w:val="06604E4C"/>
    <w:rsid w:val="06693130"/>
    <w:rsid w:val="066B3B3C"/>
    <w:rsid w:val="069718F7"/>
    <w:rsid w:val="06BC14B2"/>
    <w:rsid w:val="06BE0C16"/>
    <w:rsid w:val="06C50F04"/>
    <w:rsid w:val="06C56FF1"/>
    <w:rsid w:val="06CD7055"/>
    <w:rsid w:val="06D07A7F"/>
    <w:rsid w:val="06E67C1D"/>
    <w:rsid w:val="06E92FD3"/>
    <w:rsid w:val="06F06784"/>
    <w:rsid w:val="06FE2291"/>
    <w:rsid w:val="07293586"/>
    <w:rsid w:val="07295285"/>
    <w:rsid w:val="074402CA"/>
    <w:rsid w:val="075077D4"/>
    <w:rsid w:val="075B3244"/>
    <w:rsid w:val="07636392"/>
    <w:rsid w:val="07770C56"/>
    <w:rsid w:val="0790350F"/>
    <w:rsid w:val="07937ECB"/>
    <w:rsid w:val="07961A62"/>
    <w:rsid w:val="07A36DCF"/>
    <w:rsid w:val="07A766CC"/>
    <w:rsid w:val="07AA75A8"/>
    <w:rsid w:val="07BD69FF"/>
    <w:rsid w:val="07EA0493"/>
    <w:rsid w:val="07F71107"/>
    <w:rsid w:val="07FF74D2"/>
    <w:rsid w:val="08026FA2"/>
    <w:rsid w:val="081E0B1B"/>
    <w:rsid w:val="08224593"/>
    <w:rsid w:val="0828199A"/>
    <w:rsid w:val="083B1C8C"/>
    <w:rsid w:val="084D1B6D"/>
    <w:rsid w:val="084F213F"/>
    <w:rsid w:val="08674A42"/>
    <w:rsid w:val="08777775"/>
    <w:rsid w:val="08907519"/>
    <w:rsid w:val="08981017"/>
    <w:rsid w:val="08DF3F4A"/>
    <w:rsid w:val="08FE4543"/>
    <w:rsid w:val="09047592"/>
    <w:rsid w:val="09107705"/>
    <w:rsid w:val="091837BC"/>
    <w:rsid w:val="092217DD"/>
    <w:rsid w:val="092C6E32"/>
    <w:rsid w:val="092E4D8E"/>
    <w:rsid w:val="093A7294"/>
    <w:rsid w:val="095D6D2E"/>
    <w:rsid w:val="09600DC2"/>
    <w:rsid w:val="09674D77"/>
    <w:rsid w:val="096A2068"/>
    <w:rsid w:val="0978433F"/>
    <w:rsid w:val="097E3D7C"/>
    <w:rsid w:val="098705F9"/>
    <w:rsid w:val="09AB2883"/>
    <w:rsid w:val="09BB0D18"/>
    <w:rsid w:val="09D0518B"/>
    <w:rsid w:val="09D4008F"/>
    <w:rsid w:val="09D93396"/>
    <w:rsid w:val="09DB2717"/>
    <w:rsid w:val="09DF4425"/>
    <w:rsid w:val="09E369B7"/>
    <w:rsid w:val="09EE3789"/>
    <w:rsid w:val="0A0501E5"/>
    <w:rsid w:val="0A1165D8"/>
    <w:rsid w:val="0A140428"/>
    <w:rsid w:val="0A187F4E"/>
    <w:rsid w:val="0A1A428E"/>
    <w:rsid w:val="0A1E73F4"/>
    <w:rsid w:val="0A222125"/>
    <w:rsid w:val="0A263993"/>
    <w:rsid w:val="0A2A37A7"/>
    <w:rsid w:val="0A2D3AC2"/>
    <w:rsid w:val="0A380BF7"/>
    <w:rsid w:val="0A381C03"/>
    <w:rsid w:val="0A397E8E"/>
    <w:rsid w:val="0A4712F7"/>
    <w:rsid w:val="0A5B7E05"/>
    <w:rsid w:val="0A9560F5"/>
    <w:rsid w:val="0A974D92"/>
    <w:rsid w:val="0AA14652"/>
    <w:rsid w:val="0AA22CB0"/>
    <w:rsid w:val="0AA755DF"/>
    <w:rsid w:val="0AB67731"/>
    <w:rsid w:val="0ABB6AF5"/>
    <w:rsid w:val="0ABF5336"/>
    <w:rsid w:val="0AC02D99"/>
    <w:rsid w:val="0AC459AA"/>
    <w:rsid w:val="0AD37966"/>
    <w:rsid w:val="0AD4443E"/>
    <w:rsid w:val="0AE202CD"/>
    <w:rsid w:val="0AE767FD"/>
    <w:rsid w:val="0AEC3153"/>
    <w:rsid w:val="0AF50698"/>
    <w:rsid w:val="0AFE1085"/>
    <w:rsid w:val="0B091F6D"/>
    <w:rsid w:val="0B120D44"/>
    <w:rsid w:val="0B233495"/>
    <w:rsid w:val="0B261D0E"/>
    <w:rsid w:val="0B372620"/>
    <w:rsid w:val="0B446AEB"/>
    <w:rsid w:val="0B5C3E34"/>
    <w:rsid w:val="0B792C38"/>
    <w:rsid w:val="0B827E94"/>
    <w:rsid w:val="0BA57394"/>
    <w:rsid w:val="0BA97FC1"/>
    <w:rsid w:val="0BC3421A"/>
    <w:rsid w:val="0BD27BF6"/>
    <w:rsid w:val="0BEB340A"/>
    <w:rsid w:val="0BFE4EEC"/>
    <w:rsid w:val="0C0B4F17"/>
    <w:rsid w:val="0C197F77"/>
    <w:rsid w:val="0C27466A"/>
    <w:rsid w:val="0C2D5BB6"/>
    <w:rsid w:val="0C347AB5"/>
    <w:rsid w:val="0C3B3C7D"/>
    <w:rsid w:val="0C3B522B"/>
    <w:rsid w:val="0C447931"/>
    <w:rsid w:val="0C5E3A76"/>
    <w:rsid w:val="0C6A7427"/>
    <w:rsid w:val="0C78199D"/>
    <w:rsid w:val="0C8005A6"/>
    <w:rsid w:val="0C821421"/>
    <w:rsid w:val="0C8C4411"/>
    <w:rsid w:val="0C8F3D96"/>
    <w:rsid w:val="0CAB2EAE"/>
    <w:rsid w:val="0CB9015F"/>
    <w:rsid w:val="0CBC3BE7"/>
    <w:rsid w:val="0CCC4A13"/>
    <w:rsid w:val="0CCC4FEA"/>
    <w:rsid w:val="0CE265BB"/>
    <w:rsid w:val="0CEA47B8"/>
    <w:rsid w:val="0CF40DE4"/>
    <w:rsid w:val="0D122E18"/>
    <w:rsid w:val="0D1D3A97"/>
    <w:rsid w:val="0D3F756A"/>
    <w:rsid w:val="0D564607"/>
    <w:rsid w:val="0D587BAD"/>
    <w:rsid w:val="0D5C1577"/>
    <w:rsid w:val="0D621C7D"/>
    <w:rsid w:val="0D69333C"/>
    <w:rsid w:val="0D756C03"/>
    <w:rsid w:val="0D842293"/>
    <w:rsid w:val="0D8633EB"/>
    <w:rsid w:val="0D8700DF"/>
    <w:rsid w:val="0D883A97"/>
    <w:rsid w:val="0D8977A3"/>
    <w:rsid w:val="0DC45CC1"/>
    <w:rsid w:val="0DC91529"/>
    <w:rsid w:val="0DF82D2B"/>
    <w:rsid w:val="0DFC672F"/>
    <w:rsid w:val="0E1763DC"/>
    <w:rsid w:val="0E340A4B"/>
    <w:rsid w:val="0E364E11"/>
    <w:rsid w:val="0E4F1A2E"/>
    <w:rsid w:val="0E6255D4"/>
    <w:rsid w:val="0E73034D"/>
    <w:rsid w:val="0E9B27ED"/>
    <w:rsid w:val="0E9D4AD1"/>
    <w:rsid w:val="0EA02CDE"/>
    <w:rsid w:val="0EA7248B"/>
    <w:rsid w:val="0EAB176A"/>
    <w:rsid w:val="0EBD5D90"/>
    <w:rsid w:val="0EC966A2"/>
    <w:rsid w:val="0EC9701E"/>
    <w:rsid w:val="0ECB733C"/>
    <w:rsid w:val="0EEC1973"/>
    <w:rsid w:val="0EEF6D6E"/>
    <w:rsid w:val="0EF22ED6"/>
    <w:rsid w:val="0EFC69CD"/>
    <w:rsid w:val="0F046907"/>
    <w:rsid w:val="0F0E7B3C"/>
    <w:rsid w:val="0F13775A"/>
    <w:rsid w:val="0F166DEA"/>
    <w:rsid w:val="0F383942"/>
    <w:rsid w:val="0F5F45FE"/>
    <w:rsid w:val="0F6C6610"/>
    <w:rsid w:val="0F710236"/>
    <w:rsid w:val="0F794A46"/>
    <w:rsid w:val="0F7C2CF7"/>
    <w:rsid w:val="0F9A112B"/>
    <w:rsid w:val="0F9B4442"/>
    <w:rsid w:val="0FA939EF"/>
    <w:rsid w:val="0FCB5107"/>
    <w:rsid w:val="0FD23085"/>
    <w:rsid w:val="0FEC6D18"/>
    <w:rsid w:val="102559B8"/>
    <w:rsid w:val="10273DFE"/>
    <w:rsid w:val="102E4A79"/>
    <w:rsid w:val="1046648D"/>
    <w:rsid w:val="104841C5"/>
    <w:rsid w:val="10511FFB"/>
    <w:rsid w:val="10533619"/>
    <w:rsid w:val="105477D0"/>
    <w:rsid w:val="10593613"/>
    <w:rsid w:val="1067787C"/>
    <w:rsid w:val="10685029"/>
    <w:rsid w:val="106D2F64"/>
    <w:rsid w:val="107E01E1"/>
    <w:rsid w:val="10967DE9"/>
    <w:rsid w:val="109B245A"/>
    <w:rsid w:val="109F1809"/>
    <w:rsid w:val="10AF2C58"/>
    <w:rsid w:val="10B3177D"/>
    <w:rsid w:val="10B44D7F"/>
    <w:rsid w:val="10B63710"/>
    <w:rsid w:val="10C76234"/>
    <w:rsid w:val="10D12BCF"/>
    <w:rsid w:val="10DA2BE0"/>
    <w:rsid w:val="10DB57FB"/>
    <w:rsid w:val="10E34671"/>
    <w:rsid w:val="10F10820"/>
    <w:rsid w:val="1111121D"/>
    <w:rsid w:val="111C2F7A"/>
    <w:rsid w:val="11204C26"/>
    <w:rsid w:val="11422A4D"/>
    <w:rsid w:val="11452288"/>
    <w:rsid w:val="11627CCB"/>
    <w:rsid w:val="11665CA1"/>
    <w:rsid w:val="11692E07"/>
    <w:rsid w:val="116A7EEE"/>
    <w:rsid w:val="116B39A1"/>
    <w:rsid w:val="11AB67CF"/>
    <w:rsid w:val="11AF38F5"/>
    <w:rsid w:val="11C10E95"/>
    <w:rsid w:val="11C96FC3"/>
    <w:rsid w:val="11D619CC"/>
    <w:rsid w:val="11EE166A"/>
    <w:rsid w:val="11F60F3D"/>
    <w:rsid w:val="120C4828"/>
    <w:rsid w:val="121277D8"/>
    <w:rsid w:val="12370063"/>
    <w:rsid w:val="123A5085"/>
    <w:rsid w:val="123D6042"/>
    <w:rsid w:val="12423273"/>
    <w:rsid w:val="124675EC"/>
    <w:rsid w:val="12617B21"/>
    <w:rsid w:val="1265398E"/>
    <w:rsid w:val="12726CA3"/>
    <w:rsid w:val="12916AD1"/>
    <w:rsid w:val="12A76BF1"/>
    <w:rsid w:val="12B94563"/>
    <w:rsid w:val="12D5181B"/>
    <w:rsid w:val="12FA390B"/>
    <w:rsid w:val="130003A3"/>
    <w:rsid w:val="13066480"/>
    <w:rsid w:val="13221EEB"/>
    <w:rsid w:val="13275D1B"/>
    <w:rsid w:val="133438E9"/>
    <w:rsid w:val="13516C93"/>
    <w:rsid w:val="136E71EC"/>
    <w:rsid w:val="13761EAE"/>
    <w:rsid w:val="13951726"/>
    <w:rsid w:val="1396641F"/>
    <w:rsid w:val="13B72FE5"/>
    <w:rsid w:val="13BF6366"/>
    <w:rsid w:val="13D66D24"/>
    <w:rsid w:val="13DB3F09"/>
    <w:rsid w:val="13F16F82"/>
    <w:rsid w:val="13F43A3D"/>
    <w:rsid w:val="13F54834"/>
    <w:rsid w:val="140212F1"/>
    <w:rsid w:val="14236408"/>
    <w:rsid w:val="14242F79"/>
    <w:rsid w:val="14376E22"/>
    <w:rsid w:val="1437755A"/>
    <w:rsid w:val="14396509"/>
    <w:rsid w:val="14442B9A"/>
    <w:rsid w:val="14751383"/>
    <w:rsid w:val="14802DE2"/>
    <w:rsid w:val="1483025C"/>
    <w:rsid w:val="148B7538"/>
    <w:rsid w:val="14916E6F"/>
    <w:rsid w:val="14AD1F26"/>
    <w:rsid w:val="14AE330D"/>
    <w:rsid w:val="14B729E8"/>
    <w:rsid w:val="14C81A92"/>
    <w:rsid w:val="14D41776"/>
    <w:rsid w:val="14DD2C3C"/>
    <w:rsid w:val="14FA1F7A"/>
    <w:rsid w:val="14FD4BB3"/>
    <w:rsid w:val="151F016D"/>
    <w:rsid w:val="15243815"/>
    <w:rsid w:val="152E677B"/>
    <w:rsid w:val="153440D0"/>
    <w:rsid w:val="153A7295"/>
    <w:rsid w:val="153B11DD"/>
    <w:rsid w:val="15486AF4"/>
    <w:rsid w:val="155344FA"/>
    <w:rsid w:val="155425F4"/>
    <w:rsid w:val="156076D2"/>
    <w:rsid w:val="1561245B"/>
    <w:rsid w:val="1564220B"/>
    <w:rsid w:val="157F14CA"/>
    <w:rsid w:val="158421CE"/>
    <w:rsid w:val="159E5049"/>
    <w:rsid w:val="15A417A0"/>
    <w:rsid w:val="15B900F2"/>
    <w:rsid w:val="15DD464E"/>
    <w:rsid w:val="15E0752B"/>
    <w:rsid w:val="16087E1D"/>
    <w:rsid w:val="1616403B"/>
    <w:rsid w:val="162E2871"/>
    <w:rsid w:val="16486A32"/>
    <w:rsid w:val="16592108"/>
    <w:rsid w:val="1665785E"/>
    <w:rsid w:val="167C35DD"/>
    <w:rsid w:val="16A20EEE"/>
    <w:rsid w:val="16B26FFE"/>
    <w:rsid w:val="16B41D43"/>
    <w:rsid w:val="16D63253"/>
    <w:rsid w:val="16DF15B9"/>
    <w:rsid w:val="16ED6890"/>
    <w:rsid w:val="16F56761"/>
    <w:rsid w:val="16FA78F6"/>
    <w:rsid w:val="17021A9A"/>
    <w:rsid w:val="171419FD"/>
    <w:rsid w:val="1721252C"/>
    <w:rsid w:val="172F1BB3"/>
    <w:rsid w:val="17321EED"/>
    <w:rsid w:val="17325CE7"/>
    <w:rsid w:val="173C4698"/>
    <w:rsid w:val="17465555"/>
    <w:rsid w:val="174E2834"/>
    <w:rsid w:val="17567E8F"/>
    <w:rsid w:val="175E7FAE"/>
    <w:rsid w:val="175F7D3E"/>
    <w:rsid w:val="17701D14"/>
    <w:rsid w:val="17735226"/>
    <w:rsid w:val="17747793"/>
    <w:rsid w:val="17750CB0"/>
    <w:rsid w:val="177855D8"/>
    <w:rsid w:val="178845AC"/>
    <w:rsid w:val="17944956"/>
    <w:rsid w:val="17947810"/>
    <w:rsid w:val="17BF0175"/>
    <w:rsid w:val="17C10307"/>
    <w:rsid w:val="17CE3DC8"/>
    <w:rsid w:val="17E13B68"/>
    <w:rsid w:val="17EF79D9"/>
    <w:rsid w:val="18096404"/>
    <w:rsid w:val="182B25AE"/>
    <w:rsid w:val="182C4B8E"/>
    <w:rsid w:val="182D68CD"/>
    <w:rsid w:val="183323C1"/>
    <w:rsid w:val="185C36C6"/>
    <w:rsid w:val="186D3A3C"/>
    <w:rsid w:val="18740A1F"/>
    <w:rsid w:val="187A3B4C"/>
    <w:rsid w:val="18891FE1"/>
    <w:rsid w:val="18904516"/>
    <w:rsid w:val="189F624C"/>
    <w:rsid w:val="18A22333"/>
    <w:rsid w:val="18A45873"/>
    <w:rsid w:val="18AC2F47"/>
    <w:rsid w:val="18C02DA2"/>
    <w:rsid w:val="18C70B28"/>
    <w:rsid w:val="18D421D0"/>
    <w:rsid w:val="18ED431E"/>
    <w:rsid w:val="19017DC9"/>
    <w:rsid w:val="196527BF"/>
    <w:rsid w:val="19660047"/>
    <w:rsid w:val="197135DA"/>
    <w:rsid w:val="197A166C"/>
    <w:rsid w:val="19A1122E"/>
    <w:rsid w:val="19AC0E79"/>
    <w:rsid w:val="19B16795"/>
    <w:rsid w:val="19B17A41"/>
    <w:rsid w:val="19EC3B22"/>
    <w:rsid w:val="19FB78C0"/>
    <w:rsid w:val="1A073FD1"/>
    <w:rsid w:val="1A1A67EA"/>
    <w:rsid w:val="1A1C66C0"/>
    <w:rsid w:val="1A331923"/>
    <w:rsid w:val="1A377809"/>
    <w:rsid w:val="1A42393B"/>
    <w:rsid w:val="1A473F02"/>
    <w:rsid w:val="1A516EAE"/>
    <w:rsid w:val="1A5F7D07"/>
    <w:rsid w:val="1A676352"/>
    <w:rsid w:val="1A840388"/>
    <w:rsid w:val="1A8C20FF"/>
    <w:rsid w:val="1A982A24"/>
    <w:rsid w:val="1AA55674"/>
    <w:rsid w:val="1AAD45DE"/>
    <w:rsid w:val="1ABF6DF3"/>
    <w:rsid w:val="1ACB4B33"/>
    <w:rsid w:val="1AEA6524"/>
    <w:rsid w:val="1B046F80"/>
    <w:rsid w:val="1B0F7A52"/>
    <w:rsid w:val="1B111570"/>
    <w:rsid w:val="1B14771A"/>
    <w:rsid w:val="1B183D2A"/>
    <w:rsid w:val="1B3267B5"/>
    <w:rsid w:val="1B3F2E2B"/>
    <w:rsid w:val="1B40161D"/>
    <w:rsid w:val="1B441859"/>
    <w:rsid w:val="1B457D2D"/>
    <w:rsid w:val="1B4F75D1"/>
    <w:rsid w:val="1B6606B1"/>
    <w:rsid w:val="1B7225C4"/>
    <w:rsid w:val="1B842AD1"/>
    <w:rsid w:val="1BA50EE0"/>
    <w:rsid w:val="1BBD6EDA"/>
    <w:rsid w:val="1BDB42E5"/>
    <w:rsid w:val="1BE5414F"/>
    <w:rsid w:val="1C007D91"/>
    <w:rsid w:val="1C113A23"/>
    <w:rsid w:val="1C202C5C"/>
    <w:rsid w:val="1C427A2B"/>
    <w:rsid w:val="1C4A5F2B"/>
    <w:rsid w:val="1C4A6082"/>
    <w:rsid w:val="1C537102"/>
    <w:rsid w:val="1C580648"/>
    <w:rsid w:val="1C5823F6"/>
    <w:rsid w:val="1C5A45FA"/>
    <w:rsid w:val="1C5E7925"/>
    <w:rsid w:val="1C6963B1"/>
    <w:rsid w:val="1C6F7740"/>
    <w:rsid w:val="1C766D20"/>
    <w:rsid w:val="1C7F6D3C"/>
    <w:rsid w:val="1C9A48BC"/>
    <w:rsid w:val="1CA05B4B"/>
    <w:rsid w:val="1CA7512B"/>
    <w:rsid w:val="1CB3587E"/>
    <w:rsid w:val="1CC3783A"/>
    <w:rsid w:val="1CC96E50"/>
    <w:rsid w:val="1CCE4D8D"/>
    <w:rsid w:val="1CD53A47"/>
    <w:rsid w:val="1CF77E61"/>
    <w:rsid w:val="1CFD070F"/>
    <w:rsid w:val="1D1C03C5"/>
    <w:rsid w:val="1D305D3E"/>
    <w:rsid w:val="1D355DDB"/>
    <w:rsid w:val="1D46535C"/>
    <w:rsid w:val="1D5030CD"/>
    <w:rsid w:val="1D5F6196"/>
    <w:rsid w:val="1D6132A5"/>
    <w:rsid w:val="1D682E4A"/>
    <w:rsid w:val="1D6F382A"/>
    <w:rsid w:val="1D84176F"/>
    <w:rsid w:val="1D8B0A9D"/>
    <w:rsid w:val="1D8E56D5"/>
    <w:rsid w:val="1DA41B2E"/>
    <w:rsid w:val="1DA62689"/>
    <w:rsid w:val="1DB04FC9"/>
    <w:rsid w:val="1DBF10A0"/>
    <w:rsid w:val="1DD106B2"/>
    <w:rsid w:val="1DDF4451"/>
    <w:rsid w:val="1DE67D95"/>
    <w:rsid w:val="1DF45CC0"/>
    <w:rsid w:val="1DF63C75"/>
    <w:rsid w:val="1E105529"/>
    <w:rsid w:val="1E1862E1"/>
    <w:rsid w:val="1E2D3EF8"/>
    <w:rsid w:val="1E3A3F14"/>
    <w:rsid w:val="1E3E386E"/>
    <w:rsid w:val="1E44539E"/>
    <w:rsid w:val="1E47376E"/>
    <w:rsid w:val="1E636E30"/>
    <w:rsid w:val="1E6653E3"/>
    <w:rsid w:val="1E69474C"/>
    <w:rsid w:val="1E745CD4"/>
    <w:rsid w:val="1E7A43DA"/>
    <w:rsid w:val="1E9E37F2"/>
    <w:rsid w:val="1E9E4099"/>
    <w:rsid w:val="1EA02E2C"/>
    <w:rsid w:val="1EB0218B"/>
    <w:rsid w:val="1EBF050A"/>
    <w:rsid w:val="1EC21DA9"/>
    <w:rsid w:val="1ECA34FC"/>
    <w:rsid w:val="1EF32AD4"/>
    <w:rsid w:val="1EF34EC4"/>
    <w:rsid w:val="1EFA4B0E"/>
    <w:rsid w:val="1F010D9C"/>
    <w:rsid w:val="1F0B3750"/>
    <w:rsid w:val="1F1F77CB"/>
    <w:rsid w:val="1F2A3EE6"/>
    <w:rsid w:val="1F4C08A8"/>
    <w:rsid w:val="1F552C1D"/>
    <w:rsid w:val="1F65396A"/>
    <w:rsid w:val="1F7D07B7"/>
    <w:rsid w:val="1F922D35"/>
    <w:rsid w:val="1FA023ED"/>
    <w:rsid w:val="1FA31BDA"/>
    <w:rsid w:val="1FA86760"/>
    <w:rsid w:val="1FAC5E53"/>
    <w:rsid w:val="1FB57B5F"/>
    <w:rsid w:val="1FE7539E"/>
    <w:rsid w:val="1FF16DE9"/>
    <w:rsid w:val="20026C99"/>
    <w:rsid w:val="2021138E"/>
    <w:rsid w:val="2026586B"/>
    <w:rsid w:val="20331BF3"/>
    <w:rsid w:val="203C204C"/>
    <w:rsid w:val="203C36B4"/>
    <w:rsid w:val="203C5A02"/>
    <w:rsid w:val="20405EA6"/>
    <w:rsid w:val="205F52EA"/>
    <w:rsid w:val="20671BE0"/>
    <w:rsid w:val="206F1FB7"/>
    <w:rsid w:val="20713A86"/>
    <w:rsid w:val="20717716"/>
    <w:rsid w:val="207B4905"/>
    <w:rsid w:val="208270BF"/>
    <w:rsid w:val="20963CB8"/>
    <w:rsid w:val="209D6CA4"/>
    <w:rsid w:val="20A81A1B"/>
    <w:rsid w:val="20B07FB6"/>
    <w:rsid w:val="20B646FB"/>
    <w:rsid w:val="20C53864"/>
    <w:rsid w:val="20C75B67"/>
    <w:rsid w:val="20CC60C0"/>
    <w:rsid w:val="20CC6F0F"/>
    <w:rsid w:val="20CF16FD"/>
    <w:rsid w:val="20E3074A"/>
    <w:rsid w:val="20EB16EA"/>
    <w:rsid w:val="20EC30D8"/>
    <w:rsid w:val="20EF7BDD"/>
    <w:rsid w:val="210D3CD7"/>
    <w:rsid w:val="211119FB"/>
    <w:rsid w:val="21197C6C"/>
    <w:rsid w:val="212C5BFF"/>
    <w:rsid w:val="21375894"/>
    <w:rsid w:val="213B74B1"/>
    <w:rsid w:val="214404DA"/>
    <w:rsid w:val="21531D9E"/>
    <w:rsid w:val="215A2310"/>
    <w:rsid w:val="215F5D7C"/>
    <w:rsid w:val="216A1069"/>
    <w:rsid w:val="21717BB1"/>
    <w:rsid w:val="21821860"/>
    <w:rsid w:val="218D03D4"/>
    <w:rsid w:val="21AD5376"/>
    <w:rsid w:val="21BA22ED"/>
    <w:rsid w:val="21BA4F13"/>
    <w:rsid w:val="21CE1695"/>
    <w:rsid w:val="21D81907"/>
    <w:rsid w:val="21DE318A"/>
    <w:rsid w:val="21EF5B80"/>
    <w:rsid w:val="22185DA3"/>
    <w:rsid w:val="222D1C2F"/>
    <w:rsid w:val="22441E94"/>
    <w:rsid w:val="224469E3"/>
    <w:rsid w:val="22576990"/>
    <w:rsid w:val="225E6D5C"/>
    <w:rsid w:val="22625D7D"/>
    <w:rsid w:val="226C5BEF"/>
    <w:rsid w:val="22731A2D"/>
    <w:rsid w:val="227A72DC"/>
    <w:rsid w:val="227E692E"/>
    <w:rsid w:val="22822780"/>
    <w:rsid w:val="22B95F31"/>
    <w:rsid w:val="22BB4AAE"/>
    <w:rsid w:val="22C31649"/>
    <w:rsid w:val="22DF3F4C"/>
    <w:rsid w:val="22F47480"/>
    <w:rsid w:val="23093495"/>
    <w:rsid w:val="23113125"/>
    <w:rsid w:val="231E6DD6"/>
    <w:rsid w:val="23240E85"/>
    <w:rsid w:val="23387465"/>
    <w:rsid w:val="233D5EA2"/>
    <w:rsid w:val="23571659"/>
    <w:rsid w:val="235A2EF8"/>
    <w:rsid w:val="2367002D"/>
    <w:rsid w:val="23897339"/>
    <w:rsid w:val="239312F5"/>
    <w:rsid w:val="2395727B"/>
    <w:rsid w:val="239F3944"/>
    <w:rsid w:val="23C71727"/>
    <w:rsid w:val="23D12E23"/>
    <w:rsid w:val="23DE1C48"/>
    <w:rsid w:val="23DF7CE9"/>
    <w:rsid w:val="23F85607"/>
    <w:rsid w:val="23FC3FAF"/>
    <w:rsid w:val="240210CD"/>
    <w:rsid w:val="24157BAC"/>
    <w:rsid w:val="24181502"/>
    <w:rsid w:val="24282679"/>
    <w:rsid w:val="242A1B68"/>
    <w:rsid w:val="24305262"/>
    <w:rsid w:val="24572F93"/>
    <w:rsid w:val="245E121C"/>
    <w:rsid w:val="246062EC"/>
    <w:rsid w:val="247F06C6"/>
    <w:rsid w:val="247F0D59"/>
    <w:rsid w:val="248068BD"/>
    <w:rsid w:val="24816262"/>
    <w:rsid w:val="24897B3B"/>
    <w:rsid w:val="24AC78FA"/>
    <w:rsid w:val="24B6415E"/>
    <w:rsid w:val="24BA0CB2"/>
    <w:rsid w:val="24BF09F7"/>
    <w:rsid w:val="24D14F49"/>
    <w:rsid w:val="24DA36E2"/>
    <w:rsid w:val="24DD6C74"/>
    <w:rsid w:val="24E74545"/>
    <w:rsid w:val="24EA7887"/>
    <w:rsid w:val="25016E5E"/>
    <w:rsid w:val="250E102C"/>
    <w:rsid w:val="25203F13"/>
    <w:rsid w:val="252D53FE"/>
    <w:rsid w:val="252E1F46"/>
    <w:rsid w:val="253062BD"/>
    <w:rsid w:val="25315EDA"/>
    <w:rsid w:val="25363C93"/>
    <w:rsid w:val="25535E50"/>
    <w:rsid w:val="25694CA3"/>
    <w:rsid w:val="25701241"/>
    <w:rsid w:val="25A55E9B"/>
    <w:rsid w:val="25D041CF"/>
    <w:rsid w:val="25DB4156"/>
    <w:rsid w:val="25EC2D81"/>
    <w:rsid w:val="25F22DE6"/>
    <w:rsid w:val="25F97094"/>
    <w:rsid w:val="2613738E"/>
    <w:rsid w:val="261F3F85"/>
    <w:rsid w:val="262063BB"/>
    <w:rsid w:val="26277997"/>
    <w:rsid w:val="26354EA5"/>
    <w:rsid w:val="263A648B"/>
    <w:rsid w:val="264A2967"/>
    <w:rsid w:val="266F2675"/>
    <w:rsid w:val="26756609"/>
    <w:rsid w:val="268E08EC"/>
    <w:rsid w:val="269B4DE3"/>
    <w:rsid w:val="269D6920"/>
    <w:rsid w:val="26AC07B3"/>
    <w:rsid w:val="26CD258B"/>
    <w:rsid w:val="26DD00C8"/>
    <w:rsid w:val="26F02945"/>
    <w:rsid w:val="270C4BCE"/>
    <w:rsid w:val="272E0134"/>
    <w:rsid w:val="273644A3"/>
    <w:rsid w:val="2744349F"/>
    <w:rsid w:val="275F7F2B"/>
    <w:rsid w:val="277057A2"/>
    <w:rsid w:val="27710810"/>
    <w:rsid w:val="277A5916"/>
    <w:rsid w:val="277D4C62"/>
    <w:rsid w:val="27826EE1"/>
    <w:rsid w:val="278A3680"/>
    <w:rsid w:val="278F46B2"/>
    <w:rsid w:val="27916CDC"/>
    <w:rsid w:val="27B1758C"/>
    <w:rsid w:val="27B34984"/>
    <w:rsid w:val="27BA7424"/>
    <w:rsid w:val="27D424BC"/>
    <w:rsid w:val="27EB36B9"/>
    <w:rsid w:val="27F51738"/>
    <w:rsid w:val="27FC457D"/>
    <w:rsid w:val="280379AF"/>
    <w:rsid w:val="280F0EA7"/>
    <w:rsid w:val="28605909"/>
    <w:rsid w:val="288138EC"/>
    <w:rsid w:val="288505F8"/>
    <w:rsid w:val="28891176"/>
    <w:rsid w:val="288A1B89"/>
    <w:rsid w:val="288C5086"/>
    <w:rsid w:val="28B81505"/>
    <w:rsid w:val="28BE5160"/>
    <w:rsid w:val="28D73D26"/>
    <w:rsid w:val="28E00171"/>
    <w:rsid w:val="28E444C1"/>
    <w:rsid w:val="28E53263"/>
    <w:rsid w:val="28E932E6"/>
    <w:rsid w:val="28EC1B66"/>
    <w:rsid w:val="28F4280E"/>
    <w:rsid w:val="29146F04"/>
    <w:rsid w:val="29206EB8"/>
    <w:rsid w:val="292B332E"/>
    <w:rsid w:val="292D55C4"/>
    <w:rsid w:val="294025BD"/>
    <w:rsid w:val="294202A1"/>
    <w:rsid w:val="29435DD4"/>
    <w:rsid w:val="29480089"/>
    <w:rsid w:val="29567CBD"/>
    <w:rsid w:val="295705D9"/>
    <w:rsid w:val="29595666"/>
    <w:rsid w:val="29636FE3"/>
    <w:rsid w:val="29662A4F"/>
    <w:rsid w:val="296648C4"/>
    <w:rsid w:val="29822370"/>
    <w:rsid w:val="29865AB3"/>
    <w:rsid w:val="29874881"/>
    <w:rsid w:val="29910B3C"/>
    <w:rsid w:val="299C1781"/>
    <w:rsid w:val="29A94D9A"/>
    <w:rsid w:val="29CC63E6"/>
    <w:rsid w:val="29CD3AB3"/>
    <w:rsid w:val="29D137E8"/>
    <w:rsid w:val="29DC5474"/>
    <w:rsid w:val="29E033DF"/>
    <w:rsid w:val="29E325E0"/>
    <w:rsid w:val="29F11AD6"/>
    <w:rsid w:val="29F80D74"/>
    <w:rsid w:val="29FD7440"/>
    <w:rsid w:val="2A005E7B"/>
    <w:rsid w:val="2A0C57E1"/>
    <w:rsid w:val="2A351FC9"/>
    <w:rsid w:val="2A3D59CD"/>
    <w:rsid w:val="2A452503"/>
    <w:rsid w:val="2A4623C3"/>
    <w:rsid w:val="2A5A1A53"/>
    <w:rsid w:val="2A601415"/>
    <w:rsid w:val="2A6B7BF3"/>
    <w:rsid w:val="2A706EC2"/>
    <w:rsid w:val="2A71043B"/>
    <w:rsid w:val="2A7353D1"/>
    <w:rsid w:val="2A7506E8"/>
    <w:rsid w:val="2A7C19A5"/>
    <w:rsid w:val="2A9270B0"/>
    <w:rsid w:val="2AA607D0"/>
    <w:rsid w:val="2AA72C13"/>
    <w:rsid w:val="2AAF0159"/>
    <w:rsid w:val="2AB0164F"/>
    <w:rsid w:val="2B0B5F08"/>
    <w:rsid w:val="2B0C0056"/>
    <w:rsid w:val="2B1E2BF0"/>
    <w:rsid w:val="2B2160A9"/>
    <w:rsid w:val="2B2335A9"/>
    <w:rsid w:val="2B2838DB"/>
    <w:rsid w:val="2B2C517A"/>
    <w:rsid w:val="2B370788"/>
    <w:rsid w:val="2B3C3BE4"/>
    <w:rsid w:val="2B490402"/>
    <w:rsid w:val="2B522706"/>
    <w:rsid w:val="2B54647E"/>
    <w:rsid w:val="2B581B41"/>
    <w:rsid w:val="2B5C5333"/>
    <w:rsid w:val="2B5D08F7"/>
    <w:rsid w:val="2B7C5748"/>
    <w:rsid w:val="2B90792A"/>
    <w:rsid w:val="2B9B31ED"/>
    <w:rsid w:val="2BA42C0B"/>
    <w:rsid w:val="2BA936A8"/>
    <w:rsid w:val="2BC01D66"/>
    <w:rsid w:val="2BCF2EE3"/>
    <w:rsid w:val="2BD870AF"/>
    <w:rsid w:val="2BED2084"/>
    <w:rsid w:val="2BF93B60"/>
    <w:rsid w:val="2C025EDA"/>
    <w:rsid w:val="2C037548"/>
    <w:rsid w:val="2C045020"/>
    <w:rsid w:val="2C052B7C"/>
    <w:rsid w:val="2C165F57"/>
    <w:rsid w:val="2C183950"/>
    <w:rsid w:val="2C1B50BA"/>
    <w:rsid w:val="2C2E20E8"/>
    <w:rsid w:val="2C315A5A"/>
    <w:rsid w:val="2C4959CF"/>
    <w:rsid w:val="2C4B1C25"/>
    <w:rsid w:val="2C634A7B"/>
    <w:rsid w:val="2C7C04FF"/>
    <w:rsid w:val="2C822ED4"/>
    <w:rsid w:val="2C974875"/>
    <w:rsid w:val="2CB5167B"/>
    <w:rsid w:val="2CB9597D"/>
    <w:rsid w:val="2CC469CB"/>
    <w:rsid w:val="2CDC4BBF"/>
    <w:rsid w:val="2CDE24A4"/>
    <w:rsid w:val="2CFB2816"/>
    <w:rsid w:val="2D0D68B9"/>
    <w:rsid w:val="2D1336B5"/>
    <w:rsid w:val="2D1759B5"/>
    <w:rsid w:val="2D201118"/>
    <w:rsid w:val="2D2F7924"/>
    <w:rsid w:val="2D4E05AC"/>
    <w:rsid w:val="2D54598E"/>
    <w:rsid w:val="2D696CA8"/>
    <w:rsid w:val="2D6F1EB4"/>
    <w:rsid w:val="2D726292"/>
    <w:rsid w:val="2D7A6580"/>
    <w:rsid w:val="2D7E7FA9"/>
    <w:rsid w:val="2D8B23AD"/>
    <w:rsid w:val="2D8E211C"/>
    <w:rsid w:val="2D9E0BE1"/>
    <w:rsid w:val="2D9E56F5"/>
    <w:rsid w:val="2DAC20F4"/>
    <w:rsid w:val="2DC85027"/>
    <w:rsid w:val="2DCD7871"/>
    <w:rsid w:val="2DD37D72"/>
    <w:rsid w:val="2DD5373B"/>
    <w:rsid w:val="2DDB4C35"/>
    <w:rsid w:val="2DE00329"/>
    <w:rsid w:val="2DE24215"/>
    <w:rsid w:val="2E047BD1"/>
    <w:rsid w:val="2E051061"/>
    <w:rsid w:val="2E073C7C"/>
    <w:rsid w:val="2E093550"/>
    <w:rsid w:val="2E0979E2"/>
    <w:rsid w:val="2E0F6B3A"/>
    <w:rsid w:val="2E415A38"/>
    <w:rsid w:val="2E41718E"/>
    <w:rsid w:val="2E466BDF"/>
    <w:rsid w:val="2E501318"/>
    <w:rsid w:val="2E5A3DAC"/>
    <w:rsid w:val="2E5F1435"/>
    <w:rsid w:val="2E606E0C"/>
    <w:rsid w:val="2E6111A5"/>
    <w:rsid w:val="2E667F96"/>
    <w:rsid w:val="2E813A2E"/>
    <w:rsid w:val="2E8226AB"/>
    <w:rsid w:val="2E9E3B01"/>
    <w:rsid w:val="2EBA140F"/>
    <w:rsid w:val="2EC5534C"/>
    <w:rsid w:val="2EC81596"/>
    <w:rsid w:val="2EC923E1"/>
    <w:rsid w:val="2EED0FDA"/>
    <w:rsid w:val="2EF36364"/>
    <w:rsid w:val="2EFF6701"/>
    <w:rsid w:val="2F10522B"/>
    <w:rsid w:val="2F5255B0"/>
    <w:rsid w:val="2F53021D"/>
    <w:rsid w:val="2F6057DD"/>
    <w:rsid w:val="2F616795"/>
    <w:rsid w:val="2F7467BD"/>
    <w:rsid w:val="2F7E2440"/>
    <w:rsid w:val="2F8B4A44"/>
    <w:rsid w:val="2F8D5048"/>
    <w:rsid w:val="2F961DA5"/>
    <w:rsid w:val="2F9652B7"/>
    <w:rsid w:val="2F991880"/>
    <w:rsid w:val="2F9E23BE"/>
    <w:rsid w:val="2F9F469B"/>
    <w:rsid w:val="2FB47210"/>
    <w:rsid w:val="2FB94916"/>
    <w:rsid w:val="2FCB09D6"/>
    <w:rsid w:val="2FD065E6"/>
    <w:rsid w:val="2FD96870"/>
    <w:rsid w:val="2FE77BFC"/>
    <w:rsid w:val="2FE853E7"/>
    <w:rsid w:val="2FED0C50"/>
    <w:rsid w:val="3013060E"/>
    <w:rsid w:val="30152082"/>
    <w:rsid w:val="30180837"/>
    <w:rsid w:val="30436200"/>
    <w:rsid w:val="304F36B8"/>
    <w:rsid w:val="30534F57"/>
    <w:rsid w:val="30580BC9"/>
    <w:rsid w:val="305B08A4"/>
    <w:rsid w:val="30774293"/>
    <w:rsid w:val="30795596"/>
    <w:rsid w:val="30A22724"/>
    <w:rsid w:val="30A4113F"/>
    <w:rsid w:val="30AB577E"/>
    <w:rsid w:val="30BC18E0"/>
    <w:rsid w:val="30C16364"/>
    <w:rsid w:val="30C4467E"/>
    <w:rsid w:val="30C74740"/>
    <w:rsid w:val="30CC0187"/>
    <w:rsid w:val="30CE0301"/>
    <w:rsid w:val="30D04328"/>
    <w:rsid w:val="30E146DC"/>
    <w:rsid w:val="30EB1AD1"/>
    <w:rsid w:val="30EF0E8C"/>
    <w:rsid w:val="30FF0C3A"/>
    <w:rsid w:val="31014D0B"/>
    <w:rsid w:val="31130176"/>
    <w:rsid w:val="311A7DC8"/>
    <w:rsid w:val="311E2ED7"/>
    <w:rsid w:val="31395673"/>
    <w:rsid w:val="31403146"/>
    <w:rsid w:val="31411253"/>
    <w:rsid w:val="315619EE"/>
    <w:rsid w:val="315C449C"/>
    <w:rsid w:val="31615451"/>
    <w:rsid w:val="316B6538"/>
    <w:rsid w:val="316E2211"/>
    <w:rsid w:val="31785E93"/>
    <w:rsid w:val="3185629D"/>
    <w:rsid w:val="31871454"/>
    <w:rsid w:val="31B82709"/>
    <w:rsid w:val="31BA1F94"/>
    <w:rsid w:val="31C80A90"/>
    <w:rsid w:val="31D05482"/>
    <w:rsid w:val="31D36BFB"/>
    <w:rsid w:val="31E420FE"/>
    <w:rsid w:val="320923DF"/>
    <w:rsid w:val="320A1706"/>
    <w:rsid w:val="32222E32"/>
    <w:rsid w:val="32400B34"/>
    <w:rsid w:val="324C0C07"/>
    <w:rsid w:val="32672F3B"/>
    <w:rsid w:val="32697305"/>
    <w:rsid w:val="32853251"/>
    <w:rsid w:val="32873093"/>
    <w:rsid w:val="328E4381"/>
    <w:rsid w:val="3295732F"/>
    <w:rsid w:val="329E6876"/>
    <w:rsid w:val="32A650BC"/>
    <w:rsid w:val="32B55A55"/>
    <w:rsid w:val="32BA76BA"/>
    <w:rsid w:val="32D01D72"/>
    <w:rsid w:val="32DC46B8"/>
    <w:rsid w:val="32DD144F"/>
    <w:rsid w:val="32DD1BA3"/>
    <w:rsid w:val="32E47AED"/>
    <w:rsid w:val="32EF34A0"/>
    <w:rsid w:val="32F816F2"/>
    <w:rsid w:val="33087DBE"/>
    <w:rsid w:val="33134F4A"/>
    <w:rsid w:val="333015F2"/>
    <w:rsid w:val="334B6320"/>
    <w:rsid w:val="33591086"/>
    <w:rsid w:val="335E433E"/>
    <w:rsid w:val="338D3BB2"/>
    <w:rsid w:val="339020DF"/>
    <w:rsid w:val="339675FF"/>
    <w:rsid w:val="33B51311"/>
    <w:rsid w:val="33B73A4E"/>
    <w:rsid w:val="33B856FA"/>
    <w:rsid w:val="33BB719D"/>
    <w:rsid w:val="33BC5A87"/>
    <w:rsid w:val="33C06DA7"/>
    <w:rsid w:val="33D934D4"/>
    <w:rsid w:val="33FE2F6A"/>
    <w:rsid w:val="340E07E5"/>
    <w:rsid w:val="341D06E1"/>
    <w:rsid w:val="34235BF7"/>
    <w:rsid w:val="34522691"/>
    <w:rsid w:val="345435AA"/>
    <w:rsid w:val="34645984"/>
    <w:rsid w:val="3474193F"/>
    <w:rsid w:val="347656B7"/>
    <w:rsid w:val="347A3B83"/>
    <w:rsid w:val="348953EB"/>
    <w:rsid w:val="34A522D6"/>
    <w:rsid w:val="34A5603E"/>
    <w:rsid w:val="34A7059C"/>
    <w:rsid w:val="34AC53C5"/>
    <w:rsid w:val="34AD6261"/>
    <w:rsid w:val="34C11FDC"/>
    <w:rsid w:val="34C5135F"/>
    <w:rsid w:val="34D84AC5"/>
    <w:rsid w:val="34EA39B0"/>
    <w:rsid w:val="34F9613B"/>
    <w:rsid w:val="34FF38FF"/>
    <w:rsid w:val="35137B57"/>
    <w:rsid w:val="351B181E"/>
    <w:rsid w:val="352B0250"/>
    <w:rsid w:val="3538296D"/>
    <w:rsid w:val="353A4937"/>
    <w:rsid w:val="35575444"/>
    <w:rsid w:val="35661D71"/>
    <w:rsid w:val="35696FCA"/>
    <w:rsid w:val="358202F1"/>
    <w:rsid w:val="35881B95"/>
    <w:rsid w:val="358C5FA8"/>
    <w:rsid w:val="35A22F5C"/>
    <w:rsid w:val="35B62B3D"/>
    <w:rsid w:val="35C15DF1"/>
    <w:rsid w:val="35F27DFF"/>
    <w:rsid w:val="35FC7E3E"/>
    <w:rsid w:val="35FE0BA4"/>
    <w:rsid w:val="35FE4417"/>
    <w:rsid w:val="36050606"/>
    <w:rsid w:val="36074A7F"/>
    <w:rsid w:val="361B3D26"/>
    <w:rsid w:val="363140CB"/>
    <w:rsid w:val="363C540D"/>
    <w:rsid w:val="365509A7"/>
    <w:rsid w:val="3669231D"/>
    <w:rsid w:val="366B28CE"/>
    <w:rsid w:val="3672257E"/>
    <w:rsid w:val="367A3449"/>
    <w:rsid w:val="36923549"/>
    <w:rsid w:val="369D6F2B"/>
    <w:rsid w:val="36A95791"/>
    <w:rsid w:val="36B75FBF"/>
    <w:rsid w:val="36BB5176"/>
    <w:rsid w:val="36BD0C45"/>
    <w:rsid w:val="36BE3132"/>
    <w:rsid w:val="36C45B89"/>
    <w:rsid w:val="36D130B5"/>
    <w:rsid w:val="36D23A8F"/>
    <w:rsid w:val="36DB5CA6"/>
    <w:rsid w:val="36E3362A"/>
    <w:rsid w:val="36E36908"/>
    <w:rsid w:val="37070764"/>
    <w:rsid w:val="370A0339"/>
    <w:rsid w:val="370A314C"/>
    <w:rsid w:val="37103BA1"/>
    <w:rsid w:val="37193014"/>
    <w:rsid w:val="373A3202"/>
    <w:rsid w:val="37555A58"/>
    <w:rsid w:val="377917AC"/>
    <w:rsid w:val="377D0B0B"/>
    <w:rsid w:val="377F748A"/>
    <w:rsid w:val="378906D0"/>
    <w:rsid w:val="37973D18"/>
    <w:rsid w:val="37986373"/>
    <w:rsid w:val="37A427F7"/>
    <w:rsid w:val="37A775AF"/>
    <w:rsid w:val="37A874BA"/>
    <w:rsid w:val="37C01537"/>
    <w:rsid w:val="37CD210E"/>
    <w:rsid w:val="37D2160F"/>
    <w:rsid w:val="37E00298"/>
    <w:rsid w:val="37EF7C5B"/>
    <w:rsid w:val="37FB060D"/>
    <w:rsid w:val="3818577D"/>
    <w:rsid w:val="381C3D8E"/>
    <w:rsid w:val="38404012"/>
    <w:rsid w:val="384C0B50"/>
    <w:rsid w:val="385265D9"/>
    <w:rsid w:val="385B53B3"/>
    <w:rsid w:val="388249E2"/>
    <w:rsid w:val="388E5944"/>
    <w:rsid w:val="389A0BB8"/>
    <w:rsid w:val="38B302F9"/>
    <w:rsid w:val="38B706D0"/>
    <w:rsid w:val="38C02510"/>
    <w:rsid w:val="38DB4455"/>
    <w:rsid w:val="38F12CD3"/>
    <w:rsid w:val="38F94775"/>
    <w:rsid w:val="390659BE"/>
    <w:rsid w:val="390B0AC4"/>
    <w:rsid w:val="39250143"/>
    <w:rsid w:val="392971ED"/>
    <w:rsid w:val="39325651"/>
    <w:rsid w:val="39457BF6"/>
    <w:rsid w:val="39563056"/>
    <w:rsid w:val="396948F7"/>
    <w:rsid w:val="397A79F8"/>
    <w:rsid w:val="398919E9"/>
    <w:rsid w:val="398C7137"/>
    <w:rsid w:val="399124F9"/>
    <w:rsid w:val="39937111"/>
    <w:rsid w:val="399565E0"/>
    <w:rsid w:val="399C796E"/>
    <w:rsid w:val="39A35FB9"/>
    <w:rsid w:val="39A36F16"/>
    <w:rsid w:val="39A646FD"/>
    <w:rsid w:val="39BA729B"/>
    <w:rsid w:val="39C921EB"/>
    <w:rsid w:val="39C94642"/>
    <w:rsid w:val="39CB3F65"/>
    <w:rsid w:val="39CE684A"/>
    <w:rsid w:val="39D8471E"/>
    <w:rsid w:val="39F81160"/>
    <w:rsid w:val="39FC665F"/>
    <w:rsid w:val="3A06303A"/>
    <w:rsid w:val="3A105C66"/>
    <w:rsid w:val="3A184B1B"/>
    <w:rsid w:val="3A233FDF"/>
    <w:rsid w:val="3A2C26F9"/>
    <w:rsid w:val="3A4802B6"/>
    <w:rsid w:val="3A4D33C5"/>
    <w:rsid w:val="3A4E5D33"/>
    <w:rsid w:val="3A612966"/>
    <w:rsid w:val="3A6B10EF"/>
    <w:rsid w:val="3A6E7F2B"/>
    <w:rsid w:val="3A811776"/>
    <w:rsid w:val="3A872856"/>
    <w:rsid w:val="3A992536"/>
    <w:rsid w:val="3A9B45AD"/>
    <w:rsid w:val="3AD57AD7"/>
    <w:rsid w:val="3ADA4AE2"/>
    <w:rsid w:val="3AED27B6"/>
    <w:rsid w:val="3AFC3FAF"/>
    <w:rsid w:val="3B0E4C93"/>
    <w:rsid w:val="3B135AA1"/>
    <w:rsid w:val="3B165984"/>
    <w:rsid w:val="3B311ECB"/>
    <w:rsid w:val="3B3763D1"/>
    <w:rsid w:val="3B4E14F1"/>
    <w:rsid w:val="3B554279"/>
    <w:rsid w:val="3B783FC6"/>
    <w:rsid w:val="3B8E05B6"/>
    <w:rsid w:val="3B904AB2"/>
    <w:rsid w:val="3BAD4181"/>
    <w:rsid w:val="3BAE1BDB"/>
    <w:rsid w:val="3BB014AF"/>
    <w:rsid w:val="3BB07701"/>
    <w:rsid w:val="3BD03348"/>
    <w:rsid w:val="3BD72EE0"/>
    <w:rsid w:val="3BE22603"/>
    <w:rsid w:val="3BEF756B"/>
    <w:rsid w:val="3C017F5D"/>
    <w:rsid w:val="3C063BDE"/>
    <w:rsid w:val="3C15752F"/>
    <w:rsid w:val="3C2105FF"/>
    <w:rsid w:val="3C237ED3"/>
    <w:rsid w:val="3C2D6FA3"/>
    <w:rsid w:val="3C2F6E1E"/>
    <w:rsid w:val="3C4F64BA"/>
    <w:rsid w:val="3C594D12"/>
    <w:rsid w:val="3C830972"/>
    <w:rsid w:val="3C8B7826"/>
    <w:rsid w:val="3C9868D9"/>
    <w:rsid w:val="3C9B215F"/>
    <w:rsid w:val="3CB71A4C"/>
    <w:rsid w:val="3CD73E7B"/>
    <w:rsid w:val="3CDA245A"/>
    <w:rsid w:val="3CDA447A"/>
    <w:rsid w:val="3CE36288"/>
    <w:rsid w:val="3CEB47AA"/>
    <w:rsid w:val="3CEF6007"/>
    <w:rsid w:val="3CF064EF"/>
    <w:rsid w:val="3CF53441"/>
    <w:rsid w:val="3D05156E"/>
    <w:rsid w:val="3D0A16CD"/>
    <w:rsid w:val="3D186608"/>
    <w:rsid w:val="3D1D5019"/>
    <w:rsid w:val="3D1E06B7"/>
    <w:rsid w:val="3D2F6D96"/>
    <w:rsid w:val="3D577655"/>
    <w:rsid w:val="3D600CB3"/>
    <w:rsid w:val="3D645AF4"/>
    <w:rsid w:val="3D6C4847"/>
    <w:rsid w:val="3D6C7658"/>
    <w:rsid w:val="3D6F0EF6"/>
    <w:rsid w:val="3D7851E1"/>
    <w:rsid w:val="3D8827F5"/>
    <w:rsid w:val="3DB01748"/>
    <w:rsid w:val="3DC20F1D"/>
    <w:rsid w:val="3DD30B29"/>
    <w:rsid w:val="3DE42DE4"/>
    <w:rsid w:val="3DE84320"/>
    <w:rsid w:val="3DF5409F"/>
    <w:rsid w:val="3E297510"/>
    <w:rsid w:val="3E542340"/>
    <w:rsid w:val="3E5E04B0"/>
    <w:rsid w:val="3E852A9B"/>
    <w:rsid w:val="3E907376"/>
    <w:rsid w:val="3E985BD3"/>
    <w:rsid w:val="3E9C7122"/>
    <w:rsid w:val="3E9F1F49"/>
    <w:rsid w:val="3EC06FE2"/>
    <w:rsid w:val="3ED100BA"/>
    <w:rsid w:val="3EDA0523"/>
    <w:rsid w:val="3EDC5DF8"/>
    <w:rsid w:val="3EE002FD"/>
    <w:rsid w:val="3EF04203"/>
    <w:rsid w:val="3F0339F8"/>
    <w:rsid w:val="3F370BCB"/>
    <w:rsid w:val="3F3F3C49"/>
    <w:rsid w:val="3F4A0D5C"/>
    <w:rsid w:val="3F4A5C03"/>
    <w:rsid w:val="3F4C766B"/>
    <w:rsid w:val="3F5B0CC7"/>
    <w:rsid w:val="3F6371D0"/>
    <w:rsid w:val="3F684AE5"/>
    <w:rsid w:val="3F7878C4"/>
    <w:rsid w:val="3F942E96"/>
    <w:rsid w:val="3FAB4779"/>
    <w:rsid w:val="3FB13A48"/>
    <w:rsid w:val="3FBB6674"/>
    <w:rsid w:val="3FC714BD"/>
    <w:rsid w:val="3FCE45FA"/>
    <w:rsid w:val="401D0186"/>
    <w:rsid w:val="402D7572"/>
    <w:rsid w:val="40316936"/>
    <w:rsid w:val="40387CC5"/>
    <w:rsid w:val="40464190"/>
    <w:rsid w:val="404733F1"/>
    <w:rsid w:val="404A5243"/>
    <w:rsid w:val="404B160A"/>
    <w:rsid w:val="40512B35"/>
    <w:rsid w:val="407A6407"/>
    <w:rsid w:val="407D6DAF"/>
    <w:rsid w:val="4081166C"/>
    <w:rsid w:val="40842F0A"/>
    <w:rsid w:val="40996466"/>
    <w:rsid w:val="40BE0195"/>
    <w:rsid w:val="40CD2B03"/>
    <w:rsid w:val="40F30AEB"/>
    <w:rsid w:val="40FE2CBD"/>
    <w:rsid w:val="40FF2506"/>
    <w:rsid w:val="41031EBC"/>
    <w:rsid w:val="41056899"/>
    <w:rsid w:val="410C7C76"/>
    <w:rsid w:val="410D73A4"/>
    <w:rsid w:val="412D5350"/>
    <w:rsid w:val="41326D3A"/>
    <w:rsid w:val="4133279B"/>
    <w:rsid w:val="4170781D"/>
    <w:rsid w:val="4191596C"/>
    <w:rsid w:val="41935591"/>
    <w:rsid w:val="419756B3"/>
    <w:rsid w:val="41A7056B"/>
    <w:rsid w:val="41AF633F"/>
    <w:rsid w:val="41AF6D2C"/>
    <w:rsid w:val="41B07B63"/>
    <w:rsid w:val="41B227D6"/>
    <w:rsid w:val="41CD649A"/>
    <w:rsid w:val="41D13F2D"/>
    <w:rsid w:val="41DB2F48"/>
    <w:rsid w:val="41F1637D"/>
    <w:rsid w:val="4200449D"/>
    <w:rsid w:val="4214633D"/>
    <w:rsid w:val="421E2360"/>
    <w:rsid w:val="422E312E"/>
    <w:rsid w:val="423A3BCC"/>
    <w:rsid w:val="42440BA3"/>
    <w:rsid w:val="424E57D2"/>
    <w:rsid w:val="427A77A7"/>
    <w:rsid w:val="42836E8A"/>
    <w:rsid w:val="428B2A4F"/>
    <w:rsid w:val="428B52BD"/>
    <w:rsid w:val="4290789F"/>
    <w:rsid w:val="429B1905"/>
    <w:rsid w:val="42AC6A21"/>
    <w:rsid w:val="42B055C8"/>
    <w:rsid w:val="42B26C49"/>
    <w:rsid w:val="42C3735C"/>
    <w:rsid w:val="42C62494"/>
    <w:rsid w:val="42D71A17"/>
    <w:rsid w:val="42DC702D"/>
    <w:rsid w:val="42DE0FA3"/>
    <w:rsid w:val="42EE4A5B"/>
    <w:rsid w:val="4309471D"/>
    <w:rsid w:val="430B050B"/>
    <w:rsid w:val="43207507"/>
    <w:rsid w:val="4324118E"/>
    <w:rsid w:val="433A4FFB"/>
    <w:rsid w:val="433A6FE6"/>
    <w:rsid w:val="433C556E"/>
    <w:rsid w:val="43404BED"/>
    <w:rsid w:val="434700AC"/>
    <w:rsid w:val="43480868"/>
    <w:rsid w:val="434D5127"/>
    <w:rsid w:val="4350713C"/>
    <w:rsid w:val="436653E0"/>
    <w:rsid w:val="437234EE"/>
    <w:rsid w:val="43760AD2"/>
    <w:rsid w:val="437F16F7"/>
    <w:rsid w:val="43811983"/>
    <w:rsid w:val="43876A55"/>
    <w:rsid w:val="43C24475"/>
    <w:rsid w:val="43C4431A"/>
    <w:rsid w:val="43C62A54"/>
    <w:rsid w:val="43CD0E03"/>
    <w:rsid w:val="43CD6464"/>
    <w:rsid w:val="43E443EC"/>
    <w:rsid w:val="43E720AB"/>
    <w:rsid w:val="43E837B0"/>
    <w:rsid w:val="43ED3070"/>
    <w:rsid w:val="442608A3"/>
    <w:rsid w:val="443A30D7"/>
    <w:rsid w:val="44526763"/>
    <w:rsid w:val="445A645C"/>
    <w:rsid w:val="4467501D"/>
    <w:rsid w:val="447B42A2"/>
    <w:rsid w:val="447F0234"/>
    <w:rsid w:val="448F63A1"/>
    <w:rsid w:val="449449D4"/>
    <w:rsid w:val="44954C10"/>
    <w:rsid w:val="449777A4"/>
    <w:rsid w:val="44A91191"/>
    <w:rsid w:val="44AD0C81"/>
    <w:rsid w:val="44AE056E"/>
    <w:rsid w:val="44B20B3E"/>
    <w:rsid w:val="44B951CC"/>
    <w:rsid w:val="44C24879"/>
    <w:rsid w:val="44C71A91"/>
    <w:rsid w:val="44CD14E0"/>
    <w:rsid w:val="44E67FBA"/>
    <w:rsid w:val="44EB4990"/>
    <w:rsid w:val="44ED5522"/>
    <w:rsid w:val="44F20B0B"/>
    <w:rsid w:val="44F31176"/>
    <w:rsid w:val="44FD4B65"/>
    <w:rsid w:val="450464A6"/>
    <w:rsid w:val="45064655"/>
    <w:rsid w:val="45140D01"/>
    <w:rsid w:val="451A1577"/>
    <w:rsid w:val="451C4537"/>
    <w:rsid w:val="451F3149"/>
    <w:rsid w:val="45237C2E"/>
    <w:rsid w:val="452E5F4C"/>
    <w:rsid w:val="45490F07"/>
    <w:rsid w:val="4552724E"/>
    <w:rsid w:val="455B6133"/>
    <w:rsid w:val="45612018"/>
    <w:rsid w:val="45687789"/>
    <w:rsid w:val="457D11CB"/>
    <w:rsid w:val="458946E9"/>
    <w:rsid w:val="458D1E80"/>
    <w:rsid w:val="45981DB4"/>
    <w:rsid w:val="45A47C0E"/>
    <w:rsid w:val="45A96EDA"/>
    <w:rsid w:val="45CA5C29"/>
    <w:rsid w:val="45D40490"/>
    <w:rsid w:val="45D64208"/>
    <w:rsid w:val="45DD5596"/>
    <w:rsid w:val="45DF37F8"/>
    <w:rsid w:val="45EA24AB"/>
    <w:rsid w:val="45EA700D"/>
    <w:rsid w:val="45ED4198"/>
    <w:rsid w:val="45F66F5E"/>
    <w:rsid w:val="45FD3ED0"/>
    <w:rsid w:val="45FD5068"/>
    <w:rsid w:val="46145CE6"/>
    <w:rsid w:val="462B7A84"/>
    <w:rsid w:val="463F789E"/>
    <w:rsid w:val="46455D87"/>
    <w:rsid w:val="464C0026"/>
    <w:rsid w:val="464C6F11"/>
    <w:rsid w:val="46546F3A"/>
    <w:rsid w:val="465670F7"/>
    <w:rsid w:val="46577FD6"/>
    <w:rsid w:val="466B3E45"/>
    <w:rsid w:val="4674376B"/>
    <w:rsid w:val="46780E1B"/>
    <w:rsid w:val="4678224C"/>
    <w:rsid w:val="46790A77"/>
    <w:rsid w:val="467B0413"/>
    <w:rsid w:val="469A5235"/>
    <w:rsid w:val="46A77952"/>
    <w:rsid w:val="46AE4BEC"/>
    <w:rsid w:val="46BE5637"/>
    <w:rsid w:val="46BF5093"/>
    <w:rsid w:val="46CB53EF"/>
    <w:rsid w:val="46D32ECA"/>
    <w:rsid w:val="46D333AA"/>
    <w:rsid w:val="46D76B1E"/>
    <w:rsid w:val="46D955A7"/>
    <w:rsid w:val="46E841F3"/>
    <w:rsid w:val="4703732E"/>
    <w:rsid w:val="47133957"/>
    <w:rsid w:val="47163841"/>
    <w:rsid w:val="4716429C"/>
    <w:rsid w:val="471A1424"/>
    <w:rsid w:val="4726178A"/>
    <w:rsid w:val="472D2090"/>
    <w:rsid w:val="473A076C"/>
    <w:rsid w:val="47541888"/>
    <w:rsid w:val="47685EC2"/>
    <w:rsid w:val="476B6BD2"/>
    <w:rsid w:val="47744906"/>
    <w:rsid w:val="477A0426"/>
    <w:rsid w:val="477C40B7"/>
    <w:rsid w:val="478440DF"/>
    <w:rsid w:val="478F28C0"/>
    <w:rsid w:val="4791503A"/>
    <w:rsid w:val="479465C7"/>
    <w:rsid w:val="47A07E0C"/>
    <w:rsid w:val="47AC1C8F"/>
    <w:rsid w:val="47AD75EE"/>
    <w:rsid w:val="47B9631D"/>
    <w:rsid w:val="47BC28CB"/>
    <w:rsid w:val="47C65C99"/>
    <w:rsid w:val="47D159DD"/>
    <w:rsid w:val="47EE0AE2"/>
    <w:rsid w:val="47F364E0"/>
    <w:rsid w:val="47F562B0"/>
    <w:rsid w:val="48010AA9"/>
    <w:rsid w:val="4801696B"/>
    <w:rsid w:val="48102B8B"/>
    <w:rsid w:val="481607C6"/>
    <w:rsid w:val="48223734"/>
    <w:rsid w:val="4859110F"/>
    <w:rsid w:val="485B6637"/>
    <w:rsid w:val="4870272E"/>
    <w:rsid w:val="488133C2"/>
    <w:rsid w:val="488F0FA9"/>
    <w:rsid w:val="48953A7B"/>
    <w:rsid w:val="48C04CFB"/>
    <w:rsid w:val="48EF1B69"/>
    <w:rsid w:val="48FF5824"/>
    <w:rsid w:val="49141FD4"/>
    <w:rsid w:val="491A289A"/>
    <w:rsid w:val="492C2CAA"/>
    <w:rsid w:val="492F0154"/>
    <w:rsid w:val="49365565"/>
    <w:rsid w:val="493C4083"/>
    <w:rsid w:val="493E1F20"/>
    <w:rsid w:val="49427EF5"/>
    <w:rsid w:val="49555444"/>
    <w:rsid w:val="497246BA"/>
    <w:rsid w:val="49730F71"/>
    <w:rsid w:val="49762CCF"/>
    <w:rsid w:val="49787384"/>
    <w:rsid w:val="497C58CA"/>
    <w:rsid w:val="49975A5C"/>
    <w:rsid w:val="49A30B3E"/>
    <w:rsid w:val="49AA19C3"/>
    <w:rsid w:val="49C275E8"/>
    <w:rsid w:val="49CE3A09"/>
    <w:rsid w:val="49D767A1"/>
    <w:rsid w:val="49DC7715"/>
    <w:rsid w:val="49DF2815"/>
    <w:rsid w:val="49E14F29"/>
    <w:rsid w:val="49E32EDD"/>
    <w:rsid w:val="49FC1D63"/>
    <w:rsid w:val="49FC2411"/>
    <w:rsid w:val="4A023139"/>
    <w:rsid w:val="4A1E3175"/>
    <w:rsid w:val="4A1F1856"/>
    <w:rsid w:val="4A2A2D74"/>
    <w:rsid w:val="4A40636D"/>
    <w:rsid w:val="4A4215A5"/>
    <w:rsid w:val="4A491CDA"/>
    <w:rsid w:val="4A5C0EF6"/>
    <w:rsid w:val="4A610D81"/>
    <w:rsid w:val="4A682563"/>
    <w:rsid w:val="4A6D7A87"/>
    <w:rsid w:val="4A713D5E"/>
    <w:rsid w:val="4A7144AC"/>
    <w:rsid w:val="4A723104"/>
    <w:rsid w:val="4A7B576F"/>
    <w:rsid w:val="4A9D70A2"/>
    <w:rsid w:val="4AAC5AF6"/>
    <w:rsid w:val="4AB143BA"/>
    <w:rsid w:val="4AB60FF7"/>
    <w:rsid w:val="4AB80EF1"/>
    <w:rsid w:val="4AB926FD"/>
    <w:rsid w:val="4AC14A98"/>
    <w:rsid w:val="4AC46B69"/>
    <w:rsid w:val="4AC72371"/>
    <w:rsid w:val="4AE44CD1"/>
    <w:rsid w:val="4AE56CE5"/>
    <w:rsid w:val="4AE6342E"/>
    <w:rsid w:val="4AE64EED"/>
    <w:rsid w:val="4AF561A9"/>
    <w:rsid w:val="4AFC7BF7"/>
    <w:rsid w:val="4B01317C"/>
    <w:rsid w:val="4B037A44"/>
    <w:rsid w:val="4B0B6702"/>
    <w:rsid w:val="4B191471"/>
    <w:rsid w:val="4B1C3CD9"/>
    <w:rsid w:val="4B26785E"/>
    <w:rsid w:val="4B3621F1"/>
    <w:rsid w:val="4B3C03A4"/>
    <w:rsid w:val="4B3E33A3"/>
    <w:rsid w:val="4B41673E"/>
    <w:rsid w:val="4B69317B"/>
    <w:rsid w:val="4B770C64"/>
    <w:rsid w:val="4B880802"/>
    <w:rsid w:val="4B954AE4"/>
    <w:rsid w:val="4BA11E61"/>
    <w:rsid w:val="4BA356C8"/>
    <w:rsid w:val="4BDC3E3E"/>
    <w:rsid w:val="4BE40D01"/>
    <w:rsid w:val="4C0453E8"/>
    <w:rsid w:val="4C2368AC"/>
    <w:rsid w:val="4C4A0649"/>
    <w:rsid w:val="4C50700A"/>
    <w:rsid w:val="4C547C35"/>
    <w:rsid w:val="4C745E7B"/>
    <w:rsid w:val="4C7A5659"/>
    <w:rsid w:val="4C7E5ECA"/>
    <w:rsid w:val="4C836187"/>
    <w:rsid w:val="4C876AA5"/>
    <w:rsid w:val="4C8C3F82"/>
    <w:rsid w:val="4CAA6A7D"/>
    <w:rsid w:val="4CBC32F1"/>
    <w:rsid w:val="4CBE77A4"/>
    <w:rsid w:val="4CC1753B"/>
    <w:rsid w:val="4CC252B5"/>
    <w:rsid w:val="4CDC452F"/>
    <w:rsid w:val="4CDD6C03"/>
    <w:rsid w:val="4CE17311"/>
    <w:rsid w:val="4CF53F5B"/>
    <w:rsid w:val="4D04165B"/>
    <w:rsid w:val="4D0E00FB"/>
    <w:rsid w:val="4D106251"/>
    <w:rsid w:val="4D112DA8"/>
    <w:rsid w:val="4D16313C"/>
    <w:rsid w:val="4D176606"/>
    <w:rsid w:val="4D5F4AE3"/>
    <w:rsid w:val="4D6D7832"/>
    <w:rsid w:val="4D8F77C9"/>
    <w:rsid w:val="4D9579E3"/>
    <w:rsid w:val="4DA10F77"/>
    <w:rsid w:val="4DCD10CD"/>
    <w:rsid w:val="4DE836C1"/>
    <w:rsid w:val="4DEC4FB0"/>
    <w:rsid w:val="4DF05E73"/>
    <w:rsid w:val="4DF7368F"/>
    <w:rsid w:val="4DF90E71"/>
    <w:rsid w:val="4E0624EA"/>
    <w:rsid w:val="4E075D8A"/>
    <w:rsid w:val="4E0C6BB2"/>
    <w:rsid w:val="4E0F6509"/>
    <w:rsid w:val="4E516296"/>
    <w:rsid w:val="4E520779"/>
    <w:rsid w:val="4E521BD1"/>
    <w:rsid w:val="4E750330"/>
    <w:rsid w:val="4E756DDC"/>
    <w:rsid w:val="4E8113A6"/>
    <w:rsid w:val="4E8D6872"/>
    <w:rsid w:val="4E8E2F0D"/>
    <w:rsid w:val="4E911955"/>
    <w:rsid w:val="4E9613BE"/>
    <w:rsid w:val="4EA3013C"/>
    <w:rsid w:val="4EA83BE7"/>
    <w:rsid w:val="4EC00FAD"/>
    <w:rsid w:val="4ECA265F"/>
    <w:rsid w:val="4ED96B17"/>
    <w:rsid w:val="4EE44A06"/>
    <w:rsid w:val="4F110DA5"/>
    <w:rsid w:val="4F113781"/>
    <w:rsid w:val="4F1A25AD"/>
    <w:rsid w:val="4F6374DE"/>
    <w:rsid w:val="4F745A76"/>
    <w:rsid w:val="4F7D56F4"/>
    <w:rsid w:val="4F7F264F"/>
    <w:rsid w:val="4F856531"/>
    <w:rsid w:val="4F8E4787"/>
    <w:rsid w:val="4F952407"/>
    <w:rsid w:val="4F9843DC"/>
    <w:rsid w:val="4FAF056A"/>
    <w:rsid w:val="4FB853A1"/>
    <w:rsid w:val="4FC62A8C"/>
    <w:rsid w:val="4FC6793C"/>
    <w:rsid w:val="4FD04988"/>
    <w:rsid w:val="4FE20F0D"/>
    <w:rsid w:val="4FE51552"/>
    <w:rsid w:val="4FF254C9"/>
    <w:rsid w:val="4FFC58B5"/>
    <w:rsid w:val="4FFF40B3"/>
    <w:rsid w:val="5005504C"/>
    <w:rsid w:val="50165124"/>
    <w:rsid w:val="501C6CBB"/>
    <w:rsid w:val="501E0C41"/>
    <w:rsid w:val="5027330E"/>
    <w:rsid w:val="50504C4B"/>
    <w:rsid w:val="506105AA"/>
    <w:rsid w:val="509C6E7C"/>
    <w:rsid w:val="50A3118B"/>
    <w:rsid w:val="50C65473"/>
    <w:rsid w:val="50CC1778"/>
    <w:rsid w:val="50CF7027"/>
    <w:rsid w:val="50E465FD"/>
    <w:rsid w:val="50E64BAF"/>
    <w:rsid w:val="50ED44BA"/>
    <w:rsid w:val="50F80838"/>
    <w:rsid w:val="51075C3C"/>
    <w:rsid w:val="510D30B3"/>
    <w:rsid w:val="5124794A"/>
    <w:rsid w:val="51256043"/>
    <w:rsid w:val="51550C14"/>
    <w:rsid w:val="5160646A"/>
    <w:rsid w:val="5162104E"/>
    <w:rsid w:val="519369E9"/>
    <w:rsid w:val="5197538D"/>
    <w:rsid w:val="51B702B7"/>
    <w:rsid w:val="51BC4CC0"/>
    <w:rsid w:val="51EE0B2B"/>
    <w:rsid w:val="51F003FF"/>
    <w:rsid w:val="51FC7A9D"/>
    <w:rsid w:val="51FF2E33"/>
    <w:rsid w:val="52003861"/>
    <w:rsid w:val="521F6F37"/>
    <w:rsid w:val="522464EF"/>
    <w:rsid w:val="524B3888"/>
    <w:rsid w:val="52620914"/>
    <w:rsid w:val="526E02E6"/>
    <w:rsid w:val="527275EF"/>
    <w:rsid w:val="527649FB"/>
    <w:rsid w:val="52822B0F"/>
    <w:rsid w:val="5292555D"/>
    <w:rsid w:val="52BB04D1"/>
    <w:rsid w:val="52D01FDF"/>
    <w:rsid w:val="52EB0472"/>
    <w:rsid w:val="52ED2F59"/>
    <w:rsid w:val="52F97788"/>
    <w:rsid w:val="52FD21DE"/>
    <w:rsid w:val="5306336A"/>
    <w:rsid w:val="53320EB7"/>
    <w:rsid w:val="533D46E1"/>
    <w:rsid w:val="53426A39"/>
    <w:rsid w:val="536203AC"/>
    <w:rsid w:val="53690469"/>
    <w:rsid w:val="536A38C5"/>
    <w:rsid w:val="53871845"/>
    <w:rsid w:val="53894668"/>
    <w:rsid w:val="538A03E0"/>
    <w:rsid w:val="53980D4F"/>
    <w:rsid w:val="539E00B0"/>
    <w:rsid w:val="53A039CC"/>
    <w:rsid w:val="53A1505A"/>
    <w:rsid w:val="53A21BCD"/>
    <w:rsid w:val="53BA2797"/>
    <w:rsid w:val="53C24559"/>
    <w:rsid w:val="53C7223B"/>
    <w:rsid w:val="53CF48A7"/>
    <w:rsid w:val="53D44FAF"/>
    <w:rsid w:val="53F54917"/>
    <w:rsid w:val="53FD20BF"/>
    <w:rsid w:val="53FD2AD0"/>
    <w:rsid w:val="54063E08"/>
    <w:rsid w:val="541B4CF0"/>
    <w:rsid w:val="542720D3"/>
    <w:rsid w:val="542B3E89"/>
    <w:rsid w:val="543437E8"/>
    <w:rsid w:val="543E622E"/>
    <w:rsid w:val="543F11CA"/>
    <w:rsid w:val="543F50B2"/>
    <w:rsid w:val="54414309"/>
    <w:rsid w:val="5449519D"/>
    <w:rsid w:val="544E1E29"/>
    <w:rsid w:val="546832F7"/>
    <w:rsid w:val="54695022"/>
    <w:rsid w:val="548C2946"/>
    <w:rsid w:val="5496185C"/>
    <w:rsid w:val="54AA75CF"/>
    <w:rsid w:val="54C120B1"/>
    <w:rsid w:val="54D5124F"/>
    <w:rsid w:val="54DA538B"/>
    <w:rsid w:val="54E029AD"/>
    <w:rsid w:val="54EA382C"/>
    <w:rsid w:val="54EC11E5"/>
    <w:rsid w:val="54F73313"/>
    <w:rsid w:val="54F80955"/>
    <w:rsid w:val="54FC1BD7"/>
    <w:rsid w:val="550153AB"/>
    <w:rsid w:val="55026163"/>
    <w:rsid w:val="550850DA"/>
    <w:rsid w:val="5510701F"/>
    <w:rsid w:val="55236D3E"/>
    <w:rsid w:val="5538713D"/>
    <w:rsid w:val="555170A7"/>
    <w:rsid w:val="55583A76"/>
    <w:rsid w:val="556860ED"/>
    <w:rsid w:val="55747832"/>
    <w:rsid w:val="557E2DEC"/>
    <w:rsid w:val="557F0572"/>
    <w:rsid w:val="558109ED"/>
    <w:rsid w:val="5587536D"/>
    <w:rsid w:val="5588393C"/>
    <w:rsid w:val="55923A2D"/>
    <w:rsid w:val="559B0682"/>
    <w:rsid w:val="559B174B"/>
    <w:rsid w:val="55A2425E"/>
    <w:rsid w:val="55B251ED"/>
    <w:rsid w:val="55C20305"/>
    <w:rsid w:val="55CE0CF4"/>
    <w:rsid w:val="55D219FA"/>
    <w:rsid w:val="55DA6694"/>
    <w:rsid w:val="55DB13C7"/>
    <w:rsid w:val="55E77D6B"/>
    <w:rsid w:val="56051AAF"/>
    <w:rsid w:val="56172757"/>
    <w:rsid w:val="56236C6E"/>
    <w:rsid w:val="562427EC"/>
    <w:rsid w:val="562B331C"/>
    <w:rsid w:val="563B5ABF"/>
    <w:rsid w:val="5644767C"/>
    <w:rsid w:val="56502428"/>
    <w:rsid w:val="565166AD"/>
    <w:rsid w:val="5675562E"/>
    <w:rsid w:val="567A60F2"/>
    <w:rsid w:val="56834F0D"/>
    <w:rsid w:val="56932A24"/>
    <w:rsid w:val="56934B2D"/>
    <w:rsid w:val="56935C09"/>
    <w:rsid w:val="569A6B8C"/>
    <w:rsid w:val="56B22A9C"/>
    <w:rsid w:val="56C52441"/>
    <w:rsid w:val="56C97471"/>
    <w:rsid w:val="56CA363C"/>
    <w:rsid w:val="56E06137"/>
    <w:rsid w:val="56F269C8"/>
    <w:rsid w:val="56FA5F91"/>
    <w:rsid w:val="571C3A45"/>
    <w:rsid w:val="571E5A0F"/>
    <w:rsid w:val="57313BA2"/>
    <w:rsid w:val="57461690"/>
    <w:rsid w:val="5774562F"/>
    <w:rsid w:val="577C7327"/>
    <w:rsid w:val="57933D38"/>
    <w:rsid w:val="579F72F0"/>
    <w:rsid w:val="57AA7E65"/>
    <w:rsid w:val="57AC54EA"/>
    <w:rsid w:val="57B72A76"/>
    <w:rsid w:val="57C108CD"/>
    <w:rsid w:val="57C31A18"/>
    <w:rsid w:val="57C3426C"/>
    <w:rsid w:val="57C87729"/>
    <w:rsid w:val="57CE1F93"/>
    <w:rsid w:val="57E24C8E"/>
    <w:rsid w:val="57E62D59"/>
    <w:rsid w:val="57E9601D"/>
    <w:rsid w:val="57EE39EA"/>
    <w:rsid w:val="57FA3D86"/>
    <w:rsid w:val="5807406E"/>
    <w:rsid w:val="58150BC0"/>
    <w:rsid w:val="58156E12"/>
    <w:rsid w:val="58177F4F"/>
    <w:rsid w:val="58233265"/>
    <w:rsid w:val="58233EE7"/>
    <w:rsid w:val="58310F4D"/>
    <w:rsid w:val="584A0389"/>
    <w:rsid w:val="58865568"/>
    <w:rsid w:val="58873140"/>
    <w:rsid w:val="588743D1"/>
    <w:rsid w:val="5887701A"/>
    <w:rsid w:val="588931A0"/>
    <w:rsid w:val="58921AD3"/>
    <w:rsid w:val="589866DF"/>
    <w:rsid w:val="58A4192B"/>
    <w:rsid w:val="58A837F3"/>
    <w:rsid w:val="58AA2F55"/>
    <w:rsid w:val="58B86690"/>
    <w:rsid w:val="58D72D70"/>
    <w:rsid w:val="58D908FB"/>
    <w:rsid w:val="58EC08C4"/>
    <w:rsid w:val="59254E33"/>
    <w:rsid w:val="5929341A"/>
    <w:rsid w:val="595D0AD1"/>
    <w:rsid w:val="597638E0"/>
    <w:rsid w:val="599124C8"/>
    <w:rsid w:val="59B70343"/>
    <w:rsid w:val="59C0439F"/>
    <w:rsid w:val="59C06E3C"/>
    <w:rsid w:val="59C12681"/>
    <w:rsid w:val="59C22446"/>
    <w:rsid w:val="59CC52AE"/>
    <w:rsid w:val="59D40607"/>
    <w:rsid w:val="59D6614D"/>
    <w:rsid w:val="59DA25AA"/>
    <w:rsid w:val="59DD53DB"/>
    <w:rsid w:val="59F23D36"/>
    <w:rsid w:val="5A021C03"/>
    <w:rsid w:val="5A0F1FD6"/>
    <w:rsid w:val="5A1E62F5"/>
    <w:rsid w:val="5A2C21F1"/>
    <w:rsid w:val="5A33343B"/>
    <w:rsid w:val="5A513C39"/>
    <w:rsid w:val="5A59758B"/>
    <w:rsid w:val="5A5A51FD"/>
    <w:rsid w:val="5A6C083F"/>
    <w:rsid w:val="5A81253D"/>
    <w:rsid w:val="5A861ABD"/>
    <w:rsid w:val="5A892425"/>
    <w:rsid w:val="5A9B1124"/>
    <w:rsid w:val="5AA808D8"/>
    <w:rsid w:val="5AA86B02"/>
    <w:rsid w:val="5AAD1584"/>
    <w:rsid w:val="5AB80AB5"/>
    <w:rsid w:val="5ABE2233"/>
    <w:rsid w:val="5AC32B55"/>
    <w:rsid w:val="5AF51CF5"/>
    <w:rsid w:val="5AF66DB7"/>
    <w:rsid w:val="5B092A10"/>
    <w:rsid w:val="5B0E7B48"/>
    <w:rsid w:val="5B187A6A"/>
    <w:rsid w:val="5B2006DD"/>
    <w:rsid w:val="5B287ADD"/>
    <w:rsid w:val="5B3550D5"/>
    <w:rsid w:val="5B387B4C"/>
    <w:rsid w:val="5B3F149A"/>
    <w:rsid w:val="5B4348A7"/>
    <w:rsid w:val="5B4D0671"/>
    <w:rsid w:val="5B6634E0"/>
    <w:rsid w:val="5B690172"/>
    <w:rsid w:val="5B955B74"/>
    <w:rsid w:val="5BA33419"/>
    <w:rsid w:val="5BA877DF"/>
    <w:rsid w:val="5BB05FB7"/>
    <w:rsid w:val="5BBC1352"/>
    <w:rsid w:val="5BDF5D95"/>
    <w:rsid w:val="5BEC7E8A"/>
    <w:rsid w:val="5BEE6C31"/>
    <w:rsid w:val="5BF907F8"/>
    <w:rsid w:val="5BFE7528"/>
    <w:rsid w:val="5C052CF9"/>
    <w:rsid w:val="5C174265"/>
    <w:rsid w:val="5C20576D"/>
    <w:rsid w:val="5C2634BB"/>
    <w:rsid w:val="5C292E8C"/>
    <w:rsid w:val="5C2F7D76"/>
    <w:rsid w:val="5C4750C0"/>
    <w:rsid w:val="5C4F17B9"/>
    <w:rsid w:val="5C6B34A4"/>
    <w:rsid w:val="5C6E074F"/>
    <w:rsid w:val="5C8F5A00"/>
    <w:rsid w:val="5CA34AA5"/>
    <w:rsid w:val="5CE55301"/>
    <w:rsid w:val="5CE86307"/>
    <w:rsid w:val="5CEB4A45"/>
    <w:rsid w:val="5CEB6393"/>
    <w:rsid w:val="5CF8460C"/>
    <w:rsid w:val="5D0531AA"/>
    <w:rsid w:val="5D0F471A"/>
    <w:rsid w:val="5D145459"/>
    <w:rsid w:val="5D1706B9"/>
    <w:rsid w:val="5D233C79"/>
    <w:rsid w:val="5D2774AC"/>
    <w:rsid w:val="5D340DF9"/>
    <w:rsid w:val="5D426797"/>
    <w:rsid w:val="5D4A33BF"/>
    <w:rsid w:val="5D575623"/>
    <w:rsid w:val="5D600B2F"/>
    <w:rsid w:val="5D662547"/>
    <w:rsid w:val="5D665842"/>
    <w:rsid w:val="5D7433BE"/>
    <w:rsid w:val="5D9E149C"/>
    <w:rsid w:val="5DB60359"/>
    <w:rsid w:val="5DBB3926"/>
    <w:rsid w:val="5DEE51FB"/>
    <w:rsid w:val="5DF56FF1"/>
    <w:rsid w:val="5E0C1675"/>
    <w:rsid w:val="5E0F60B1"/>
    <w:rsid w:val="5E1367AD"/>
    <w:rsid w:val="5E14721D"/>
    <w:rsid w:val="5E2467F1"/>
    <w:rsid w:val="5E271D56"/>
    <w:rsid w:val="5E2F6982"/>
    <w:rsid w:val="5E4129DB"/>
    <w:rsid w:val="5E415A77"/>
    <w:rsid w:val="5E53564E"/>
    <w:rsid w:val="5E5907DB"/>
    <w:rsid w:val="5E8C0F8B"/>
    <w:rsid w:val="5E9B5718"/>
    <w:rsid w:val="5E9D0F84"/>
    <w:rsid w:val="5E9D5A3A"/>
    <w:rsid w:val="5EB132FD"/>
    <w:rsid w:val="5EBA601D"/>
    <w:rsid w:val="5ED30E8D"/>
    <w:rsid w:val="5ED327B2"/>
    <w:rsid w:val="5EDB41E5"/>
    <w:rsid w:val="5EFD415C"/>
    <w:rsid w:val="5F1A2B43"/>
    <w:rsid w:val="5F1B0D98"/>
    <w:rsid w:val="5F1E7666"/>
    <w:rsid w:val="5F2606A0"/>
    <w:rsid w:val="5F265461"/>
    <w:rsid w:val="5F394B2C"/>
    <w:rsid w:val="5F3E466C"/>
    <w:rsid w:val="5F6366B5"/>
    <w:rsid w:val="5F6E6C77"/>
    <w:rsid w:val="5F790873"/>
    <w:rsid w:val="5F855B6E"/>
    <w:rsid w:val="5F895850"/>
    <w:rsid w:val="5F9A7BFD"/>
    <w:rsid w:val="5FA12D39"/>
    <w:rsid w:val="5FA171DD"/>
    <w:rsid w:val="5FA8056B"/>
    <w:rsid w:val="5FB837BB"/>
    <w:rsid w:val="5FBD6EEE"/>
    <w:rsid w:val="5FBF3048"/>
    <w:rsid w:val="5FC937B2"/>
    <w:rsid w:val="5FD70E10"/>
    <w:rsid w:val="5FD749AD"/>
    <w:rsid w:val="5FFA36A6"/>
    <w:rsid w:val="5FFA3783"/>
    <w:rsid w:val="60026047"/>
    <w:rsid w:val="60097D62"/>
    <w:rsid w:val="600D5039"/>
    <w:rsid w:val="600F03A2"/>
    <w:rsid w:val="601722D8"/>
    <w:rsid w:val="604A1623"/>
    <w:rsid w:val="604F0AC0"/>
    <w:rsid w:val="60512DA2"/>
    <w:rsid w:val="60665C84"/>
    <w:rsid w:val="606D1B98"/>
    <w:rsid w:val="60723237"/>
    <w:rsid w:val="60787079"/>
    <w:rsid w:val="60805605"/>
    <w:rsid w:val="60841AE2"/>
    <w:rsid w:val="60A52761"/>
    <w:rsid w:val="60C56E16"/>
    <w:rsid w:val="60C57A73"/>
    <w:rsid w:val="60CC405A"/>
    <w:rsid w:val="60E768B2"/>
    <w:rsid w:val="60F2342D"/>
    <w:rsid w:val="60FE708C"/>
    <w:rsid w:val="61031E60"/>
    <w:rsid w:val="61221615"/>
    <w:rsid w:val="61265BEC"/>
    <w:rsid w:val="612A3BE0"/>
    <w:rsid w:val="612D33D0"/>
    <w:rsid w:val="613320B7"/>
    <w:rsid w:val="61434884"/>
    <w:rsid w:val="61472304"/>
    <w:rsid w:val="61504801"/>
    <w:rsid w:val="61546607"/>
    <w:rsid w:val="61646A88"/>
    <w:rsid w:val="617526CF"/>
    <w:rsid w:val="61771CFD"/>
    <w:rsid w:val="6183303E"/>
    <w:rsid w:val="618F19E3"/>
    <w:rsid w:val="61A54BBF"/>
    <w:rsid w:val="61C31708"/>
    <w:rsid w:val="61CA79BF"/>
    <w:rsid w:val="61DE5BE8"/>
    <w:rsid w:val="61E03976"/>
    <w:rsid w:val="61E215D8"/>
    <w:rsid w:val="61EB7018"/>
    <w:rsid w:val="61EE5D3D"/>
    <w:rsid w:val="62010C3C"/>
    <w:rsid w:val="620D46B6"/>
    <w:rsid w:val="62116FB3"/>
    <w:rsid w:val="621B3775"/>
    <w:rsid w:val="622B1674"/>
    <w:rsid w:val="622D2D78"/>
    <w:rsid w:val="623119A2"/>
    <w:rsid w:val="62364782"/>
    <w:rsid w:val="62476747"/>
    <w:rsid w:val="624E2AD0"/>
    <w:rsid w:val="625A68CA"/>
    <w:rsid w:val="62634AB7"/>
    <w:rsid w:val="62782477"/>
    <w:rsid w:val="62830E1C"/>
    <w:rsid w:val="628B6205"/>
    <w:rsid w:val="62940A4C"/>
    <w:rsid w:val="62C06E75"/>
    <w:rsid w:val="62C10874"/>
    <w:rsid w:val="62DC6505"/>
    <w:rsid w:val="62E465A9"/>
    <w:rsid w:val="63046143"/>
    <w:rsid w:val="630B1090"/>
    <w:rsid w:val="63476159"/>
    <w:rsid w:val="63584057"/>
    <w:rsid w:val="638A7EF6"/>
    <w:rsid w:val="638E76BC"/>
    <w:rsid w:val="6394356A"/>
    <w:rsid w:val="639E415F"/>
    <w:rsid w:val="639E66F0"/>
    <w:rsid w:val="63A4729C"/>
    <w:rsid w:val="63AE1EC8"/>
    <w:rsid w:val="63B53370"/>
    <w:rsid w:val="63C61B2C"/>
    <w:rsid w:val="63CE5636"/>
    <w:rsid w:val="63CE60C7"/>
    <w:rsid w:val="63D40BE9"/>
    <w:rsid w:val="63DF6526"/>
    <w:rsid w:val="63E61662"/>
    <w:rsid w:val="63E853DA"/>
    <w:rsid w:val="63F773CC"/>
    <w:rsid w:val="64007035"/>
    <w:rsid w:val="64102431"/>
    <w:rsid w:val="642301C1"/>
    <w:rsid w:val="643011DD"/>
    <w:rsid w:val="643C5726"/>
    <w:rsid w:val="64405F2A"/>
    <w:rsid w:val="6441584D"/>
    <w:rsid w:val="644703F8"/>
    <w:rsid w:val="644E3011"/>
    <w:rsid w:val="64695B45"/>
    <w:rsid w:val="648E53EF"/>
    <w:rsid w:val="64A5243A"/>
    <w:rsid w:val="64A77901"/>
    <w:rsid w:val="64A81970"/>
    <w:rsid w:val="64C42BBC"/>
    <w:rsid w:val="64D6390E"/>
    <w:rsid w:val="64D67181"/>
    <w:rsid w:val="64DA64BF"/>
    <w:rsid w:val="64F1364B"/>
    <w:rsid w:val="64F531DE"/>
    <w:rsid w:val="65083F4F"/>
    <w:rsid w:val="65183A9D"/>
    <w:rsid w:val="652C3CE1"/>
    <w:rsid w:val="65373578"/>
    <w:rsid w:val="653C61FF"/>
    <w:rsid w:val="6545693A"/>
    <w:rsid w:val="654A1084"/>
    <w:rsid w:val="65534383"/>
    <w:rsid w:val="655F347A"/>
    <w:rsid w:val="657D5FF6"/>
    <w:rsid w:val="6581192F"/>
    <w:rsid w:val="65AB4911"/>
    <w:rsid w:val="65B30337"/>
    <w:rsid w:val="65C53873"/>
    <w:rsid w:val="65D6764D"/>
    <w:rsid w:val="65E120E1"/>
    <w:rsid w:val="65F37423"/>
    <w:rsid w:val="660364FC"/>
    <w:rsid w:val="660D75BA"/>
    <w:rsid w:val="660E4EA0"/>
    <w:rsid w:val="661610AA"/>
    <w:rsid w:val="66287D10"/>
    <w:rsid w:val="662F5539"/>
    <w:rsid w:val="66381809"/>
    <w:rsid w:val="663A7259"/>
    <w:rsid w:val="663F04A7"/>
    <w:rsid w:val="664166AE"/>
    <w:rsid w:val="66431A7C"/>
    <w:rsid w:val="66456B14"/>
    <w:rsid w:val="665D4EE6"/>
    <w:rsid w:val="6676517A"/>
    <w:rsid w:val="66771CD6"/>
    <w:rsid w:val="66902933"/>
    <w:rsid w:val="66982073"/>
    <w:rsid w:val="66AF3B4A"/>
    <w:rsid w:val="66B23A7E"/>
    <w:rsid w:val="66BC2B4E"/>
    <w:rsid w:val="66C537B1"/>
    <w:rsid w:val="66C86594"/>
    <w:rsid w:val="66CB0801"/>
    <w:rsid w:val="66D35591"/>
    <w:rsid w:val="66F11824"/>
    <w:rsid w:val="66FB5433"/>
    <w:rsid w:val="67122800"/>
    <w:rsid w:val="671F124A"/>
    <w:rsid w:val="67235E1E"/>
    <w:rsid w:val="67755B92"/>
    <w:rsid w:val="677A33C6"/>
    <w:rsid w:val="678E6299"/>
    <w:rsid w:val="6790224F"/>
    <w:rsid w:val="67987117"/>
    <w:rsid w:val="679C4DF8"/>
    <w:rsid w:val="679E13B1"/>
    <w:rsid w:val="67A72D76"/>
    <w:rsid w:val="67AA207B"/>
    <w:rsid w:val="67B0620F"/>
    <w:rsid w:val="67BF1D36"/>
    <w:rsid w:val="67C314C5"/>
    <w:rsid w:val="67CB3B5A"/>
    <w:rsid w:val="67DA14DE"/>
    <w:rsid w:val="68125A95"/>
    <w:rsid w:val="68150768"/>
    <w:rsid w:val="681F6961"/>
    <w:rsid w:val="683A4A9C"/>
    <w:rsid w:val="683E008E"/>
    <w:rsid w:val="684F55B2"/>
    <w:rsid w:val="68610A2F"/>
    <w:rsid w:val="686B0388"/>
    <w:rsid w:val="686D5FFE"/>
    <w:rsid w:val="686E4E9E"/>
    <w:rsid w:val="687E1793"/>
    <w:rsid w:val="68805514"/>
    <w:rsid w:val="68975621"/>
    <w:rsid w:val="68A86526"/>
    <w:rsid w:val="68CB11FA"/>
    <w:rsid w:val="68EA74FF"/>
    <w:rsid w:val="69195068"/>
    <w:rsid w:val="692832D4"/>
    <w:rsid w:val="69316E2F"/>
    <w:rsid w:val="694E2071"/>
    <w:rsid w:val="6960054E"/>
    <w:rsid w:val="69766163"/>
    <w:rsid w:val="697678E2"/>
    <w:rsid w:val="697A2F79"/>
    <w:rsid w:val="697A3B33"/>
    <w:rsid w:val="69927C1C"/>
    <w:rsid w:val="69A83C41"/>
    <w:rsid w:val="69C54C26"/>
    <w:rsid w:val="69D44760"/>
    <w:rsid w:val="69F00D16"/>
    <w:rsid w:val="6A3C23AD"/>
    <w:rsid w:val="6A430B58"/>
    <w:rsid w:val="6A497A2E"/>
    <w:rsid w:val="6A4A6A28"/>
    <w:rsid w:val="6A4D6BC2"/>
    <w:rsid w:val="6A520EC7"/>
    <w:rsid w:val="6A5F05A9"/>
    <w:rsid w:val="6A5F4A67"/>
    <w:rsid w:val="6A6807A7"/>
    <w:rsid w:val="6A7B27A9"/>
    <w:rsid w:val="6A7C4714"/>
    <w:rsid w:val="6A8D3387"/>
    <w:rsid w:val="6A984C41"/>
    <w:rsid w:val="6AA00485"/>
    <w:rsid w:val="6AA204B6"/>
    <w:rsid w:val="6AA42451"/>
    <w:rsid w:val="6AAC1513"/>
    <w:rsid w:val="6AB145BD"/>
    <w:rsid w:val="6AC451B1"/>
    <w:rsid w:val="6ACC68A2"/>
    <w:rsid w:val="6AEF26F5"/>
    <w:rsid w:val="6AF87E20"/>
    <w:rsid w:val="6AF97ECD"/>
    <w:rsid w:val="6AFC7260"/>
    <w:rsid w:val="6AFF3703"/>
    <w:rsid w:val="6B1D240A"/>
    <w:rsid w:val="6B2A6135"/>
    <w:rsid w:val="6B322639"/>
    <w:rsid w:val="6B3F5966"/>
    <w:rsid w:val="6B4002CE"/>
    <w:rsid w:val="6B426633"/>
    <w:rsid w:val="6B426AD4"/>
    <w:rsid w:val="6B445460"/>
    <w:rsid w:val="6B5B3DB8"/>
    <w:rsid w:val="6B694EA9"/>
    <w:rsid w:val="6B7B0323"/>
    <w:rsid w:val="6B7B3CF2"/>
    <w:rsid w:val="6B8444E3"/>
    <w:rsid w:val="6B99345E"/>
    <w:rsid w:val="6BAC2220"/>
    <w:rsid w:val="6BC15B7A"/>
    <w:rsid w:val="6BC32289"/>
    <w:rsid w:val="6BC54253"/>
    <w:rsid w:val="6BCA7305"/>
    <w:rsid w:val="6BF0223D"/>
    <w:rsid w:val="6BF7640B"/>
    <w:rsid w:val="6C133210"/>
    <w:rsid w:val="6C141881"/>
    <w:rsid w:val="6C205AA6"/>
    <w:rsid w:val="6C2D1FAE"/>
    <w:rsid w:val="6C483634"/>
    <w:rsid w:val="6C523AF3"/>
    <w:rsid w:val="6C533883"/>
    <w:rsid w:val="6C6138C7"/>
    <w:rsid w:val="6C636C38"/>
    <w:rsid w:val="6C6D6230"/>
    <w:rsid w:val="6CA0262F"/>
    <w:rsid w:val="6CA1460D"/>
    <w:rsid w:val="6CA3416D"/>
    <w:rsid w:val="6CAF4717"/>
    <w:rsid w:val="6CD21441"/>
    <w:rsid w:val="6CDD1263"/>
    <w:rsid w:val="6D0A4613"/>
    <w:rsid w:val="6D206CFF"/>
    <w:rsid w:val="6D2B6338"/>
    <w:rsid w:val="6D341690"/>
    <w:rsid w:val="6D486EEA"/>
    <w:rsid w:val="6D4C218E"/>
    <w:rsid w:val="6D560CEB"/>
    <w:rsid w:val="6D604233"/>
    <w:rsid w:val="6D6A63D9"/>
    <w:rsid w:val="6D7B0D9A"/>
    <w:rsid w:val="6DB31630"/>
    <w:rsid w:val="6DB34098"/>
    <w:rsid w:val="6DB462E4"/>
    <w:rsid w:val="6DB545B6"/>
    <w:rsid w:val="6DB83DD6"/>
    <w:rsid w:val="6DB866B5"/>
    <w:rsid w:val="6DBE49D3"/>
    <w:rsid w:val="6DE02FB4"/>
    <w:rsid w:val="6DF85B62"/>
    <w:rsid w:val="6E056B79"/>
    <w:rsid w:val="6E084582"/>
    <w:rsid w:val="6E1118E7"/>
    <w:rsid w:val="6E122CE5"/>
    <w:rsid w:val="6E2848E4"/>
    <w:rsid w:val="6E3E0ED4"/>
    <w:rsid w:val="6E414568"/>
    <w:rsid w:val="6E4B4EE4"/>
    <w:rsid w:val="6E4E7201"/>
    <w:rsid w:val="6E514CED"/>
    <w:rsid w:val="6E567DCD"/>
    <w:rsid w:val="6E614A5B"/>
    <w:rsid w:val="6E643E9C"/>
    <w:rsid w:val="6E674750"/>
    <w:rsid w:val="6E804461"/>
    <w:rsid w:val="6E954194"/>
    <w:rsid w:val="6EB40DFA"/>
    <w:rsid w:val="6EB563D5"/>
    <w:rsid w:val="6EB71F5E"/>
    <w:rsid w:val="6EBB5C2A"/>
    <w:rsid w:val="6EBC0F1A"/>
    <w:rsid w:val="6ED92677"/>
    <w:rsid w:val="6EDC3D8E"/>
    <w:rsid w:val="6EE3336E"/>
    <w:rsid w:val="6F0C35C3"/>
    <w:rsid w:val="6F12155D"/>
    <w:rsid w:val="6F1B051A"/>
    <w:rsid w:val="6F225983"/>
    <w:rsid w:val="6F327E52"/>
    <w:rsid w:val="6F415593"/>
    <w:rsid w:val="6F441EB5"/>
    <w:rsid w:val="6F4420D9"/>
    <w:rsid w:val="6F4440D5"/>
    <w:rsid w:val="6F5859A9"/>
    <w:rsid w:val="6F5C6B98"/>
    <w:rsid w:val="6F601138"/>
    <w:rsid w:val="6F6667F9"/>
    <w:rsid w:val="6F8001BF"/>
    <w:rsid w:val="6F8166E3"/>
    <w:rsid w:val="6F8712A4"/>
    <w:rsid w:val="6F913691"/>
    <w:rsid w:val="6F913D15"/>
    <w:rsid w:val="6F9C74AF"/>
    <w:rsid w:val="6FAD0DF6"/>
    <w:rsid w:val="6FB41C14"/>
    <w:rsid w:val="6FC600D2"/>
    <w:rsid w:val="6FD9651F"/>
    <w:rsid w:val="6FF13F65"/>
    <w:rsid w:val="6FF46EB5"/>
    <w:rsid w:val="6FFC5590"/>
    <w:rsid w:val="70251764"/>
    <w:rsid w:val="702552C0"/>
    <w:rsid w:val="7047731F"/>
    <w:rsid w:val="706D1DD0"/>
    <w:rsid w:val="70750DFC"/>
    <w:rsid w:val="70856B87"/>
    <w:rsid w:val="709D4B13"/>
    <w:rsid w:val="70BC2A8C"/>
    <w:rsid w:val="70C51F58"/>
    <w:rsid w:val="70CA73FD"/>
    <w:rsid w:val="70D527EE"/>
    <w:rsid w:val="70F536CF"/>
    <w:rsid w:val="70F70954"/>
    <w:rsid w:val="711800E0"/>
    <w:rsid w:val="711C0290"/>
    <w:rsid w:val="711E068D"/>
    <w:rsid w:val="713F6856"/>
    <w:rsid w:val="7150636D"/>
    <w:rsid w:val="715B5300"/>
    <w:rsid w:val="716010A0"/>
    <w:rsid w:val="716D1986"/>
    <w:rsid w:val="71A03E6A"/>
    <w:rsid w:val="71B13A75"/>
    <w:rsid w:val="71D21478"/>
    <w:rsid w:val="71D27F8A"/>
    <w:rsid w:val="71DF4490"/>
    <w:rsid w:val="71EE1250"/>
    <w:rsid w:val="71F238C8"/>
    <w:rsid w:val="71F700BF"/>
    <w:rsid w:val="71FA1539"/>
    <w:rsid w:val="723A1D75"/>
    <w:rsid w:val="72404DB2"/>
    <w:rsid w:val="72473C14"/>
    <w:rsid w:val="72553024"/>
    <w:rsid w:val="725C1911"/>
    <w:rsid w:val="725D5411"/>
    <w:rsid w:val="727B1B10"/>
    <w:rsid w:val="727B3A2F"/>
    <w:rsid w:val="727E22D9"/>
    <w:rsid w:val="7285473C"/>
    <w:rsid w:val="72976C64"/>
    <w:rsid w:val="72A26A0D"/>
    <w:rsid w:val="72B23262"/>
    <w:rsid w:val="72B648F6"/>
    <w:rsid w:val="72BE2795"/>
    <w:rsid w:val="72CC448E"/>
    <w:rsid w:val="72D34D82"/>
    <w:rsid w:val="72E202D2"/>
    <w:rsid w:val="72E256EB"/>
    <w:rsid w:val="72F1121E"/>
    <w:rsid w:val="72FB0ADD"/>
    <w:rsid w:val="730B6775"/>
    <w:rsid w:val="73100690"/>
    <w:rsid w:val="73122968"/>
    <w:rsid w:val="731E2E6D"/>
    <w:rsid w:val="731E6835"/>
    <w:rsid w:val="731F5D5E"/>
    <w:rsid w:val="732C4583"/>
    <w:rsid w:val="733600B6"/>
    <w:rsid w:val="7350799D"/>
    <w:rsid w:val="735760D9"/>
    <w:rsid w:val="736C3AED"/>
    <w:rsid w:val="737C1D32"/>
    <w:rsid w:val="738467A2"/>
    <w:rsid w:val="73AB1F81"/>
    <w:rsid w:val="73B57981"/>
    <w:rsid w:val="73B70C99"/>
    <w:rsid w:val="73C51AD5"/>
    <w:rsid w:val="73D70FC8"/>
    <w:rsid w:val="73DC038C"/>
    <w:rsid w:val="73EA3012"/>
    <w:rsid w:val="73ED08C3"/>
    <w:rsid w:val="73F6144E"/>
    <w:rsid w:val="73FA7EAF"/>
    <w:rsid w:val="74020235"/>
    <w:rsid w:val="740717A4"/>
    <w:rsid w:val="740F5B99"/>
    <w:rsid w:val="7416492F"/>
    <w:rsid w:val="74187E90"/>
    <w:rsid w:val="741E793C"/>
    <w:rsid w:val="7421574B"/>
    <w:rsid w:val="742D0752"/>
    <w:rsid w:val="743D707D"/>
    <w:rsid w:val="74422EB3"/>
    <w:rsid w:val="74561EEC"/>
    <w:rsid w:val="74597C2E"/>
    <w:rsid w:val="745A44BC"/>
    <w:rsid w:val="745E3944"/>
    <w:rsid w:val="746A1D97"/>
    <w:rsid w:val="746D5195"/>
    <w:rsid w:val="74711A09"/>
    <w:rsid w:val="74793E2D"/>
    <w:rsid w:val="747F7695"/>
    <w:rsid w:val="748C7AB0"/>
    <w:rsid w:val="74940C67"/>
    <w:rsid w:val="749968A6"/>
    <w:rsid w:val="749F1BD6"/>
    <w:rsid w:val="74A31ADC"/>
    <w:rsid w:val="74A419DE"/>
    <w:rsid w:val="74BE4FF6"/>
    <w:rsid w:val="74CB2B76"/>
    <w:rsid w:val="74D76839"/>
    <w:rsid w:val="750D49A9"/>
    <w:rsid w:val="751451A2"/>
    <w:rsid w:val="75357F2A"/>
    <w:rsid w:val="7544268D"/>
    <w:rsid w:val="75632864"/>
    <w:rsid w:val="756D573F"/>
    <w:rsid w:val="757410A2"/>
    <w:rsid w:val="75872042"/>
    <w:rsid w:val="75986535"/>
    <w:rsid w:val="75A90742"/>
    <w:rsid w:val="75D6771E"/>
    <w:rsid w:val="75E44E88"/>
    <w:rsid w:val="75E71841"/>
    <w:rsid w:val="760112C4"/>
    <w:rsid w:val="76094D47"/>
    <w:rsid w:val="7635099D"/>
    <w:rsid w:val="7654775F"/>
    <w:rsid w:val="76554765"/>
    <w:rsid w:val="765A2542"/>
    <w:rsid w:val="76604F4D"/>
    <w:rsid w:val="76B30C4A"/>
    <w:rsid w:val="76B63CA7"/>
    <w:rsid w:val="76C61836"/>
    <w:rsid w:val="76CE0460"/>
    <w:rsid w:val="76D0185E"/>
    <w:rsid w:val="76EA7F2A"/>
    <w:rsid w:val="76FC0093"/>
    <w:rsid w:val="77000835"/>
    <w:rsid w:val="770D3272"/>
    <w:rsid w:val="771F7382"/>
    <w:rsid w:val="772616E6"/>
    <w:rsid w:val="772F407C"/>
    <w:rsid w:val="77317D5F"/>
    <w:rsid w:val="773E296B"/>
    <w:rsid w:val="77536BB7"/>
    <w:rsid w:val="77651C15"/>
    <w:rsid w:val="77762421"/>
    <w:rsid w:val="77766008"/>
    <w:rsid w:val="77776348"/>
    <w:rsid w:val="777D1E86"/>
    <w:rsid w:val="77847D45"/>
    <w:rsid w:val="77861634"/>
    <w:rsid w:val="77866A24"/>
    <w:rsid w:val="77A910F3"/>
    <w:rsid w:val="77AE4D9C"/>
    <w:rsid w:val="77B56B1F"/>
    <w:rsid w:val="77BA4E88"/>
    <w:rsid w:val="77DB3F30"/>
    <w:rsid w:val="77E35407"/>
    <w:rsid w:val="77E71851"/>
    <w:rsid w:val="77F35779"/>
    <w:rsid w:val="77FB61E7"/>
    <w:rsid w:val="78012B52"/>
    <w:rsid w:val="78085536"/>
    <w:rsid w:val="780F09F4"/>
    <w:rsid w:val="7844752F"/>
    <w:rsid w:val="7846159A"/>
    <w:rsid w:val="78541666"/>
    <w:rsid w:val="786A201F"/>
    <w:rsid w:val="786B28F7"/>
    <w:rsid w:val="78744ECD"/>
    <w:rsid w:val="787D1E7B"/>
    <w:rsid w:val="78922CE5"/>
    <w:rsid w:val="78A90480"/>
    <w:rsid w:val="78BC49E1"/>
    <w:rsid w:val="78C11956"/>
    <w:rsid w:val="78D14237"/>
    <w:rsid w:val="78E14A44"/>
    <w:rsid w:val="78E40EFC"/>
    <w:rsid w:val="79133EDF"/>
    <w:rsid w:val="791C31CA"/>
    <w:rsid w:val="79206F6D"/>
    <w:rsid w:val="79294D66"/>
    <w:rsid w:val="79620872"/>
    <w:rsid w:val="796C3DDB"/>
    <w:rsid w:val="797A1C1F"/>
    <w:rsid w:val="7981126B"/>
    <w:rsid w:val="798D6205"/>
    <w:rsid w:val="79935991"/>
    <w:rsid w:val="79944DA5"/>
    <w:rsid w:val="799D236B"/>
    <w:rsid w:val="79A57B03"/>
    <w:rsid w:val="79BD2A0E"/>
    <w:rsid w:val="79C27A00"/>
    <w:rsid w:val="79CC29B8"/>
    <w:rsid w:val="79DD1C38"/>
    <w:rsid w:val="79E61F64"/>
    <w:rsid w:val="79F01271"/>
    <w:rsid w:val="79F02EB6"/>
    <w:rsid w:val="79F77CCE"/>
    <w:rsid w:val="7A053867"/>
    <w:rsid w:val="7A0B7BCF"/>
    <w:rsid w:val="7A1379A4"/>
    <w:rsid w:val="7A3062AB"/>
    <w:rsid w:val="7A364017"/>
    <w:rsid w:val="7A3946F5"/>
    <w:rsid w:val="7A434CC1"/>
    <w:rsid w:val="7A77448A"/>
    <w:rsid w:val="7A8265E1"/>
    <w:rsid w:val="7A8C5889"/>
    <w:rsid w:val="7A8E7F0B"/>
    <w:rsid w:val="7A915D11"/>
    <w:rsid w:val="7A9311AC"/>
    <w:rsid w:val="7A991C1E"/>
    <w:rsid w:val="7ABC3421"/>
    <w:rsid w:val="7ABF6D39"/>
    <w:rsid w:val="7AD55CDD"/>
    <w:rsid w:val="7AF2038D"/>
    <w:rsid w:val="7B005BC1"/>
    <w:rsid w:val="7B115896"/>
    <w:rsid w:val="7B1434C4"/>
    <w:rsid w:val="7B2F2629"/>
    <w:rsid w:val="7B4952E1"/>
    <w:rsid w:val="7B4C1091"/>
    <w:rsid w:val="7B686D42"/>
    <w:rsid w:val="7B827A6B"/>
    <w:rsid w:val="7B841746"/>
    <w:rsid w:val="7B9949CC"/>
    <w:rsid w:val="7BC21702"/>
    <w:rsid w:val="7BCC50F8"/>
    <w:rsid w:val="7BCC5788"/>
    <w:rsid w:val="7BEA2100"/>
    <w:rsid w:val="7BEF6CB9"/>
    <w:rsid w:val="7BF26C24"/>
    <w:rsid w:val="7BF64053"/>
    <w:rsid w:val="7BF74863"/>
    <w:rsid w:val="7C091F3A"/>
    <w:rsid w:val="7C120D88"/>
    <w:rsid w:val="7C12239B"/>
    <w:rsid w:val="7C2478F7"/>
    <w:rsid w:val="7C365F96"/>
    <w:rsid w:val="7C423E53"/>
    <w:rsid w:val="7C445DA6"/>
    <w:rsid w:val="7C4F208D"/>
    <w:rsid w:val="7C6303BA"/>
    <w:rsid w:val="7C6C5AC7"/>
    <w:rsid w:val="7CA26CEC"/>
    <w:rsid w:val="7CC6544B"/>
    <w:rsid w:val="7CCD2078"/>
    <w:rsid w:val="7CDC31AB"/>
    <w:rsid w:val="7CDF4009"/>
    <w:rsid w:val="7CF5764C"/>
    <w:rsid w:val="7CF7706D"/>
    <w:rsid w:val="7D01060F"/>
    <w:rsid w:val="7D020CF6"/>
    <w:rsid w:val="7D0239FF"/>
    <w:rsid w:val="7D1129CA"/>
    <w:rsid w:val="7D1C7D0A"/>
    <w:rsid w:val="7D264A94"/>
    <w:rsid w:val="7D3D7EE1"/>
    <w:rsid w:val="7D5E40CD"/>
    <w:rsid w:val="7D6A6A08"/>
    <w:rsid w:val="7D7428B1"/>
    <w:rsid w:val="7D7A4E9D"/>
    <w:rsid w:val="7D7F0706"/>
    <w:rsid w:val="7D8365EB"/>
    <w:rsid w:val="7D8E0B41"/>
    <w:rsid w:val="7D9E2DD0"/>
    <w:rsid w:val="7DB069DA"/>
    <w:rsid w:val="7DCB52F1"/>
    <w:rsid w:val="7DCD56F2"/>
    <w:rsid w:val="7DCE343B"/>
    <w:rsid w:val="7DCE664D"/>
    <w:rsid w:val="7DFD787D"/>
    <w:rsid w:val="7DFF689E"/>
    <w:rsid w:val="7E116DB4"/>
    <w:rsid w:val="7E1328B2"/>
    <w:rsid w:val="7E153A97"/>
    <w:rsid w:val="7E1B6D74"/>
    <w:rsid w:val="7E37429F"/>
    <w:rsid w:val="7E4234E1"/>
    <w:rsid w:val="7E4A3282"/>
    <w:rsid w:val="7E55580B"/>
    <w:rsid w:val="7E556505"/>
    <w:rsid w:val="7E584AB3"/>
    <w:rsid w:val="7E68119A"/>
    <w:rsid w:val="7E730D4D"/>
    <w:rsid w:val="7E847BCE"/>
    <w:rsid w:val="7E887512"/>
    <w:rsid w:val="7EBB59D9"/>
    <w:rsid w:val="7EFA0975"/>
    <w:rsid w:val="7F001CE7"/>
    <w:rsid w:val="7F0330F0"/>
    <w:rsid w:val="7F043D85"/>
    <w:rsid w:val="7F133581"/>
    <w:rsid w:val="7F177E9D"/>
    <w:rsid w:val="7F244E05"/>
    <w:rsid w:val="7F297D6C"/>
    <w:rsid w:val="7F305BF6"/>
    <w:rsid w:val="7F477001"/>
    <w:rsid w:val="7F4A0FC0"/>
    <w:rsid w:val="7F5931D8"/>
    <w:rsid w:val="7F5E57D9"/>
    <w:rsid w:val="7F6279EC"/>
    <w:rsid w:val="7F71407E"/>
    <w:rsid w:val="7FA55598"/>
    <w:rsid w:val="7FA622AC"/>
    <w:rsid w:val="7FB16B71"/>
    <w:rsid w:val="7FBB354B"/>
    <w:rsid w:val="7FC2790F"/>
    <w:rsid w:val="7FC40652"/>
    <w:rsid w:val="7FCF6FF7"/>
    <w:rsid w:val="7FD002DB"/>
    <w:rsid w:val="7FE47E50"/>
    <w:rsid w:val="7FE747CC"/>
    <w:rsid w:val="7FF11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sdException w:qFormat="1" w:uiPriority="99"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adjustRightInd w:val="0"/>
      <w:snapToGrid w:val="0"/>
      <w:outlineLvl w:val="0"/>
    </w:pPr>
    <w:rPr>
      <w:rFonts w:eastAsia="黑体"/>
      <w:b/>
      <w:bCs/>
      <w:color w:val="000000"/>
      <w:kern w:val="44"/>
      <w:sz w:val="32"/>
      <w:szCs w:val="30"/>
    </w:rPr>
  </w:style>
  <w:style w:type="paragraph" w:styleId="3">
    <w:name w:val="heading 2"/>
    <w:basedOn w:val="1"/>
    <w:next w:val="1"/>
    <w:unhideWhenUsed/>
    <w:qFormat/>
    <w:locked/>
    <w:uiPriority w:val="0"/>
    <w:pPr>
      <w:keepNext/>
      <w:keepLines/>
      <w:outlineLvl w:val="1"/>
    </w:pPr>
    <w:rPr>
      <w:b/>
      <w:sz w:val="32"/>
    </w:rPr>
  </w:style>
  <w:style w:type="paragraph" w:styleId="4">
    <w:name w:val="heading 3"/>
    <w:basedOn w:val="1"/>
    <w:next w:val="1"/>
    <w:unhideWhenUsed/>
    <w:qFormat/>
    <w:locked/>
    <w:uiPriority w:val="0"/>
    <w:pPr>
      <w:keepNext/>
      <w:keepLines/>
      <w:spacing w:before="100" w:beforeLines="0" w:beforeAutospacing="0" w:afterLines="0" w:afterAutospacing="0" w:line="360" w:lineRule="auto"/>
      <w:outlineLvl w:val="2"/>
    </w:pPr>
    <w:rPr>
      <w:b/>
      <w:sz w:val="32"/>
    </w:rPr>
  </w:style>
  <w:style w:type="paragraph" w:styleId="5">
    <w:name w:val="heading 4"/>
    <w:basedOn w:val="1"/>
    <w:next w:val="1"/>
    <w:qFormat/>
    <w:locked/>
    <w:uiPriority w:val="0"/>
    <w:pPr>
      <w:keepNext/>
      <w:keepLines/>
      <w:spacing w:before="100" w:beforeLines="0" w:beforeAutospacing="0" w:afterLines="0" w:afterAutospacing="0" w:line="360" w:lineRule="auto"/>
      <w:outlineLvl w:val="3"/>
    </w:pPr>
    <w:rPr>
      <w:rFonts w:ascii="Times New Roman" w:hAnsi="Times New Roman" w:eastAsia="宋体"/>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0"/>
  </w:style>
  <w:style w:type="paragraph" w:styleId="10">
    <w:name w:val="annotation subject"/>
    <w:link w:val="19"/>
    <w:qFormat/>
    <w:uiPriority w:val="0"/>
    <w:rPr>
      <w:rFonts w:ascii="Times New Roman" w:hAnsi="Times New Roman" w:eastAsia="宋体" w:cs="Times New Roman"/>
      <w:b/>
      <w:bCs/>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
    <w:basedOn w:val="1"/>
    <w:next w:val="1"/>
    <w:link w:val="17"/>
    <w:qFormat/>
    <w:uiPriority w:val="0"/>
    <w:pPr>
      <w:adjustRightInd w:val="0"/>
      <w:snapToGrid w:val="0"/>
      <w:spacing w:line="240" w:lineRule="auto"/>
      <w:jc w:val="center"/>
    </w:pPr>
    <w:rPr>
      <w:kern w:val="0"/>
      <w:sz w:val="21"/>
      <w:szCs w:val="20"/>
    </w:rPr>
  </w:style>
  <w:style w:type="paragraph" w:customStyle="1" w:styleId="15">
    <w:name w:val="表标题"/>
    <w:basedOn w:val="1"/>
    <w:link w:val="18"/>
    <w:qFormat/>
    <w:uiPriority w:val="0"/>
    <w:pPr>
      <w:autoSpaceDE w:val="0"/>
      <w:autoSpaceDN w:val="0"/>
      <w:spacing w:line="240" w:lineRule="auto"/>
      <w:jc w:val="center"/>
      <w:textAlignment w:val="baseline"/>
    </w:pPr>
    <w:rPr>
      <w:b/>
      <w:kern w:val="24"/>
      <w:szCs w:val="20"/>
    </w:rPr>
  </w:style>
  <w:style w:type="paragraph" w:customStyle="1" w:styleId="16">
    <w:name w:val="图片标题"/>
    <w:basedOn w:val="1"/>
    <w:next w:val="1"/>
    <w:qFormat/>
    <w:uiPriority w:val="0"/>
    <w:pPr>
      <w:adjustRightInd w:val="0"/>
      <w:snapToGrid w:val="0"/>
      <w:jc w:val="center"/>
    </w:pPr>
    <w:rPr>
      <w:rFonts w:hint="eastAsia"/>
      <w:b/>
    </w:rPr>
  </w:style>
  <w:style w:type="character" w:customStyle="1" w:styleId="17">
    <w:name w:val="表格 Char"/>
    <w:link w:val="14"/>
    <w:qFormat/>
    <w:locked/>
    <w:uiPriority w:val="0"/>
    <w:rPr>
      <w:rFonts w:ascii="Times New Roman" w:hAnsi="Times New Roman" w:eastAsia="宋体"/>
      <w:sz w:val="21"/>
    </w:rPr>
  </w:style>
  <w:style w:type="character" w:customStyle="1" w:styleId="18">
    <w:name w:val="表标题 Char1"/>
    <w:link w:val="15"/>
    <w:qFormat/>
    <w:uiPriority w:val="0"/>
    <w:rPr>
      <w:rFonts w:ascii="Times New Roman" w:hAnsi="Times New Roman" w:eastAsia="宋体"/>
      <w:b/>
      <w:kern w:val="24"/>
      <w:szCs w:val="20"/>
    </w:rPr>
  </w:style>
  <w:style w:type="character" w:customStyle="1" w:styleId="19">
    <w:name w:val="批注主题 Char"/>
    <w:link w:val="10"/>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8" Type="http://schemas.microsoft.com/office/2011/relationships/people" Target="people.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47.jpe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footer" Target="foot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wmf"/><Relationship Id="rId44" Type="http://schemas.openxmlformats.org/officeDocument/2006/relationships/oleObject" Target="embeddings/oleObject6.bin"/><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oleObject" Target="embeddings/oleObject4.bin"/><Relationship Id="rId37" Type="http://schemas.openxmlformats.org/officeDocument/2006/relationships/image" Target="media/image23.wmf"/><Relationship Id="rId36" Type="http://schemas.openxmlformats.org/officeDocument/2006/relationships/oleObject" Target="embeddings/oleObject3.bin"/><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oleObject" Target="embeddings/oleObject2.bin"/><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C658F6-5CED-4841-8D5B-7BC221A3953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154</Pages>
  <Words>15349</Words>
  <Characters>17461</Characters>
  <Lines>635</Lines>
  <Paragraphs>178</Paragraphs>
  <TotalTime>10</TotalTime>
  <ScaleCrop>false</ScaleCrop>
  <LinksUpToDate>false</LinksUpToDate>
  <CharactersWithSpaces>17551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王宇</cp:lastModifiedBy>
  <cp:lastPrinted>2025-12-16T07:33:00Z</cp:lastPrinted>
  <dcterms:modified xsi:type="dcterms:W3CDTF">2026-01-05T07:00:01Z</dcterms:modified>
  <dc:title>附件2</dc:title>
  <cp:revision>294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417DABD1976C44F3A406508E82F78B31_13</vt:lpwstr>
  </property>
  <property fmtid="{D5CDD505-2E9C-101B-9397-08002B2CF9AE}" pid="4" name="KSOTemplateDocerSaveRecord">
    <vt:lpwstr>eyJoZGlkIjoiMDEwZDFiZDhjYTFjZTU2MDAwODA0M2UzZDYzMGFhYzciLCJ1c2VySWQiOiIyOTc5MTk0NTAifQ==</vt:lpwstr>
  </property>
</Properties>
</file>