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19"/>
        </w:rPr>
      </w:pPr>
    </w:p>
    <w:p>
      <w:pPr>
        <w:spacing w:before="52"/>
        <w:ind w:left="720" w:right="0" w:firstLine="0"/>
        <w:jc w:val="center"/>
        <w:rPr>
          <w:rFonts w:hint="eastAsia" w:ascii="黑体" w:hAnsi="黑体" w:eastAsia="黑体" w:cs="黑体"/>
          <w:color w:val="auto"/>
          <w:sz w:val="44"/>
          <w:szCs w:val="44"/>
        </w:rPr>
      </w:pPr>
      <w:r>
        <w:rPr>
          <w:rFonts w:hint="eastAsia" w:ascii="黑体" w:hAnsi="黑体" w:eastAsia="黑体" w:cs="黑体"/>
          <w:color w:val="auto"/>
          <w:sz w:val="44"/>
          <w:szCs w:val="44"/>
          <w:u w:val="none" w:color="auto"/>
          <w:lang w:val="en-US" w:eastAsia="zh-CN"/>
        </w:rPr>
        <w:t>2017年度</w:t>
      </w:r>
      <w:r>
        <w:rPr>
          <w:rFonts w:hint="eastAsia" w:ascii="黑体" w:hAnsi="黑体" w:eastAsia="黑体" w:cs="黑体"/>
          <w:color w:val="auto"/>
          <w:sz w:val="44"/>
          <w:szCs w:val="44"/>
        </w:rPr>
        <w:t>预算单位部门决算公开</w:t>
      </w:r>
    </w:p>
    <w:p>
      <w:pPr>
        <w:spacing w:after="0"/>
        <w:jc w:val="center"/>
        <w:rPr>
          <w:rFonts w:hint="eastAsia" w:ascii="黑体" w:hAnsi="黑体" w:eastAsia="黑体" w:cs="黑体"/>
          <w:color w:val="auto"/>
          <w:sz w:val="44"/>
          <w:szCs w:val="44"/>
        </w:rPr>
        <w:sectPr>
          <w:footerReference r:id="rId5" w:type="default"/>
          <w:type w:val="continuous"/>
          <w:pgSz w:w="11910" w:h="16840"/>
          <w:pgMar w:top="1580" w:right="1480" w:bottom="1180" w:left="1420" w:header="720" w:footer="990" w:gutter="0"/>
          <w:pgNumType w:start="1"/>
          <w:cols w:equalWidth="0" w:num="1">
            <w:col w:w="9010"/>
          </w:cols>
        </w:sectPr>
      </w:pPr>
    </w:p>
    <w:p>
      <w:pPr>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jc w:val="center"/>
        <w:textAlignment w:val="auto"/>
        <w:rPr>
          <w:rFonts w:hint="eastAsia" w:ascii="黑体" w:hAnsi="黑体" w:eastAsia="黑体" w:cs="黑体"/>
          <w:color w:val="auto"/>
          <w:sz w:val="44"/>
          <w:szCs w:val="44"/>
          <w:u w:val="none" w:color="auto"/>
          <w:lang w:val="en-US" w:eastAsia="zh-CN"/>
        </w:rPr>
      </w:pPr>
      <w:r>
        <w:rPr>
          <w:rFonts w:hint="eastAsia" w:ascii="黑体" w:hAnsi="黑体" w:eastAsia="黑体" w:cs="黑体"/>
          <w:color w:val="auto"/>
          <w:sz w:val="44"/>
          <w:szCs w:val="44"/>
          <w:u w:val="none" w:color="auto"/>
          <w:lang w:val="en-US" w:eastAsia="zh-CN"/>
        </w:rPr>
        <w:t>目</w:t>
      </w:r>
      <w:r>
        <w:rPr>
          <w:rFonts w:hint="eastAsia" w:ascii="黑体" w:hAnsi="黑体" w:eastAsia="黑体" w:cs="黑体"/>
          <w:color w:val="auto"/>
          <w:sz w:val="44"/>
          <w:szCs w:val="44"/>
          <w:u w:val="none" w:color="auto"/>
          <w:lang w:val="en-US" w:eastAsia="zh-CN"/>
        </w:rPr>
        <w:tab/>
      </w:r>
      <w:r>
        <w:rPr>
          <w:rFonts w:hint="eastAsia" w:ascii="黑体" w:hAnsi="黑体" w:eastAsia="黑体" w:cs="黑体"/>
          <w:color w:val="auto"/>
          <w:sz w:val="44"/>
          <w:szCs w:val="44"/>
          <w:u w:val="none" w:color="auto"/>
          <w:lang w:val="en-US" w:eastAsia="zh-CN"/>
        </w:rPr>
        <w:t>录</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ascii="Microsoft JhengHei"/>
          <w:b/>
          <w:sz w:val="28"/>
        </w:rPr>
      </w:pPr>
    </w:p>
    <w:p>
      <w:pPr>
        <w:pStyle w:val="2"/>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hint="eastAsia" w:ascii="黑体" w:hAnsi="黑体" w:eastAsia="黑体" w:cs="黑体"/>
        </w:rPr>
      </w:pPr>
      <w:r>
        <w:rPr>
          <w:rFonts w:hint="eastAsia" w:ascii="楷体_GB2312" w:hAnsi="黑体" w:eastAsia="楷体_GB2312" w:cs="宋体"/>
          <w:b w:val="0"/>
          <w:bCs/>
          <w:color w:val="000000"/>
          <w:kern w:val="0"/>
          <w:sz w:val="32"/>
          <w:szCs w:val="32"/>
          <w:lang w:val="en-US" w:eastAsia="zh-CN" w:bidi="ar-SA"/>
        </w:rPr>
        <w:t>第一部分 云浮市云安区卫生和计划生育局概况</w:t>
      </w:r>
      <w:r>
        <w:rPr>
          <w:rFonts w:hint="eastAsia" w:ascii="黑体" w:hAnsi="黑体" w:eastAsia="黑体" w:cs="黑体"/>
          <w:w w:val="200"/>
        </w:rPr>
        <w:t xml:space="preserve"> </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 部门主要职责</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 部门决算单位构成</w:t>
      </w:r>
    </w:p>
    <w:p>
      <w:pPr>
        <w:pStyle w:val="2"/>
        <w:keepNext w:val="0"/>
        <w:keepLines w:val="0"/>
        <w:pageBreakBefore w:val="0"/>
        <w:widowControl w:val="0"/>
        <w:tabs>
          <w:tab w:val="left" w:pos="3789"/>
        </w:tabs>
        <w:kinsoku/>
        <w:wordWrap/>
        <w:overflowPunct/>
        <w:topLinePunct w:val="0"/>
        <w:autoSpaceDE w:val="0"/>
        <w:autoSpaceDN w:val="0"/>
        <w:bidi w:val="0"/>
        <w:adjustRightInd/>
        <w:snapToGrid/>
        <w:spacing w:before="0" w:line="560" w:lineRule="exact"/>
        <w:ind w:left="0" w:right="0"/>
        <w:textAlignment w:val="auto"/>
        <w:rPr>
          <w:rFonts w:hint="eastAsia" w:ascii="黑体" w:hAnsi="黑体" w:eastAsia="黑体" w:cs="黑体"/>
          <w:b/>
          <w:sz w:val="36"/>
        </w:rPr>
      </w:pPr>
      <w:r>
        <w:rPr>
          <w:rFonts w:hint="eastAsia" w:ascii="楷体_GB2312" w:hAnsi="黑体" w:eastAsia="楷体_GB2312" w:cs="宋体"/>
          <w:b w:val="0"/>
          <w:bCs/>
          <w:color w:val="000000"/>
          <w:kern w:val="0"/>
          <w:sz w:val="32"/>
          <w:szCs w:val="32"/>
          <w:lang w:val="en-US" w:eastAsia="zh-CN" w:bidi="ar-SA"/>
        </w:rPr>
        <w:t xml:space="preserve">第二部分 云浮市云安区卫生和计划生育局2017年部门决算表 </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一、收入支出决算总表二、收入决算表</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三、支出决算表</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四、财政拨款收入支出决算总表</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五、一般公共预算财政拨款支出决算表</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六、一般公共预算财政拨款基本支出决算表</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七、一般公共预算财政拨款“三公”经费支出决算表八、政府性基金预算财政拨款收入支出决算表</w:t>
      </w:r>
    </w:p>
    <w:p>
      <w:pPr>
        <w:pStyle w:val="2"/>
        <w:keepNext w:val="0"/>
        <w:keepLines w:val="0"/>
        <w:pageBreakBefore w:val="0"/>
        <w:widowControl w:val="0"/>
        <w:tabs>
          <w:tab w:val="left" w:pos="3789"/>
        </w:tabs>
        <w:kinsoku/>
        <w:wordWrap/>
        <w:overflowPunct/>
        <w:topLinePunct w:val="0"/>
        <w:autoSpaceDE w:val="0"/>
        <w:autoSpaceDN w:val="0"/>
        <w:bidi w:val="0"/>
        <w:adjustRightInd/>
        <w:snapToGrid/>
        <w:spacing w:before="0" w:line="560" w:lineRule="exact"/>
        <w:ind w:left="0" w:right="0"/>
        <w:textAlignment w:val="auto"/>
        <w:rPr>
          <w:rFonts w:ascii="Microsoft JhengHei"/>
          <w:b/>
          <w:sz w:val="31"/>
        </w:rPr>
      </w:pPr>
      <w:r>
        <w:rPr>
          <w:rFonts w:hint="eastAsia" w:ascii="楷体_GB2312" w:hAnsi="黑体" w:eastAsia="楷体_GB2312" w:cs="宋体"/>
          <w:b w:val="0"/>
          <w:bCs/>
          <w:color w:val="000000"/>
          <w:kern w:val="0"/>
          <w:sz w:val="32"/>
          <w:szCs w:val="32"/>
          <w:lang w:val="en-US" w:eastAsia="zh-CN" w:bidi="ar-SA"/>
        </w:rPr>
        <w:t>第三部分 云浮市云安区卫生和计划生育局 2017年部门决算情况说明</w:t>
      </w:r>
      <w:r>
        <w:rPr>
          <w:rFonts w:hint="eastAsia" w:ascii="黑体" w:hAnsi="黑体" w:eastAsia="黑体" w:cs="黑体"/>
          <w:b/>
          <w:w w:val="200"/>
          <w:sz w:val="36"/>
        </w:rPr>
        <w:t xml:space="preserve"> </w:t>
      </w:r>
    </w:p>
    <w:p>
      <w:pPr>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jc w:val="left"/>
        <w:textAlignment w:val="auto"/>
        <w:rPr>
          <w:rFonts w:hint="eastAsia" w:ascii="楷体_GB2312" w:hAnsi="黑体" w:eastAsia="楷体_GB2312" w:cs="宋体"/>
          <w:b w:val="0"/>
          <w:bCs/>
          <w:color w:val="000000"/>
          <w:kern w:val="0"/>
          <w:sz w:val="32"/>
          <w:szCs w:val="32"/>
          <w:lang w:val="en-US" w:eastAsia="zh-CN" w:bidi="ar-SA"/>
        </w:rPr>
      </w:pPr>
      <w:r>
        <w:rPr>
          <w:rFonts w:hint="eastAsia" w:ascii="楷体_GB2312" w:hAnsi="黑体" w:eastAsia="楷体_GB2312" w:cs="宋体"/>
          <w:b w:val="0"/>
          <w:bCs/>
          <w:color w:val="000000"/>
          <w:kern w:val="0"/>
          <w:sz w:val="32"/>
          <w:szCs w:val="32"/>
          <w:lang w:val="en-US" w:eastAsia="zh-CN" w:bidi="ar-SA"/>
        </w:rPr>
        <w:t xml:space="preserve">第四部分 名词解释 </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ascii="Microsoft JhengHei"/>
          <w:b/>
          <w:sz w:val="36"/>
        </w:rPr>
      </w:pP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textAlignment w:val="auto"/>
        <w:rPr>
          <w:rFonts w:ascii="Microsoft JhengHei"/>
          <w:b/>
          <w:sz w:val="29"/>
        </w:rPr>
      </w:pPr>
    </w:p>
    <w:p>
      <w:pPr>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jc w:val="left"/>
        <w:textAlignment w:val="auto"/>
        <w:rPr>
          <w:rFonts w:ascii="Microsoft JhengHei"/>
          <w:b/>
          <w:sz w:val="36"/>
        </w:rPr>
      </w:pPr>
      <w:r>
        <w:rPr>
          <w:rFonts w:ascii="Microsoft JhengHei"/>
          <w:b/>
          <w:w w:val="200"/>
          <w:sz w:val="36"/>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jc w:val="left"/>
        <w:textAlignment w:val="auto"/>
        <w:rPr>
          <w:rFonts w:ascii="Microsoft JhengHei"/>
          <w:sz w:val="36"/>
        </w:rPr>
      </w:pP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jc w:val="left"/>
        <w:textAlignment w:val="auto"/>
        <w:rPr>
          <w:rFonts w:ascii="Microsoft JhengHei"/>
          <w:sz w:val="36"/>
        </w:rPr>
      </w:pP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jc w:val="left"/>
        <w:textAlignment w:val="auto"/>
        <w:rPr>
          <w:rFonts w:ascii="Microsoft JhengHei"/>
          <w:sz w:val="36"/>
        </w:rPr>
      </w:pP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jc w:val="left"/>
        <w:textAlignment w:val="auto"/>
        <w:rPr>
          <w:rFonts w:ascii="Microsoft JhengHei"/>
          <w:sz w:val="36"/>
        </w:rPr>
      </w:pP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jc w:val="left"/>
        <w:textAlignment w:val="auto"/>
        <w:rPr>
          <w:rFonts w:ascii="Microsoft JhengHei"/>
          <w:sz w:val="36"/>
        </w:rPr>
      </w:pP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jc w:val="left"/>
        <w:textAlignment w:val="auto"/>
        <w:rPr>
          <w:rFonts w:ascii="Microsoft JhengHei"/>
          <w:sz w:val="36"/>
        </w:rPr>
      </w:pP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jc w:val="left"/>
        <w:textAlignment w:val="auto"/>
        <w:rPr>
          <w:rFonts w:ascii="Microsoft JhengHei"/>
          <w:sz w:val="36"/>
        </w:rPr>
        <w:sectPr>
          <w:pgSz w:w="11910" w:h="16840"/>
          <w:pgMar w:top="1440" w:right="1480" w:bottom="1180" w:left="1420" w:header="0" w:footer="990" w:gutter="0"/>
          <w:cols w:equalWidth="0" w:num="1">
            <w:col w:w="9010"/>
          </w:cols>
        </w:sectPr>
      </w:pPr>
    </w:p>
    <w:p>
      <w:pPr>
        <w:keepNext w:val="0"/>
        <w:keepLines w:val="0"/>
        <w:pageBreakBefore w:val="0"/>
        <w:widowControl w:val="0"/>
        <w:numPr>
          <w:ilvl w:val="0"/>
          <w:numId w:val="1"/>
        </w:numPr>
        <w:kinsoku/>
        <w:wordWrap/>
        <w:overflowPunct/>
        <w:topLinePunct w:val="0"/>
        <w:autoSpaceDE w:val="0"/>
        <w:autoSpaceDN w:val="0"/>
        <w:bidi w:val="0"/>
        <w:adjustRightInd/>
        <w:snapToGrid/>
        <w:spacing w:before="0" w:line="560" w:lineRule="exact"/>
        <w:ind w:left="0" w:right="0" w:firstLine="0"/>
        <w:jc w:val="left"/>
        <w:textAlignment w:val="auto"/>
        <w:rPr>
          <w:rFonts w:hint="eastAsia" w:ascii="黑体" w:eastAsia="黑体" w:cs="黑体" w:hAnsiTheme="minorHAnsi"/>
          <w:bCs/>
          <w:color w:val="000000"/>
          <w:kern w:val="0"/>
          <w:sz w:val="40"/>
          <w:szCs w:val="44"/>
          <w:lang w:val="en-US" w:bidi="ar-SA"/>
        </w:rPr>
      </w:pPr>
      <w:r>
        <w:rPr>
          <w:rFonts w:hint="eastAsia" w:ascii="黑体" w:eastAsia="黑体" w:cs="黑体" w:hAnsiTheme="minorHAnsi"/>
          <w:bCs/>
          <w:color w:val="000000"/>
          <w:kern w:val="0"/>
          <w:sz w:val="40"/>
          <w:szCs w:val="44"/>
          <w:lang w:val="en-US" w:bidi="ar-SA"/>
        </w:rPr>
        <w:t>云浮市云安区卫生和计划生育局概况</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560" w:lineRule="exact"/>
        <w:ind w:leftChars="0" w:right="0" w:rightChars="0"/>
        <w:jc w:val="left"/>
        <w:textAlignment w:val="auto"/>
        <w:rPr>
          <w:rFonts w:hint="eastAsia" w:ascii="黑体" w:hAnsi="黑体" w:eastAsia="黑体" w:cs="黑体"/>
          <w:b/>
          <w:sz w:val="36"/>
        </w:rPr>
      </w:pPr>
      <w:r>
        <w:rPr>
          <w:rFonts w:hint="eastAsia" w:ascii="黑体" w:hAnsi="黑体" w:eastAsia="黑体" w:cs="黑体"/>
          <w:b/>
          <w:w w:val="200"/>
          <w:sz w:val="36"/>
        </w:rPr>
        <w:t xml:space="preserve"> </w:t>
      </w:r>
    </w:p>
    <w:p>
      <w:pPr>
        <w:pStyle w:val="3"/>
        <w:keepNext w:val="0"/>
        <w:keepLines w:val="0"/>
        <w:pageBreakBefore w:val="0"/>
        <w:widowControl w:val="0"/>
        <w:tabs>
          <w:tab w:val="left" w:pos="1690"/>
        </w:tabs>
        <w:kinsoku/>
        <w:wordWrap/>
        <w:overflowPunct/>
        <w:topLinePunct w:val="0"/>
        <w:autoSpaceDE w:val="0"/>
        <w:autoSpaceDN w:val="0"/>
        <w:bidi w:val="0"/>
        <w:adjustRightInd/>
        <w:snapToGrid/>
        <w:spacing w:before="0" w:line="560" w:lineRule="exact"/>
        <w:ind w:left="0" w:right="0"/>
        <w:textAlignment w:val="auto"/>
        <w:rPr>
          <w:rFonts w:hint="eastAsia" w:ascii="楷体_GB2312" w:hAnsi="黑体" w:eastAsia="楷体_GB2312" w:cs="宋体"/>
          <w:b w:val="0"/>
          <w:bCs/>
          <w:color w:val="000000"/>
          <w:kern w:val="0"/>
          <w:sz w:val="32"/>
          <w:szCs w:val="32"/>
          <w:lang w:val="en-US" w:eastAsia="zh-CN" w:bidi="ar-SA"/>
        </w:rPr>
      </w:pPr>
      <w:r>
        <w:rPr>
          <w:rFonts w:hint="eastAsia" w:ascii="楷体_GB2312" w:hAnsi="黑体" w:eastAsia="楷体_GB2312" w:cs="宋体"/>
          <w:b w:val="0"/>
          <w:bCs/>
          <w:color w:val="000000"/>
          <w:kern w:val="0"/>
          <w:sz w:val="32"/>
          <w:szCs w:val="32"/>
          <w:lang w:val="en-US" w:eastAsia="zh-CN" w:bidi="ar-SA"/>
        </w:rPr>
        <w:t>部门主要职责</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（一）贯彻执行国家、省和市有关卫生和计划生育、中医药工作的法律法规和方针政策，拟订卫生和计划生育以及促进中医药事业发展的规划，起草相关的规范性文件，并组织实</w:t>
      </w:r>
      <w:r>
        <w:rPr>
          <w:rFonts w:hint="eastAsia" w:ascii="仿宋_GB2312" w:hAnsi="仿宋_GB2312" w:eastAsia="仿宋_GB2312" w:cs="仿宋_GB2312"/>
          <w:color w:val="auto"/>
          <w:sz w:val="32"/>
          <w:szCs w:val="32"/>
          <w:highlight w:val="none"/>
        </w:rPr>
        <w:t>施；组</w:t>
      </w:r>
      <w:r>
        <w:rPr>
          <w:rFonts w:hint="eastAsia" w:ascii="仿宋_GB2312" w:hAnsi="仿宋_GB2312" w:eastAsia="仿宋_GB2312" w:cs="仿宋_GB2312"/>
          <w:sz w:val="32"/>
          <w:szCs w:val="32"/>
        </w:rPr>
        <w:t>织拟订有关标准和技术规范，提出相关政策建议。负责协调推进我区医药卫生体制改革和医疗保障，统筹规划卫生和计划生育服务资源配置，拟定区域卫生和计划生育规划并指导实施。</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负责疾病预防控制工作，协调有关部门对重大疾病实施防控与干预，组织实施免疫规划工作。制定卫生应急和紧急医学救援预案、突发公共卫生事件监测和风险评估计划，组织和指导突发公共卫生事件预防控制和各类突发公共事件的医疗卫生救援。</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负责制定职责范围内的职业卫生、放射卫生、环境卫生、学校卫生、公共场所卫生、饮用水卫生管理规范和政策措施，组织开展相关监测、调查、评估和监督，负责传染病防治监督。组织开展食品安全风险监测、评估。</w:t>
      </w:r>
    </w:p>
    <w:p>
      <w:pPr>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负责组织拟订基层卫生和计划生育服务、妇幼卫生发展规划和政策措施，指导全区基层卫生和计划生育、妇幼卫生服务体系建设，推进基本公共卫生和计划生育服务均等化，完善基层运行新机制和乡村医生管理制度。</w:t>
      </w:r>
    </w:p>
    <w:p>
      <w:pPr>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负责医疗机构和医疗服务的行业准入管理并监督实施。制定医疗机构及其医疗服务、医疗技术、医疗质量、医疗安全以及采供血机构管理的规范、标准并组织实施，会同有关部门制定和实施卫生专业技术人员准入、资格标准，制定和实施卫生专业技术人员执业规则和服务规范，建立医疗机构医疗服务评价和监督管理体系。</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（六）负责组织推进公立医院改革，建立公益性为导向的绩效考核和评价机制，建设和谐医患关系，提出医疗服务和药品价格政策的建议。</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（七）组织实施国家药物政策和基本药物制度，提出基本药物价格政策的建议。</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贯彻落实国家和省的有关生育政策，完善生育管理政策，组织实施促进出生人口性别平衡的政策措施，组织监测计划生育发展动态，提出发布计划生育安全预警预报信息建议。制定计划生育技术服务管理制度并监督实施。制定优生优育和提高出生人口素质的政策措施并组织实施，推动实施计划生育生殖健康促进计划，降低出生缺陷人口数量。</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（九）组织建立计划生育利益导向、计划生育特殊困难家庭扶助和促进计划生育家庭发展等机制。负责协调推进有关部门、群众团体履行计划生育工作相关职责。</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（十）负责计划生育信息化建设，加强全员人口信息系统建设，参与全区人口基础信息库建设。</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（十一）制定流动人口计划生育服务管理制度并组织落实， 推动建立流动人口流入地、流出地计划生育信息互联互通和</w:t>
      </w:r>
      <w:r>
        <w:rPr>
          <w:rFonts w:hint="eastAsia" w:ascii="仿宋_GB2312" w:hAnsi="仿宋_GB2312" w:eastAsia="仿宋_GB2312" w:cs="仿宋_GB2312"/>
          <w:sz w:val="32"/>
          <w:szCs w:val="32"/>
          <w:lang w:eastAsia="zh-CN"/>
        </w:rPr>
        <w:t>公</w:t>
      </w:r>
      <w:r>
        <w:rPr>
          <w:rFonts w:hint="eastAsia" w:ascii="仿宋_GB2312" w:hAnsi="仿宋_GB2312" w:eastAsia="仿宋_GB2312" w:cs="仿宋_GB2312"/>
          <w:sz w:val="32"/>
          <w:szCs w:val="32"/>
        </w:rPr>
        <w:t>共服务工作机制。</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（十二）组织拟订全区卫生和计划生育人才发展规划，指导卫生和计划生育人才队伍建设。加强全科医生等急需紧缺专业人才培养，建立完善住院医师和专科医师规范化培训制度并指导实施。</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（十三）组织拟订卫生和计划生育科技发展规划，组织实施</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卫生和计划生育相关科研项目。</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（十四）指导乡镇卫生和计划生育工作，完善综合监督执法体系，规范执法行为，监督检查法律法规和政策措施的落实，组织查处重大违法行为。</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（十五）负责卫生和计划生育宣传、健康教育和健康促进等工作，依法组织实施统计调查。开展卫生和计划生育方面的对外交流与合作。</w:t>
      </w:r>
    </w:p>
    <w:p>
      <w:pPr>
        <w:pStyle w:val="4"/>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（十六）承担区委保健委员会、区深化医药卫生体制改革工作领导小组和区人民政府防治艾滋病工作委员会的日常工作， 负责重大活动与重要会议的医疗卫生保障工作。</w:t>
      </w:r>
    </w:p>
    <w:p>
      <w:pPr>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（十七）管理全区所有医疗卫生单位和计划生育服务机构</w:t>
      </w:r>
      <w:r>
        <w:rPr>
          <w:rFonts w:hint="eastAsia" w:ascii="仿宋_GB2312" w:hAnsi="仿宋_GB2312" w:eastAsia="仿宋_GB2312" w:cs="仿宋_GB2312"/>
          <w:sz w:val="32"/>
          <w:szCs w:val="32"/>
          <w:lang w:eastAsia="zh-CN"/>
        </w:rPr>
        <w:t>。</w:t>
      </w:r>
    </w:p>
    <w:p>
      <w:pPr>
        <w:pStyle w:val="3"/>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640" w:firstLineChars="200"/>
        <w:textAlignment w:val="auto"/>
        <w:rPr>
          <w:rFonts w:hint="eastAsia" w:ascii="楷体_GB2312" w:hAnsi="黑体" w:eastAsia="楷体_GB2312" w:cs="宋体"/>
          <w:b w:val="0"/>
          <w:bCs/>
          <w:color w:val="000000"/>
          <w:kern w:val="0"/>
          <w:sz w:val="32"/>
          <w:szCs w:val="32"/>
          <w:lang w:val="en-US" w:eastAsia="zh-CN" w:bidi="ar-SA"/>
        </w:rPr>
      </w:pPr>
      <w:r>
        <w:rPr>
          <w:rFonts w:hint="eastAsia" w:ascii="楷体_GB2312" w:hAnsi="黑体" w:eastAsia="楷体_GB2312" w:cs="宋体"/>
          <w:b w:val="0"/>
          <w:bCs/>
          <w:color w:val="000000"/>
          <w:kern w:val="0"/>
          <w:sz w:val="32"/>
          <w:szCs w:val="32"/>
          <w:lang w:val="en-US" w:eastAsia="zh-CN" w:bidi="ar-SA"/>
        </w:rPr>
        <w:t>二、 部门决算单位构成</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textAlignment w:val="auto"/>
        <w:rPr>
          <w:rFonts w:ascii="宋体" w:hAnsi="宋体" w:eastAsia="宋体" w:cs="宋体"/>
          <w:sz w:val="22"/>
          <w:szCs w:val="22"/>
          <w:lang w:val="zh-CN" w:eastAsia="zh-CN" w:bidi="zh-CN"/>
        </w:rPr>
      </w:pPr>
      <w:r>
        <w:rPr>
          <w:rFonts w:hint="eastAsia" w:ascii="仿宋_GB2312" w:hAnsi="仿宋_GB2312" w:eastAsia="仿宋_GB2312" w:cs="仿宋_GB2312"/>
          <w:sz w:val="32"/>
          <w:szCs w:val="32"/>
        </w:rPr>
        <w:t>列入决算编制的下属单位共4个，分别是云安区计划生育协会办公室，云安区妇幼保健和计划生育服务中心，云安区红十字会，云安区爱卫会。</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lang w:val="zh-CN" w:eastAsia="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lang w:val="zh-CN" w:eastAsia="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lang w:val="zh-CN" w:eastAsia="zh-CN"/>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lang w:val="zh-CN" w:eastAsia="zh-CN"/>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after="0" w:line="560" w:lineRule="exact"/>
        <w:ind w:right="0" w:rightChars="0"/>
        <w:jc w:val="both"/>
        <w:textAlignment w:val="auto"/>
        <w:rPr>
          <w:sz w:val="22"/>
        </w:rPr>
        <w:sectPr>
          <w:footerReference r:id="rId6" w:type="default"/>
          <w:type w:val="continuous"/>
          <w:pgSz w:w="11910" w:h="16840"/>
          <w:pgMar w:top="260" w:right="1180" w:bottom="1300" w:left="1580" w:header="720" w:footer="720" w:gutter="0"/>
          <w:cols w:equalWidth="0" w:num="1">
            <w:col w:w="15280"/>
          </w:cols>
        </w:sectPr>
      </w:pPr>
    </w:p>
    <w:p>
      <w:pPr>
        <w:keepNext w:val="0"/>
        <w:keepLines w:val="0"/>
        <w:widowControl/>
        <w:suppressLineNumbers w:val="0"/>
        <w:jc w:val="center"/>
      </w:pPr>
      <w:r>
        <w:rPr>
          <w:rFonts w:hint="eastAsia" w:ascii="宋体" w:hAnsi="宋体" w:eastAsia="宋体" w:cs="宋体"/>
          <w:b/>
          <w:bCs/>
          <w:color w:val="000000"/>
          <w:kern w:val="0"/>
          <w:sz w:val="36"/>
          <w:szCs w:val="36"/>
          <w:lang w:val="en-US" w:eastAsia="zh-CN" w:bidi="ar"/>
        </w:rPr>
        <w:t>第二部分 云浮市云安区卫生和计划生育局 2017 年部门决算表</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textAlignment w:val="auto"/>
        <w:rPr>
          <w:sz w:val="20"/>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sz w:val="13"/>
        </w:rPr>
        <w:sectPr>
          <w:pgSz w:w="16840" w:h="11910" w:orient="landscape"/>
          <w:pgMar w:top="1100" w:right="260" w:bottom="1100" w:left="1300" w:header="0" w:footer="910" w:gutter="0"/>
          <w:cols w:equalWidth="0" w:num="1">
            <w:col w:w="15280"/>
          </w:cols>
        </w:sectPr>
      </w:pPr>
      <w:r>
        <w:drawing>
          <wp:inline distT="0" distB="0" distL="114300" distR="114300">
            <wp:extent cx="8562975" cy="5219700"/>
            <wp:effectExtent l="0" t="0" r="9525" b="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9"/>
                    <a:stretch>
                      <a:fillRect/>
                    </a:stretch>
                  </pic:blipFill>
                  <pic:spPr>
                    <a:xfrm>
                      <a:off x="0" y="0"/>
                      <a:ext cx="8562975" cy="5219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sz w:val="13"/>
        </w:rPr>
        <w:sectPr>
          <w:pgSz w:w="16840" w:h="11910" w:orient="landscape"/>
          <w:pgMar w:top="1100" w:right="260" w:bottom="1100" w:left="1300" w:header="0" w:footer="910" w:gutter="0"/>
          <w:cols w:equalWidth="0" w:num="1">
            <w:col w:w="15280"/>
          </w:cols>
        </w:sectPr>
      </w:pPr>
      <w:r>
        <w:drawing>
          <wp:inline distT="0" distB="0" distL="114300" distR="114300">
            <wp:extent cx="8553450" cy="3028950"/>
            <wp:effectExtent l="0" t="0" r="0" b="0"/>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10"/>
                    <a:stretch>
                      <a:fillRect/>
                    </a:stretch>
                  </pic:blipFill>
                  <pic:spPr>
                    <a:xfrm>
                      <a:off x="0" y="0"/>
                      <a:ext cx="8553450" cy="3028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textAlignment w:val="auto"/>
        <w:rPr>
          <w:sz w:val="13"/>
        </w:rPr>
      </w:pPr>
      <w:r>
        <w:drawing>
          <wp:inline distT="0" distB="0" distL="114300" distR="114300">
            <wp:extent cx="8486140" cy="5829300"/>
            <wp:effectExtent l="0" t="0" r="10160" b="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11"/>
                    <a:stretch>
                      <a:fillRect/>
                    </a:stretch>
                  </pic:blipFill>
                  <pic:spPr>
                    <a:xfrm>
                      <a:off x="0" y="0"/>
                      <a:ext cx="8486140" cy="5829300"/>
                    </a:xfrm>
                    <a:prstGeom prst="rect">
                      <a:avLst/>
                    </a:prstGeom>
                    <a:noFill/>
                    <a:ln>
                      <a:noFill/>
                    </a:ln>
                  </pic:spPr>
                </pic:pic>
              </a:graphicData>
            </a:graphic>
          </wp:inline>
        </w:drawing>
      </w:r>
    </w:p>
    <w:p>
      <w:pPr>
        <w:pStyle w:val="4"/>
        <w:rPr>
          <w:rFonts w:ascii="Times New Roman"/>
          <w:sz w:val="20"/>
        </w:rPr>
      </w:pPr>
    </w:p>
    <w:p>
      <w:pPr>
        <w:pStyle w:val="4"/>
        <w:spacing w:before="11"/>
        <w:rPr>
          <w:rFonts w:ascii="Times New Roman"/>
          <w:sz w:val="16"/>
        </w:rPr>
      </w:pPr>
    </w:p>
    <w:p>
      <w:pPr>
        <w:pStyle w:val="4"/>
        <w:ind w:left="113"/>
        <w:rPr>
          <w:rFonts w:ascii="Times New Roman"/>
          <w:sz w:val="20"/>
        </w:rPr>
      </w:pPr>
    </w:p>
    <w:p>
      <w:pPr>
        <w:spacing w:after="0"/>
        <w:rPr>
          <w:rFonts w:ascii="Times New Roman"/>
          <w:sz w:val="20"/>
        </w:rPr>
        <w:sectPr>
          <w:pgSz w:w="16840" w:h="11910" w:orient="landscape"/>
          <w:pgMar w:top="1100" w:right="260" w:bottom="1100" w:left="1300" w:header="0" w:footer="910" w:gutter="0"/>
          <w:cols w:equalWidth="0" w:num="1">
            <w:col w:w="15280"/>
          </w:cols>
        </w:sectPr>
      </w:pPr>
      <w:r>
        <w:drawing>
          <wp:inline distT="0" distB="0" distL="114300" distR="114300">
            <wp:extent cx="8524875" cy="5781675"/>
            <wp:effectExtent l="0" t="0" r="9525" b="9525"/>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12"/>
                    <a:stretch>
                      <a:fillRect/>
                    </a:stretch>
                  </pic:blipFill>
                  <pic:spPr>
                    <a:xfrm>
                      <a:off x="0" y="0"/>
                      <a:ext cx="8524875" cy="5781675"/>
                    </a:xfrm>
                    <a:prstGeom prst="rect">
                      <a:avLst/>
                    </a:prstGeom>
                    <a:noFill/>
                    <a:ln>
                      <a:noFill/>
                    </a:ln>
                  </pic:spPr>
                </pic:pic>
              </a:graphicData>
            </a:graphic>
          </wp:inline>
        </w:drawing>
      </w:r>
    </w:p>
    <w:p>
      <w:pPr>
        <w:pStyle w:val="4"/>
        <w:rPr>
          <w:rFonts w:ascii="Times New Roman"/>
          <w:sz w:val="20"/>
        </w:rPr>
      </w:pPr>
    </w:p>
    <w:p>
      <w:pPr>
        <w:pStyle w:val="4"/>
        <w:rPr>
          <w:rFonts w:ascii="Times New Roman"/>
          <w:sz w:val="20"/>
        </w:rPr>
      </w:pPr>
      <w:r>
        <w:drawing>
          <wp:inline distT="0" distB="0" distL="114300" distR="114300">
            <wp:extent cx="8496300" cy="3343275"/>
            <wp:effectExtent l="0" t="0" r="0" b="9525"/>
            <wp:docPr id="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true"/>
                    </pic:cNvPicPr>
                  </pic:nvPicPr>
                  <pic:blipFill>
                    <a:blip r:embed="rId13"/>
                    <a:stretch>
                      <a:fillRect/>
                    </a:stretch>
                  </pic:blipFill>
                  <pic:spPr>
                    <a:xfrm>
                      <a:off x="0" y="0"/>
                      <a:ext cx="8496300" cy="3343275"/>
                    </a:xfrm>
                    <a:prstGeom prst="rect">
                      <a:avLst/>
                    </a:prstGeom>
                    <a:noFill/>
                    <a:ln>
                      <a:noFill/>
                    </a:ln>
                  </pic:spPr>
                </pic:pic>
              </a:graphicData>
            </a:graphic>
          </wp:inline>
        </w:drawing>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keepNext w:val="0"/>
        <w:keepLines w:val="0"/>
        <w:widowControl/>
        <w:suppressLineNumbers w:val="0"/>
        <w:jc w:val="center"/>
      </w:pPr>
      <w:r>
        <w:rPr>
          <w:rFonts w:hint="eastAsia" w:ascii="黑体" w:hAnsi="黑体" w:eastAsia="黑体" w:cs="黑体"/>
          <w:b/>
          <w:bCs/>
          <w:color w:val="000000"/>
          <w:kern w:val="0"/>
          <w:sz w:val="32"/>
          <w:szCs w:val="32"/>
          <w:lang w:val="en-US" w:eastAsia="zh-CN" w:bidi="ar"/>
        </w:rPr>
        <w:t>支出决算表</w:t>
      </w:r>
    </w:p>
    <w:p>
      <w:pPr>
        <w:keepNext w:val="0"/>
        <w:keepLines w:val="0"/>
        <w:widowControl/>
        <w:suppressLineNumbers w:val="0"/>
        <w:ind w:firstLine="2730" w:firstLineChars="1300"/>
        <w:jc w:val="left"/>
        <w:rPr>
          <w:rFonts w:hint="eastAsia"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公开 03 表 </w:t>
      </w:r>
    </w:p>
    <w:p>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部门：云浮市云安区卫生和计划生育局 </w:t>
      </w: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单位：万元</w:t>
      </w:r>
    </w:p>
    <w:p>
      <w:pPr>
        <w:keepNext w:val="0"/>
        <w:keepLines w:val="0"/>
        <w:widowControl/>
        <w:suppressLineNumbers w:val="0"/>
        <w:jc w:val="left"/>
        <w:rPr>
          <w:sz w:val="21"/>
          <w:szCs w:val="21"/>
        </w:rPr>
      </w:pPr>
    </w:p>
    <w:p>
      <w:pPr>
        <w:keepNext w:val="0"/>
        <w:keepLines w:val="0"/>
        <w:widowControl/>
        <w:suppressLineNumbers w:val="0"/>
        <w:jc w:val="left"/>
      </w:pPr>
      <w:r>
        <w:drawing>
          <wp:inline distT="0" distB="0" distL="114300" distR="114300">
            <wp:extent cx="9286875" cy="5334635"/>
            <wp:effectExtent l="0" t="0" r="9525" b="18415"/>
            <wp:docPr id="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true"/>
                    </pic:cNvPicPr>
                  </pic:nvPicPr>
                  <pic:blipFill>
                    <a:blip r:embed="rId14"/>
                    <a:stretch>
                      <a:fillRect/>
                    </a:stretch>
                  </pic:blipFill>
                  <pic:spPr>
                    <a:xfrm>
                      <a:off x="0" y="0"/>
                      <a:ext cx="9286875" cy="5334635"/>
                    </a:xfrm>
                    <a:prstGeom prst="rect">
                      <a:avLst/>
                    </a:prstGeom>
                    <a:noFill/>
                    <a:ln>
                      <a:noFill/>
                    </a:ln>
                  </pic:spPr>
                </pic:pic>
              </a:graphicData>
            </a:graphic>
          </wp:inline>
        </w:drawing>
      </w:r>
    </w:p>
    <w:p>
      <w:pPr>
        <w:pStyle w:val="4"/>
        <w:rPr>
          <w:rFonts w:ascii="Times New Roman"/>
          <w:sz w:val="20"/>
        </w:rPr>
      </w:pPr>
      <w:r>
        <w:drawing>
          <wp:inline distT="0" distB="0" distL="114300" distR="114300">
            <wp:extent cx="9334500" cy="5657850"/>
            <wp:effectExtent l="0" t="0" r="0" b="0"/>
            <wp:docPr id="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true"/>
                    </pic:cNvPicPr>
                  </pic:nvPicPr>
                  <pic:blipFill>
                    <a:blip r:embed="rId15"/>
                    <a:stretch>
                      <a:fillRect/>
                    </a:stretch>
                  </pic:blipFill>
                  <pic:spPr>
                    <a:xfrm>
                      <a:off x="0" y="0"/>
                      <a:ext cx="9334500" cy="5657850"/>
                    </a:xfrm>
                    <a:prstGeom prst="rect">
                      <a:avLst/>
                    </a:prstGeom>
                    <a:noFill/>
                    <a:ln>
                      <a:noFill/>
                    </a:ln>
                  </pic:spPr>
                </pic:pic>
              </a:graphicData>
            </a:graphic>
          </wp:inline>
        </w:drawing>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r>
        <w:drawing>
          <wp:inline distT="0" distB="0" distL="114300" distR="114300">
            <wp:extent cx="9344025" cy="1362075"/>
            <wp:effectExtent l="0" t="0" r="9525" b="9525"/>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pic:cNvPicPr>
                  </pic:nvPicPr>
                  <pic:blipFill>
                    <a:blip r:embed="rId16"/>
                    <a:stretch>
                      <a:fillRect/>
                    </a:stretch>
                  </pic:blipFill>
                  <pic:spPr>
                    <a:xfrm>
                      <a:off x="0" y="0"/>
                      <a:ext cx="9344025" cy="1362075"/>
                    </a:xfrm>
                    <a:prstGeom prst="rect">
                      <a:avLst/>
                    </a:prstGeom>
                    <a:noFill/>
                    <a:ln>
                      <a:noFill/>
                    </a:ln>
                  </pic:spPr>
                </pic:pic>
              </a:graphicData>
            </a:graphic>
          </wp:inline>
        </w:drawing>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keepNext w:val="0"/>
        <w:keepLines w:val="0"/>
        <w:widowControl/>
        <w:suppressLineNumbers w:val="0"/>
        <w:jc w:val="center"/>
      </w:pPr>
      <w:r>
        <w:rPr>
          <w:rFonts w:hint="eastAsia" w:ascii="黑体" w:hAnsi="黑体" w:eastAsia="黑体" w:cs="黑体"/>
          <w:b/>
          <w:bCs/>
          <w:color w:val="000000"/>
          <w:kern w:val="0"/>
          <w:sz w:val="32"/>
          <w:szCs w:val="32"/>
          <w:lang w:val="en-US" w:eastAsia="zh-CN" w:bidi="ar"/>
        </w:rPr>
        <w:t>财政拨款收入支出决算总表</w:t>
      </w:r>
    </w:p>
    <w:p>
      <w:pPr>
        <w:keepNext w:val="0"/>
        <w:keepLines w:val="0"/>
        <w:widowControl/>
        <w:suppressLineNumbers w:val="0"/>
        <w:ind w:firstLine="2730" w:firstLineChars="1300"/>
        <w:jc w:val="left"/>
        <w:rPr>
          <w:rFonts w:hint="eastAsia"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公开 0</w:t>
      </w:r>
      <w:r>
        <w:rPr>
          <w:rFonts w:hint="eastAsia"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 表 </w:t>
      </w:r>
    </w:p>
    <w:p>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 xml:space="preserve">部门：云浮市云安区卫生和计划生育局 </w:t>
      </w: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单位：万元</w:t>
      </w:r>
    </w:p>
    <w:p>
      <w:pPr>
        <w:keepNext w:val="0"/>
        <w:keepLines w:val="0"/>
        <w:widowControl/>
        <w:suppressLineNumbers w:val="0"/>
        <w:jc w:val="left"/>
        <w:rPr>
          <w:sz w:val="21"/>
          <w:szCs w:val="21"/>
        </w:rPr>
      </w:pPr>
    </w:p>
    <w:p>
      <w:pPr>
        <w:pStyle w:val="4"/>
        <w:rPr>
          <w:rFonts w:ascii="Times New Roman"/>
          <w:sz w:val="20"/>
        </w:rPr>
      </w:pPr>
      <w:r>
        <w:drawing>
          <wp:inline distT="0" distB="0" distL="114300" distR="114300">
            <wp:extent cx="9248775" cy="4810125"/>
            <wp:effectExtent l="0" t="0" r="9525" b="9525"/>
            <wp:docPr id="1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true"/>
                    </pic:cNvPicPr>
                  </pic:nvPicPr>
                  <pic:blipFill>
                    <a:blip r:embed="rId17"/>
                    <a:stretch>
                      <a:fillRect/>
                    </a:stretch>
                  </pic:blipFill>
                  <pic:spPr>
                    <a:xfrm>
                      <a:off x="0" y="0"/>
                      <a:ext cx="9248775" cy="4810125"/>
                    </a:xfrm>
                    <a:prstGeom prst="rect">
                      <a:avLst/>
                    </a:prstGeom>
                    <a:noFill/>
                    <a:ln>
                      <a:noFill/>
                    </a:ln>
                  </pic:spPr>
                </pic:pic>
              </a:graphicData>
            </a:graphic>
          </wp:inline>
        </w:drawing>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r>
        <w:drawing>
          <wp:inline distT="0" distB="0" distL="114300" distR="114300">
            <wp:extent cx="9239250" cy="3905250"/>
            <wp:effectExtent l="0" t="0" r="0" b="0"/>
            <wp:docPr id="1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true"/>
                    </pic:cNvPicPr>
                  </pic:nvPicPr>
                  <pic:blipFill>
                    <a:blip r:embed="rId18"/>
                    <a:stretch>
                      <a:fillRect/>
                    </a:stretch>
                  </pic:blipFill>
                  <pic:spPr>
                    <a:xfrm>
                      <a:off x="0" y="0"/>
                      <a:ext cx="9239250" cy="3905250"/>
                    </a:xfrm>
                    <a:prstGeom prst="rect">
                      <a:avLst/>
                    </a:prstGeom>
                    <a:noFill/>
                    <a:ln>
                      <a:noFill/>
                    </a:ln>
                  </pic:spPr>
                </pic:pic>
              </a:graphicData>
            </a:graphic>
          </wp:inline>
        </w:drawing>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pPr>
      <w:r>
        <w:rPr>
          <w:rFonts w:hint="eastAsia" w:ascii="黑体" w:hAnsi="黑体" w:eastAsia="黑体" w:cs="黑体"/>
          <w:b/>
          <w:bCs/>
          <w:color w:val="000000"/>
          <w:kern w:val="0"/>
          <w:sz w:val="32"/>
          <w:szCs w:val="32"/>
          <w:lang w:val="en-US" w:eastAsia="zh-CN" w:bidi="ar"/>
        </w:rPr>
        <w:t>一般公共预算财政拨款支出决算表</w:t>
      </w:r>
    </w:p>
    <w:p>
      <w:pPr>
        <w:keepNext w:val="0"/>
        <w:keepLines w:val="0"/>
        <w:widowControl/>
        <w:suppressLineNumbers w:val="0"/>
        <w:jc w:val="both"/>
      </w:pPr>
      <w:r>
        <w:drawing>
          <wp:inline distT="0" distB="0" distL="114300" distR="114300">
            <wp:extent cx="8867775" cy="4972050"/>
            <wp:effectExtent l="0" t="0" r="9525" b="0"/>
            <wp:docPr id="13"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true"/>
                    </pic:cNvPicPr>
                  </pic:nvPicPr>
                  <pic:blipFill>
                    <a:blip r:embed="rId19"/>
                    <a:stretch>
                      <a:fillRect/>
                    </a:stretch>
                  </pic:blipFill>
                  <pic:spPr>
                    <a:xfrm>
                      <a:off x="0" y="0"/>
                      <a:ext cx="8867775" cy="4972050"/>
                    </a:xfrm>
                    <a:prstGeom prst="rect">
                      <a:avLst/>
                    </a:prstGeom>
                    <a:noFill/>
                    <a:ln>
                      <a:noFill/>
                    </a:ln>
                  </pic:spPr>
                </pic:pic>
              </a:graphicData>
            </a:graphic>
          </wp:inline>
        </w:drawing>
      </w:r>
    </w:p>
    <w:p>
      <w:pPr>
        <w:pStyle w:val="4"/>
        <w:rPr>
          <w:rFonts w:ascii="Times New Roman"/>
          <w:sz w:val="20"/>
        </w:rPr>
      </w:pPr>
    </w:p>
    <w:p>
      <w:pPr>
        <w:pStyle w:val="4"/>
        <w:rPr>
          <w:rFonts w:ascii="Times New Roman"/>
          <w:sz w:val="20"/>
        </w:rPr>
      </w:pPr>
    </w:p>
    <w:p>
      <w:pPr>
        <w:pStyle w:val="4"/>
        <w:spacing w:before="6"/>
        <w:rPr>
          <w:rFonts w:ascii="Times New Roman"/>
          <w:sz w:val="21"/>
        </w:rPr>
      </w:pPr>
      <w:r>
        <w:drawing>
          <wp:inline distT="0" distB="0" distL="114300" distR="114300">
            <wp:extent cx="9191625" cy="5657850"/>
            <wp:effectExtent l="0" t="0" r="9525" b="0"/>
            <wp:docPr id="1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true"/>
                    </pic:cNvPicPr>
                  </pic:nvPicPr>
                  <pic:blipFill>
                    <a:blip r:embed="rId20"/>
                    <a:stretch>
                      <a:fillRect/>
                    </a:stretch>
                  </pic:blipFill>
                  <pic:spPr>
                    <a:xfrm>
                      <a:off x="0" y="0"/>
                      <a:ext cx="9191625" cy="5657850"/>
                    </a:xfrm>
                    <a:prstGeom prst="rect">
                      <a:avLst/>
                    </a:prstGeom>
                    <a:noFill/>
                    <a:ln>
                      <a:noFill/>
                    </a:ln>
                  </pic:spPr>
                </pic:pic>
              </a:graphicData>
            </a:graphic>
          </wp:inline>
        </w:drawing>
      </w:r>
    </w:p>
    <w:p>
      <w:pPr>
        <w:pStyle w:val="2"/>
        <w:spacing w:line="240" w:lineRule="auto"/>
        <w:ind w:left="0" w:right="228"/>
        <w:jc w:val="both"/>
      </w:pPr>
      <w:r>
        <w:drawing>
          <wp:inline distT="0" distB="0" distL="114300" distR="114300">
            <wp:extent cx="8801735" cy="2266950"/>
            <wp:effectExtent l="0" t="0" r="18415" b="0"/>
            <wp:docPr id="1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true"/>
                    </pic:cNvPicPr>
                  </pic:nvPicPr>
                  <pic:blipFill>
                    <a:blip r:embed="rId21"/>
                    <a:stretch>
                      <a:fillRect/>
                    </a:stretch>
                  </pic:blipFill>
                  <pic:spPr>
                    <a:xfrm>
                      <a:off x="0" y="0"/>
                      <a:ext cx="8801735" cy="2266950"/>
                    </a:xfrm>
                    <a:prstGeom prst="rect">
                      <a:avLst/>
                    </a:prstGeom>
                    <a:noFill/>
                    <a:ln>
                      <a:noFill/>
                    </a:ln>
                  </pic:spPr>
                </pic:pic>
              </a:graphicData>
            </a:graphic>
          </wp:inline>
        </w:drawing>
      </w:r>
    </w:p>
    <w:p>
      <w:pPr>
        <w:pStyle w:val="2"/>
        <w:spacing w:line="240" w:lineRule="auto"/>
        <w:ind w:left="0" w:right="228"/>
        <w:jc w:val="both"/>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rPr>
          <w:rFonts w:hint="eastAsia" w:ascii="黑体" w:hAnsi="黑体" w:eastAsia="黑体" w:cs="黑体"/>
          <w:b/>
          <w:bCs/>
          <w:color w:val="000000"/>
          <w:kern w:val="0"/>
          <w:sz w:val="32"/>
          <w:szCs w:val="32"/>
          <w:lang w:val="en-US" w:eastAsia="zh-CN" w:bidi="ar"/>
        </w:rPr>
      </w:pPr>
    </w:p>
    <w:p>
      <w:pPr>
        <w:keepNext w:val="0"/>
        <w:keepLines w:val="0"/>
        <w:widowControl/>
        <w:suppressLineNumbers w:val="0"/>
        <w:jc w:val="center"/>
      </w:pPr>
      <w:r>
        <w:rPr>
          <w:rFonts w:hint="eastAsia" w:ascii="黑体" w:hAnsi="黑体" w:eastAsia="黑体" w:cs="黑体"/>
          <w:b/>
          <w:bCs/>
          <w:color w:val="000000"/>
          <w:kern w:val="0"/>
          <w:sz w:val="32"/>
          <w:szCs w:val="32"/>
          <w:lang w:val="en-US" w:eastAsia="zh-CN" w:bidi="ar"/>
        </w:rPr>
        <w:t>一般公共预算</w:t>
      </w:r>
      <w:r>
        <w:rPr>
          <w:rFonts w:hint="default" w:ascii="黑体" w:hAnsi="黑体" w:eastAsia="黑体" w:cs="黑体"/>
          <w:b/>
          <w:bCs/>
          <w:color w:val="000000"/>
          <w:kern w:val="0"/>
          <w:sz w:val="32"/>
          <w:szCs w:val="32"/>
          <w:lang w:val="en-US" w:eastAsia="zh-CN" w:bidi="ar"/>
        </w:rPr>
        <w:t>财</w:t>
      </w:r>
      <w:r>
        <w:rPr>
          <w:rFonts w:hint="eastAsia" w:ascii="黑体" w:hAnsi="黑体" w:eastAsia="黑体" w:cs="黑体"/>
          <w:b/>
          <w:bCs/>
          <w:color w:val="000000"/>
          <w:kern w:val="0"/>
          <w:sz w:val="32"/>
          <w:szCs w:val="32"/>
          <w:lang w:val="en-US" w:eastAsia="zh-CN" w:bidi="ar"/>
        </w:rPr>
        <w:t>政</w:t>
      </w:r>
      <w:r>
        <w:rPr>
          <w:rFonts w:hint="default" w:ascii="黑体" w:hAnsi="黑体" w:eastAsia="黑体" w:cs="黑体"/>
          <w:b/>
          <w:bCs/>
          <w:color w:val="000000"/>
          <w:kern w:val="0"/>
          <w:sz w:val="32"/>
          <w:szCs w:val="32"/>
          <w:lang w:val="en-US" w:eastAsia="zh-CN" w:bidi="ar"/>
        </w:rPr>
        <w:t>拨</w:t>
      </w:r>
      <w:r>
        <w:rPr>
          <w:rFonts w:hint="eastAsia" w:ascii="黑体" w:hAnsi="黑体" w:eastAsia="黑体" w:cs="黑体"/>
          <w:b/>
          <w:bCs/>
          <w:color w:val="000000"/>
          <w:kern w:val="0"/>
          <w:sz w:val="32"/>
          <w:szCs w:val="32"/>
          <w:lang w:val="en-US" w:eastAsia="zh-CN" w:bidi="ar"/>
        </w:rPr>
        <w:t>款基本支出决算表</w:t>
      </w:r>
    </w:p>
    <w:p>
      <w:pPr>
        <w:keepNext w:val="0"/>
        <w:keepLines w:val="0"/>
        <w:widowControl/>
        <w:suppressLineNumbers w:val="0"/>
        <w:jc w:val="center"/>
      </w:pPr>
    </w:p>
    <w:p>
      <w:pPr>
        <w:keepNext w:val="0"/>
        <w:keepLines w:val="0"/>
        <w:widowControl/>
        <w:suppressLineNumbers w:val="0"/>
        <w:ind w:firstLine="2730" w:firstLineChars="1300"/>
        <w:jc w:val="left"/>
        <w:rPr>
          <w:rFonts w:hint="eastAsia" w:ascii="宋体" w:hAnsi="宋体" w:eastAsia="宋体" w:cs="宋体"/>
          <w:color w:val="000000"/>
          <w:kern w:val="0"/>
          <w:sz w:val="21"/>
          <w:szCs w:val="21"/>
          <w:lang w:val="en-US" w:eastAsia="zh-CN" w:bidi="ar"/>
        </w:rPr>
      </w:pP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公开 0</w:t>
      </w:r>
      <w:r>
        <w:rPr>
          <w:rFonts w:hint="eastAsia"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 表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部门：云浮市云安区卫生和计划生育局 </w:t>
      </w:r>
      <w:r>
        <w:rPr>
          <w:rFonts w:hint="eastAsia" w:cs="宋体"/>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单位：万元</w:t>
      </w:r>
    </w:p>
    <w:p>
      <w:pPr>
        <w:pStyle w:val="2"/>
        <w:spacing w:line="240" w:lineRule="auto"/>
        <w:ind w:left="0" w:right="228"/>
        <w:jc w:val="both"/>
      </w:pPr>
      <w:r>
        <w:rPr>
          <w:w w:val="200"/>
        </w:rPr>
        <w:t xml:space="preserve"> </w:t>
      </w:r>
    </w:p>
    <w:p>
      <w:pPr>
        <w:spacing w:after="0" w:line="240" w:lineRule="auto"/>
        <w:jc w:val="both"/>
      </w:pPr>
      <w:r>
        <w:drawing>
          <wp:inline distT="0" distB="0" distL="114300" distR="114300">
            <wp:extent cx="8639175" cy="4876800"/>
            <wp:effectExtent l="0" t="0" r="9525" b="0"/>
            <wp:docPr id="17"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true"/>
                    </pic:cNvPicPr>
                  </pic:nvPicPr>
                  <pic:blipFill>
                    <a:blip r:embed="rId22"/>
                    <a:stretch>
                      <a:fillRect/>
                    </a:stretch>
                  </pic:blipFill>
                  <pic:spPr>
                    <a:xfrm>
                      <a:off x="0" y="0"/>
                      <a:ext cx="8639175" cy="4876800"/>
                    </a:xfrm>
                    <a:prstGeom prst="rect">
                      <a:avLst/>
                    </a:prstGeom>
                    <a:noFill/>
                    <a:ln>
                      <a:noFill/>
                    </a:ln>
                  </pic:spPr>
                </pic:pic>
              </a:graphicData>
            </a:graphic>
          </wp:inline>
        </w:drawing>
      </w:r>
    </w:p>
    <w:p>
      <w:pPr>
        <w:spacing w:after="0" w:line="240" w:lineRule="auto"/>
        <w:jc w:val="both"/>
      </w:pPr>
      <w:r>
        <w:drawing>
          <wp:inline distT="0" distB="0" distL="114300" distR="114300">
            <wp:extent cx="8639175" cy="3505200"/>
            <wp:effectExtent l="0" t="0" r="9525" b="0"/>
            <wp:docPr id="18"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true"/>
                    </pic:cNvPicPr>
                  </pic:nvPicPr>
                  <pic:blipFill>
                    <a:blip r:embed="rId23"/>
                    <a:stretch>
                      <a:fillRect/>
                    </a:stretch>
                  </pic:blipFill>
                  <pic:spPr>
                    <a:xfrm>
                      <a:off x="0" y="0"/>
                      <a:ext cx="8639175" cy="3505200"/>
                    </a:xfrm>
                    <a:prstGeom prst="rect">
                      <a:avLst/>
                    </a:prstGeom>
                    <a:noFill/>
                    <a:ln>
                      <a:noFill/>
                    </a:ln>
                  </pic:spPr>
                </pic:pic>
              </a:graphicData>
            </a:graphic>
          </wp:inline>
        </w:drawing>
      </w:r>
    </w:p>
    <w:p>
      <w:pPr>
        <w:spacing w:after="0" w:line="240" w:lineRule="auto"/>
        <w:jc w:val="both"/>
        <w:sectPr>
          <w:pgSz w:w="16840" w:h="11910" w:orient="landscape"/>
          <w:pgMar w:top="1100" w:right="260" w:bottom="1100" w:left="1300" w:header="0" w:footer="910" w:gutter="0"/>
          <w:cols w:equalWidth="0" w:num="1">
            <w:col w:w="15280"/>
          </w:cols>
        </w:sectPr>
      </w:pPr>
      <w:r>
        <w:drawing>
          <wp:inline distT="0" distB="0" distL="114300" distR="114300">
            <wp:extent cx="8639175" cy="5086350"/>
            <wp:effectExtent l="0" t="0" r="9525" b="0"/>
            <wp:docPr id="19"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true"/>
                    </pic:cNvPicPr>
                  </pic:nvPicPr>
                  <pic:blipFill>
                    <a:blip r:embed="rId24"/>
                    <a:stretch>
                      <a:fillRect/>
                    </a:stretch>
                  </pic:blipFill>
                  <pic:spPr>
                    <a:xfrm>
                      <a:off x="0" y="0"/>
                      <a:ext cx="8639175" cy="5086350"/>
                    </a:xfrm>
                    <a:prstGeom prst="rect">
                      <a:avLst/>
                    </a:prstGeom>
                    <a:noFill/>
                    <a:ln>
                      <a:noFill/>
                    </a:ln>
                  </pic:spPr>
                </pic:pic>
              </a:graphicData>
            </a:graphic>
          </wp:inline>
        </w:drawing>
      </w:r>
      <w:r>
        <w:drawing>
          <wp:inline distT="0" distB="0" distL="114300" distR="114300">
            <wp:extent cx="8715375" cy="4610100"/>
            <wp:effectExtent l="0" t="0" r="9525" b="0"/>
            <wp:docPr id="20"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true"/>
                    </pic:cNvPicPr>
                  </pic:nvPicPr>
                  <pic:blipFill>
                    <a:blip r:embed="rId25"/>
                    <a:stretch>
                      <a:fillRect/>
                    </a:stretch>
                  </pic:blipFill>
                  <pic:spPr>
                    <a:xfrm>
                      <a:off x="0" y="0"/>
                      <a:ext cx="8715375" cy="4610100"/>
                    </a:xfrm>
                    <a:prstGeom prst="rect">
                      <a:avLst/>
                    </a:prstGeom>
                    <a:noFill/>
                    <a:ln>
                      <a:noFill/>
                    </a:ln>
                  </pic:spPr>
                </pic:pic>
              </a:graphicData>
            </a:graphic>
          </wp:inline>
        </w:drawing>
      </w:r>
    </w:p>
    <w:p>
      <w:pPr>
        <w:tabs>
          <w:tab w:val="left" w:pos="3789"/>
        </w:tabs>
        <w:spacing w:before="0" w:line="550" w:lineRule="exact"/>
        <w:ind w:left="831" w:right="0" w:firstLine="0"/>
        <w:jc w:val="left"/>
        <w:rPr>
          <w:rFonts w:hint="eastAsia" w:ascii="Microsoft JhengHei" w:eastAsia="Microsoft JhengHei"/>
          <w:b/>
          <w:sz w:val="36"/>
        </w:rPr>
      </w:pPr>
      <w:r>
        <w:rPr>
          <w:rFonts w:hint="eastAsia" w:ascii="Microsoft JhengHei" w:eastAsia="Microsoft JhengHei"/>
          <w:b/>
          <w:sz w:val="36"/>
        </w:rPr>
        <w:t>第三部分</w:t>
      </w:r>
      <w:r>
        <w:rPr>
          <w:rFonts w:hint="eastAsia" w:ascii="Microsoft JhengHei"/>
          <w:b/>
          <w:sz w:val="36"/>
          <w:lang w:val="en-US" w:eastAsia="zh-CN"/>
        </w:rPr>
        <w:t xml:space="preserve"> </w:t>
      </w:r>
      <w:r>
        <w:rPr>
          <w:rFonts w:hint="eastAsia" w:ascii="Microsoft JhengHei" w:eastAsia="Microsoft JhengHei"/>
          <w:b/>
          <w:sz w:val="36"/>
        </w:rPr>
        <w:t>云浮市云安区卫生和计划生育局</w:t>
      </w:r>
    </w:p>
    <w:p>
      <w:pPr>
        <w:spacing w:before="0" w:line="643" w:lineRule="exact"/>
        <w:ind w:left="111" w:right="0" w:firstLine="0"/>
        <w:jc w:val="left"/>
        <w:rPr>
          <w:rFonts w:hint="eastAsia" w:ascii="Microsoft JhengHei" w:eastAsia="Microsoft JhengHei"/>
          <w:b/>
          <w:color w:val="auto"/>
          <w:sz w:val="36"/>
        </w:rPr>
      </w:pPr>
      <w:r>
        <w:rPr>
          <w:rFonts w:hint="eastAsia" w:ascii="Microsoft JhengHei"/>
          <w:b/>
          <w:strike w:val="0"/>
          <w:color w:val="auto"/>
          <w:sz w:val="36"/>
          <w:lang w:val="en-US" w:eastAsia="zh-CN"/>
        </w:rPr>
        <w:t>2017</w:t>
      </w:r>
      <w:r>
        <w:rPr>
          <w:rFonts w:hint="eastAsia" w:ascii="Microsoft JhengHei" w:eastAsia="Microsoft JhengHei"/>
          <w:b/>
          <w:strike w:val="0"/>
          <w:color w:val="auto"/>
          <w:sz w:val="36"/>
        </w:rPr>
        <w:t xml:space="preserve"> 年部门决算情况说明</w:t>
      </w:r>
      <w:r>
        <w:rPr>
          <w:rFonts w:hint="eastAsia" w:ascii="Microsoft JhengHei" w:eastAsia="Microsoft JhengHei"/>
          <w:b/>
          <w:strike w:val="0"/>
          <w:color w:val="auto"/>
          <w:w w:val="200"/>
          <w:sz w:val="36"/>
        </w:rPr>
        <w:t xml:space="preserve"> </w:t>
      </w:r>
    </w:p>
    <w:p>
      <w:pPr>
        <w:pStyle w:val="3"/>
        <w:spacing w:before="87"/>
        <w:rPr>
          <w:rFonts w:hint="eastAsia" w:ascii="黑体" w:hAnsi="黑体" w:eastAsia="黑体" w:cs="黑体"/>
        </w:rPr>
      </w:pPr>
      <w:r>
        <w:rPr>
          <w:rFonts w:hint="eastAsia" w:ascii="黑体" w:hAnsi="黑体" w:eastAsia="黑体" w:cs="黑体"/>
        </w:rPr>
        <w:t>一、</w:t>
      </w:r>
      <w:r>
        <w:rPr>
          <w:rFonts w:hint="eastAsia" w:ascii="黑体" w:hAnsi="黑体" w:eastAsia="黑体" w:cs="黑体"/>
          <w:lang w:val="en-US" w:eastAsia="zh-CN"/>
        </w:rPr>
        <w:t>2017</w:t>
      </w:r>
      <w:r>
        <w:rPr>
          <w:rFonts w:hint="eastAsia" w:ascii="黑体" w:hAnsi="黑体" w:eastAsia="黑体" w:cs="黑体"/>
          <w:strike w:val="0"/>
        </w:rPr>
        <w:t>年度收入支出决算总体情况说明</w:t>
      </w:r>
    </w:p>
    <w:p>
      <w:pPr>
        <w:pStyle w:val="4"/>
        <w:spacing w:before="177" w:line="345" w:lineRule="auto"/>
        <w:ind w:left="111" w:right="420"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支出决算总规模、各类支出决算规模及各类支出增减变化情况。情况如下：</w:t>
      </w:r>
    </w:p>
    <w:p>
      <w:pPr>
        <w:pStyle w:val="3"/>
        <w:spacing w:before="13"/>
        <w:rPr>
          <w:rFonts w:hint="eastAsia" w:ascii="黑体" w:hAnsi="黑体" w:eastAsia="黑体" w:cs="黑体"/>
        </w:rPr>
      </w:pPr>
      <w:r>
        <w:rPr>
          <w:rFonts w:hint="eastAsia" w:ascii="黑体" w:hAnsi="黑体" w:eastAsia="黑体" w:cs="黑体"/>
        </w:rPr>
        <w:t>（一）年度收入总体情况</w:t>
      </w:r>
    </w:p>
    <w:p>
      <w:pPr>
        <w:pStyle w:val="4"/>
        <w:keepNext w:val="0"/>
        <w:keepLines w:val="0"/>
        <w:pageBreakBefore w:val="0"/>
        <w:widowControl w:val="0"/>
        <w:tabs>
          <w:tab w:val="left" w:pos="1470"/>
        </w:tabs>
        <w:kinsoku/>
        <w:wordWrap w:val="0"/>
        <w:overflowPunct/>
        <w:topLinePunct w:val="0"/>
        <w:autoSpaceDE w:val="0"/>
        <w:autoSpaceDN w:val="0"/>
        <w:bidi w:val="0"/>
        <w:adjustRightInd/>
        <w:snapToGrid/>
        <w:spacing w:before="176" w:line="345" w:lineRule="auto"/>
        <w:ind w:left="111" w:right="689" w:firstLine="64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云浮市云安区卫生和计划生育局</w:t>
      </w:r>
      <w:r>
        <w:rPr>
          <w:rFonts w:hint="eastAsia" w:ascii="仿宋_GB2312" w:hAnsi="仿宋_GB2312" w:eastAsia="仿宋_GB2312" w:cs="仿宋_GB2312"/>
          <w:spacing w:val="-18"/>
          <w:sz w:val="32"/>
          <w:szCs w:val="32"/>
        </w:rPr>
        <w:t xml:space="preserve"> </w:t>
      </w:r>
      <w:r>
        <w:rPr>
          <w:rFonts w:hint="eastAsia" w:ascii="仿宋_GB2312" w:hAnsi="仿宋_GB2312" w:eastAsia="仿宋_GB2312" w:cs="仿宋_GB2312"/>
          <w:spacing w:val="-18"/>
          <w:sz w:val="32"/>
          <w:szCs w:val="32"/>
          <w:lang w:val="en-US" w:eastAsia="zh-CN"/>
        </w:rPr>
        <w:t>2017</w:t>
      </w:r>
      <w:r>
        <w:rPr>
          <w:rFonts w:hint="eastAsia" w:ascii="仿宋_GB2312" w:hAnsi="仿宋_GB2312" w:eastAsia="仿宋_GB2312" w:cs="仿宋_GB2312"/>
          <w:strike w:val="0"/>
          <w:color w:val="2E97D3"/>
          <w:sz w:val="32"/>
          <w:szCs w:val="32"/>
          <w:u w:val="single" w:color="2E97D3"/>
        </w:rPr>
        <w:t xml:space="preserve"> </w:t>
      </w:r>
      <w:r>
        <w:rPr>
          <w:rFonts w:hint="eastAsia" w:ascii="仿宋_GB2312" w:hAnsi="仿宋_GB2312" w:eastAsia="仿宋_GB2312" w:cs="仿宋_GB2312"/>
          <w:strike w:val="0"/>
          <w:sz w:val="32"/>
          <w:szCs w:val="32"/>
        </w:rPr>
        <w:t>年度总收</w:t>
      </w:r>
      <w:r>
        <w:rPr>
          <w:rFonts w:hint="eastAsia" w:ascii="仿宋_GB2312" w:hAnsi="仿宋_GB2312" w:eastAsia="仿宋_GB2312" w:cs="仿宋_GB2312"/>
          <w:strike w:val="0"/>
          <w:sz w:val="32"/>
          <w:szCs w:val="32"/>
          <w:lang w:eastAsia="zh-CN"/>
        </w:rPr>
        <w:t>入</w:t>
      </w:r>
      <w:r>
        <w:rPr>
          <w:rFonts w:hint="eastAsia" w:ascii="仿宋_GB2312" w:hAnsi="仿宋_GB2312" w:eastAsia="仿宋_GB2312" w:cs="仿宋_GB2312"/>
          <w:strike w:val="0"/>
          <w:sz w:val="32"/>
          <w:szCs w:val="32"/>
        </w:rPr>
        <w:t>4802.11万元，其中本年收入</w:t>
      </w:r>
      <w:r>
        <w:rPr>
          <w:rFonts w:hint="eastAsia" w:ascii="仿宋_GB2312" w:hAnsi="仿宋_GB2312" w:eastAsia="仿宋_GB2312" w:cs="仿宋_GB2312"/>
          <w:strike w:val="0"/>
          <w:spacing w:val="-18"/>
          <w:sz w:val="32"/>
          <w:szCs w:val="32"/>
        </w:rPr>
        <w:t xml:space="preserve"> </w:t>
      </w:r>
      <w:r>
        <w:rPr>
          <w:rFonts w:hint="eastAsia" w:ascii="仿宋_GB2312" w:hAnsi="仿宋_GB2312" w:eastAsia="仿宋_GB2312" w:cs="仿宋_GB2312"/>
          <w:strike w:val="0"/>
          <w:sz w:val="32"/>
          <w:szCs w:val="32"/>
        </w:rPr>
        <w:t>4802.11 万元。具体情况如下</w:t>
      </w:r>
      <w:r>
        <w:rPr>
          <w:rFonts w:hint="eastAsia" w:ascii="仿宋_GB2312" w:hAnsi="仿宋_GB2312" w:eastAsia="仿宋_GB2312" w:cs="仿宋_GB2312"/>
          <w:strike w:val="0"/>
          <w:spacing w:val="-18"/>
          <w:sz w:val="32"/>
          <w:szCs w:val="32"/>
        </w:rPr>
        <w:t>：</w:t>
      </w:r>
    </w:p>
    <w:p>
      <w:pPr>
        <w:pStyle w:val="9"/>
        <w:keepNext w:val="0"/>
        <w:keepLines w:val="0"/>
        <w:pageBreakBefore w:val="0"/>
        <w:widowControl w:val="0"/>
        <w:numPr>
          <w:ilvl w:val="0"/>
          <w:numId w:val="2"/>
        </w:numPr>
        <w:tabs>
          <w:tab w:val="left" w:pos="1125"/>
        </w:tabs>
        <w:kinsoku/>
        <w:wordWrap w:val="0"/>
        <w:overflowPunct/>
        <w:topLinePunct w:val="0"/>
        <w:autoSpaceDE w:val="0"/>
        <w:autoSpaceDN w:val="0"/>
        <w:bidi w:val="0"/>
        <w:adjustRightInd/>
        <w:snapToGrid/>
        <w:spacing w:before="13" w:after="0" w:line="240" w:lineRule="auto"/>
        <w:ind w:left="1124" w:right="0" w:hanging="374"/>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财政拨</w:t>
      </w:r>
      <w:r>
        <w:rPr>
          <w:rFonts w:hint="eastAsia" w:ascii="仿宋_GB2312" w:hAnsi="仿宋_GB2312" w:eastAsia="仿宋_GB2312" w:cs="仿宋_GB2312"/>
          <w:spacing w:val="-5"/>
          <w:sz w:val="32"/>
          <w:szCs w:val="32"/>
        </w:rPr>
        <w:t>款收入</w:t>
      </w:r>
      <w:r>
        <w:rPr>
          <w:rFonts w:hint="eastAsia" w:ascii="仿宋_GB2312" w:hAnsi="仿宋_GB2312" w:eastAsia="仿宋_GB2312" w:cs="仿宋_GB2312"/>
          <w:sz w:val="32"/>
          <w:szCs w:val="32"/>
        </w:rPr>
        <w:t>4802.11</w:t>
      </w:r>
      <w:r>
        <w:rPr>
          <w:rFonts w:hint="eastAsia" w:ascii="仿宋_GB2312" w:hAnsi="仿宋_GB2312" w:eastAsia="仿宋_GB2312" w:cs="仿宋_GB2312"/>
          <w:spacing w:val="-2"/>
          <w:sz w:val="32"/>
          <w:szCs w:val="32"/>
        </w:rPr>
        <w:t>万元，比上年决算数减少</w:t>
      </w:r>
      <w:r>
        <w:rPr>
          <w:rFonts w:hint="eastAsia" w:ascii="仿宋_GB2312" w:hAnsi="仿宋_GB2312" w:eastAsia="仿宋_GB2312" w:cs="仿宋_GB2312"/>
          <w:sz w:val="32"/>
          <w:szCs w:val="32"/>
        </w:rPr>
        <w:t>682.</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2万元，下降 12%。</w:t>
      </w:r>
    </w:p>
    <w:p>
      <w:pPr>
        <w:pStyle w:val="9"/>
        <w:keepNext w:val="0"/>
        <w:keepLines w:val="0"/>
        <w:pageBreakBefore w:val="0"/>
        <w:widowControl w:val="0"/>
        <w:numPr>
          <w:ilvl w:val="0"/>
          <w:numId w:val="2"/>
        </w:numPr>
        <w:tabs>
          <w:tab w:val="left" w:pos="1124"/>
        </w:tabs>
        <w:kinsoku/>
        <w:wordWrap w:val="0"/>
        <w:overflowPunct/>
        <w:topLinePunct w:val="0"/>
        <w:autoSpaceDE w:val="0"/>
        <w:autoSpaceDN w:val="0"/>
        <w:bidi w:val="0"/>
        <w:adjustRightInd/>
        <w:snapToGrid/>
        <w:spacing w:before="195" w:after="0" w:line="240" w:lineRule="auto"/>
        <w:ind w:left="1123" w:right="0" w:hanging="374"/>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上级补</w:t>
      </w:r>
      <w:r>
        <w:rPr>
          <w:rFonts w:hint="eastAsia" w:ascii="仿宋_GB2312" w:hAnsi="仿宋_GB2312" w:eastAsia="仿宋_GB2312" w:cs="仿宋_GB2312"/>
          <w:spacing w:val="-5"/>
          <w:sz w:val="32"/>
          <w:szCs w:val="32"/>
        </w:rPr>
        <w:t>助收入</w:t>
      </w:r>
      <w:r>
        <w:rPr>
          <w:rFonts w:hint="eastAsia" w:ascii="仿宋_GB2312" w:hAnsi="仿宋_GB2312" w:eastAsia="仿宋_GB2312" w:cs="仿宋_GB2312"/>
          <w:sz w:val="32"/>
          <w:szCs w:val="32"/>
        </w:rPr>
        <w:t>0万元，与上年决算数持平。</w:t>
      </w:r>
    </w:p>
    <w:p>
      <w:pPr>
        <w:pStyle w:val="9"/>
        <w:keepNext w:val="0"/>
        <w:keepLines w:val="0"/>
        <w:pageBreakBefore w:val="0"/>
        <w:widowControl w:val="0"/>
        <w:numPr>
          <w:ilvl w:val="0"/>
          <w:numId w:val="2"/>
        </w:numPr>
        <w:tabs>
          <w:tab w:val="left" w:pos="1125"/>
        </w:tabs>
        <w:kinsoku/>
        <w:wordWrap w:val="0"/>
        <w:overflowPunct/>
        <w:topLinePunct w:val="0"/>
        <w:autoSpaceDE w:val="0"/>
        <w:autoSpaceDN w:val="0"/>
        <w:bidi w:val="0"/>
        <w:adjustRightInd/>
        <w:snapToGrid/>
        <w:spacing w:before="176" w:after="0" w:line="240" w:lineRule="auto"/>
        <w:ind w:left="1124" w:right="0" w:hanging="374"/>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事业</w:t>
      </w:r>
      <w:r>
        <w:rPr>
          <w:rFonts w:hint="eastAsia" w:ascii="仿宋_GB2312" w:hAnsi="仿宋_GB2312" w:eastAsia="仿宋_GB2312" w:cs="仿宋_GB2312"/>
          <w:spacing w:val="-7"/>
          <w:sz w:val="32"/>
          <w:szCs w:val="32"/>
        </w:rPr>
        <w:t>收入</w:t>
      </w:r>
      <w:r>
        <w:rPr>
          <w:rFonts w:hint="eastAsia" w:ascii="仿宋_GB2312" w:hAnsi="仿宋_GB2312" w:eastAsia="仿宋_GB2312" w:cs="仿宋_GB2312"/>
          <w:sz w:val="32"/>
          <w:szCs w:val="32"/>
        </w:rPr>
        <w:t>0万元，与上年决算数持平。</w:t>
      </w:r>
    </w:p>
    <w:p>
      <w:pPr>
        <w:pStyle w:val="9"/>
        <w:keepNext w:val="0"/>
        <w:keepLines w:val="0"/>
        <w:pageBreakBefore w:val="0"/>
        <w:widowControl w:val="0"/>
        <w:numPr>
          <w:ilvl w:val="0"/>
          <w:numId w:val="2"/>
        </w:numPr>
        <w:tabs>
          <w:tab w:val="left" w:pos="1125"/>
        </w:tabs>
        <w:kinsoku/>
        <w:wordWrap w:val="0"/>
        <w:overflowPunct/>
        <w:topLinePunct w:val="0"/>
        <w:autoSpaceDE w:val="0"/>
        <w:autoSpaceDN w:val="0"/>
        <w:bidi w:val="0"/>
        <w:adjustRightInd/>
        <w:snapToGrid/>
        <w:spacing w:before="177" w:after="0" w:line="240" w:lineRule="auto"/>
        <w:ind w:left="1124" w:right="0" w:hanging="374"/>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w:t>
      </w:r>
      <w:r>
        <w:rPr>
          <w:rFonts w:hint="eastAsia" w:ascii="仿宋_GB2312" w:hAnsi="仿宋_GB2312" w:eastAsia="仿宋_GB2312" w:cs="仿宋_GB2312"/>
          <w:spacing w:val="-7"/>
          <w:sz w:val="32"/>
          <w:szCs w:val="32"/>
        </w:rPr>
        <w:t>收入</w:t>
      </w:r>
      <w:r>
        <w:rPr>
          <w:rFonts w:hint="eastAsia" w:ascii="仿宋_GB2312" w:hAnsi="仿宋_GB2312" w:eastAsia="仿宋_GB2312" w:cs="仿宋_GB2312"/>
          <w:sz w:val="32"/>
          <w:szCs w:val="32"/>
        </w:rPr>
        <w:t>0万元，与上年决算数持平。</w:t>
      </w:r>
    </w:p>
    <w:p>
      <w:pPr>
        <w:pStyle w:val="9"/>
        <w:keepNext w:val="0"/>
        <w:keepLines w:val="0"/>
        <w:pageBreakBefore w:val="0"/>
        <w:widowControl w:val="0"/>
        <w:numPr>
          <w:ilvl w:val="0"/>
          <w:numId w:val="2"/>
        </w:numPr>
        <w:tabs>
          <w:tab w:val="left" w:pos="1125"/>
        </w:tabs>
        <w:kinsoku/>
        <w:wordWrap w:val="0"/>
        <w:overflowPunct/>
        <w:topLinePunct w:val="0"/>
        <w:autoSpaceDE w:val="0"/>
        <w:autoSpaceDN w:val="0"/>
        <w:bidi w:val="0"/>
        <w:adjustRightInd/>
        <w:snapToGrid/>
        <w:spacing w:before="195" w:after="0" w:line="240" w:lineRule="auto"/>
        <w:ind w:left="1124" w:right="0" w:hanging="374"/>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pacing w:val="12"/>
          <w:sz w:val="32"/>
          <w:szCs w:val="32"/>
        </w:rPr>
        <w:t>其他收入</w:t>
      </w:r>
      <w:r>
        <w:rPr>
          <w:rFonts w:hint="eastAsia" w:ascii="仿宋_GB2312" w:hAnsi="仿宋_GB2312" w:eastAsia="仿宋_GB2312" w:cs="仿宋_GB2312"/>
          <w:sz w:val="32"/>
          <w:szCs w:val="32"/>
        </w:rPr>
        <w:t>0万元，与上年决算数持平。</w:t>
      </w:r>
    </w:p>
    <w:p>
      <w:pPr>
        <w:pStyle w:val="3"/>
        <w:spacing w:before="195"/>
        <w:rPr>
          <w:rFonts w:hint="eastAsia" w:ascii="黑体" w:hAnsi="黑体" w:eastAsia="黑体" w:cs="黑体"/>
        </w:rPr>
      </w:pPr>
      <w:r>
        <w:rPr>
          <w:rFonts w:hint="eastAsia" w:ascii="黑体" w:hAnsi="黑体" w:eastAsia="黑体" w:cs="黑体"/>
        </w:rPr>
        <w:t>（二）年度支出总体情况</w:t>
      </w:r>
    </w:p>
    <w:p>
      <w:pPr>
        <w:pStyle w:val="4"/>
        <w:spacing w:before="177" w:line="345" w:lineRule="auto"/>
        <w:ind w:left="111" w:right="882"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云浮市云安区卫生和计划生育局</w:t>
      </w:r>
      <w:r>
        <w:rPr>
          <w:rFonts w:hint="eastAsia" w:ascii="仿宋_GB2312" w:hAnsi="仿宋_GB2312" w:eastAsia="仿宋_GB2312" w:cs="仿宋_GB2312"/>
          <w:sz w:val="32"/>
          <w:szCs w:val="32"/>
          <w:lang w:val="en-US" w:eastAsia="zh-CN"/>
        </w:rPr>
        <w:t>2017</w:t>
      </w:r>
      <w:r>
        <w:rPr>
          <w:rFonts w:hint="eastAsia" w:ascii="仿宋_GB2312" w:hAnsi="仿宋_GB2312" w:eastAsia="仿宋_GB2312" w:cs="仿宋_GB2312"/>
          <w:strike w:val="0"/>
          <w:sz w:val="32"/>
          <w:szCs w:val="32"/>
        </w:rPr>
        <w:t>年度</w:t>
      </w:r>
      <w:r>
        <w:rPr>
          <w:rFonts w:hint="eastAsia" w:ascii="仿宋_GB2312" w:hAnsi="仿宋_GB2312" w:eastAsia="仿宋_GB2312" w:cs="仿宋_GB2312"/>
          <w:strike w:val="0"/>
          <w:color w:val="auto"/>
          <w:sz w:val="32"/>
          <w:szCs w:val="32"/>
        </w:rPr>
        <w:t>总支出4802.11万元，其中本年支出 4802.11万元。具体情况如下：</w:t>
      </w:r>
    </w:p>
    <w:p>
      <w:pPr>
        <w:pStyle w:val="4"/>
        <w:tabs>
          <w:tab w:val="left" w:pos="1370"/>
        </w:tabs>
        <w:spacing w:before="114" w:line="374" w:lineRule="auto"/>
        <w:ind w:left="111" w:right="389"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strike w:val="0"/>
          <w:color w:val="auto"/>
          <w:sz w:val="32"/>
          <w:szCs w:val="32"/>
          <w:u w:val="none" w:color="auto"/>
          <w:lang w:val="en-US" w:eastAsia="zh-CN"/>
        </w:rPr>
        <w:t>1.</w:t>
      </w:r>
      <w:r>
        <w:rPr>
          <w:rFonts w:hint="eastAsia" w:ascii="仿宋_GB2312" w:hAnsi="仿宋_GB2312" w:eastAsia="仿宋_GB2312" w:cs="仿宋_GB2312"/>
          <w:strike w:val="0"/>
          <w:color w:val="auto"/>
          <w:spacing w:val="-4"/>
          <w:sz w:val="32"/>
          <w:szCs w:val="32"/>
        </w:rPr>
        <w:t>基本支出</w:t>
      </w:r>
      <w:r>
        <w:rPr>
          <w:rFonts w:hint="eastAsia" w:ascii="仿宋_GB2312" w:hAnsi="仿宋_GB2312" w:eastAsia="仿宋_GB2312" w:cs="仿宋_GB2312"/>
          <w:strike w:val="0"/>
          <w:color w:val="auto"/>
          <w:sz w:val="32"/>
          <w:szCs w:val="32"/>
        </w:rPr>
        <w:t>330.06</w:t>
      </w:r>
      <w:r>
        <w:rPr>
          <w:rFonts w:hint="eastAsia" w:ascii="仿宋_GB2312" w:hAnsi="仿宋_GB2312" w:eastAsia="仿宋_GB2312" w:cs="仿宋_GB2312"/>
          <w:strike w:val="0"/>
          <w:color w:val="auto"/>
          <w:spacing w:val="-2"/>
          <w:sz w:val="32"/>
          <w:szCs w:val="32"/>
        </w:rPr>
        <w:t>万元，比上年决算数增加</w:t>
      </w:r>
      <w:r>
        <w:rPr>
          <w:rFonts w:hint="eastAsia" w:ascii="仿宋_GB2312" w:hAnsi="仿宋_GB2312" w:eastAsia="仿宋_GB2312" w:cs="仿宋_GB2312"/>
          <w:strike w:val="0"/>
          <w:color w:val="auto"/>
          <w:sz w:val="32"/>
          <w:szCs w:val="32"/>
        </w:rPr>
        <w:t>11</w:t>
      </w:r>
      <w:r>
        <w:rPr>
          <w:rFonts w:hint="eastAsia" w:ascii="仿宋_GB2312" w:hAnsi="仿宋_GB2312" w:eastAsia="仿宋_GB2312" w:cs="仿宋_GB2312"/>
          <w:strike w:val="0"/>
          <w:color w:val="auto"/>
          <w:spacing w:val="-6"/>
          <w:sz w:val="32"/>
          <w:szCs w:val="32"/>
        </w:rPr>
        <w:t>万元，</w:t>
      </w:r>
      <w:r>
        <w:rPr>
          <w:rFonts w:hint="eastAsia" w:ascii="仿宋_GB2312" w:hAnsi="仿宋_GB2312" w:eastAsia="仿宋_GB2312" w:cs="仿宋_GB2312"/>
          <w:strike w:val="0"/>
          <w:color w:val="auto"/>
          <w:spacing w:val="-7"/>
          <w:sz w:val="32"/>
          <w:szCs w:val="32"/>
        </w:rPr>
        <w:t xml:space="preserve">增加 </w:t>
      </w:r>
      <w:r>
        <w:rPr>
          <w:rFonts w:hint="eastAsia" w:ascii="仿宋_GB2312" w:hAnsi="仿宋_GB2312" w:eastAsia="仿宋_GB2312" w:cs="仿宋_GB2312"/>
          <w:strike w:val="0"/>
          <w:color w:val="auto"/>
          <w:sz w:val="32"/>
          <w:szCs w:val="32"/>
        </w:rPr>
        <w:t>3.45%，主要变动情况：社会保障和就业支出比去年增加</w:t>
      </w:r>
    </w:p>
    <w:p>
      <w:pPr>
        <w:pStyle w:val="4"/>
        <w:spacing w:line="352"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38.25 万元。</w:t>
      </w:r>
    </w:p>
    <w:p>
      <w:pPr>
        <w:pStyle w:val="4"/>
        <w:tabs>
          <w:tab w:val="left" w:pos="1370"/>
        </w:tabs>
        <w:spacing w:before="230" w:line="343" w:lineRule="auto"/>
        <w:ind w:left="111" w:right="200" w:firstLine="640"/>
        <w:rPr>
          <w:rFonts w:hint="eastAsia" w:ascii="仿宋_GB2312" w:hAnsi="仿宋_GB2312" w:eastAsia="仿宋_GB2312" w:cs="仿宋_GB2312"/>
          <w:sz w:val="32"/>
          <w:szCs w:val="32"/>
          <w:lang w:eastAsia="zh-CN"/>
        </w:rPr>
        <w:sectPr>
          <w:footerReference r:id="rId7" w:type="default"/>
          <w:pgSz w:w="11910" w:h="16840"/>
          <w:pgMar w:top="1480" w:right="1420" w:bottom="1180" w:left="1420" w:header="0" w:footer="990" w:gutter="0"/>
          <w:pgNumType w:start="24"/>
          <w:cols w:equalWidth="0" w:num="1">
            <w:col w:w="9070"/>
          </w:cols>
        </w:sectPr>
      </w:pPr>
      <w:r>
        <w:rPr>
          <w:rFonts w:hint="eastAsia" w:ascii="仿宋_GB2312" w:hAnsi="仿宋_GB2312" w:eastAsia="仿宋_GB2312" w:cs="仿宋_GB2312"/>
          <w:strike w:val="0"/>
          <w:color w:val="auto"/>
          <w:sz w:val="32"/>
          <w:szCs w:val="32"/>
          <w:u w:val="none" w:color="auto"/>
        </w:rPr>
        <w:t>2.</w:t>
      </w:r>
      <w:r>
        <w:rPr>
          <w:rFonts w:hint="eastAsia" w:ascii="仿宋_GB2312" w:hAnsi="仿宋_GB2312" w:eastAsia="仿宋_GB2312" w:cs="仿宋_GB2312"/>
          <w:strike w:val="0"/>
          <w:color w:val="auto"/>
          <w:sz w:val="32"/>
          <w:szCs w:val="32"/>
        </w:rPr>
        <w:t>项</w:t>
      </w:r>
      <w:r>
        <w:rPr>
          <w:rFonts w:hint="eastAsia" w:ascii="仿宋_GB2312" w:hAnsi="仿宋_GB2312" w:eastAsia="仿宋_GB2312" w:cs="仿宋_GB2312"/>
          <w:strike w:val="0"/>
          <w:color w:val="auto"/>
          <w:spacing w:val="-5"/>
          <w:sz w:val="32"/>
          <w:szCs w:val="32"/>
        </w:rPr>
        <w:t>目支</w:t>
      </w:r>
      <w:r>
        <w:rPr>
          <w:rFonts w:hint="eastAsia" w:ascii="仿宋_GB2312" w:hAnsi="仿宋_GB2312" w:eastAsia="仿宋_GB2312" w:cs="仿宋_GB2312"/>
          <w:strike w:val="0"/>
          <w:spacing w:val="-5"/>
          <w:sz w:val="32"/>
          <w:szCs w:val="32"/>
        </w:rPr>
        <w:t>出</w:t>
      </w:r>
      <w:r>
        <w:rPr>
          <w:rFonts w:hint="eastAsia" w:ascii="仿宋_GB2312" w:hAnsi="仿宋_GB2312" w:eastAsia="仿宋_GB2312" w:cs="仿宋_GB2312"/>
          <w:strike w:val="0"/>
          <w:sz w:val="32"/>
          <w:szCs w:val="32"/>
        </w:rPr>
        <w:t>4472.05</w:t>
      </w:r>
      <w:r>
        <w:rPr>
          <w:rFonts w:hint="eastAsia" w:ascii="仿宋_GB2312" w:hAnsi="仿宋_GB2312" w:eastAsia="仿宋_GB2312" w:cs="仿宋_GB2312"/>
          <w:strike w:val="0"/>
          <w:spacing w:val="-2"/>
          <w:sz w:val="32"/>
          <w:szCs w:val="32"/>
        </w:rPr>
        <w:t>万元，比上年决算数减少</w:t>
      </w:r>
      <w:r>
        <w:rPr>
          <w:rFonts w:hint="eastAsia" w:ascii="仿宋_GB2312" w:hAnsi="仿宋_GB2312" w:eastAsia="仿宋_GB2312" w:cs="仿宋_GB2312"/>
          <w:strike w:val="0"/>
          <w:sz w:val="32"/>
          <w:szCs w:val="32"/>
        </w:rPr>
        <w:t>693.82</w:t>
      </w:r>
      <w:r>
        <w:rPr>
          <w:rFonts w:hint="eastAsia" w:ascii="仿宋_GB2312" w:hAnsi="仿宋_GB2312" w:eastAsia="仿宋_GB2312" w:cs="仿宋_GB2312"/>
          <w:strike w:val="0"/>
          <w:spacing w:val="-16"/>
          <w:sz w:val="32"/>
          <w:szCs w:val="32"/>
        </w:rPr>
        <w:t>万</w:t>
      </w:r>
      <w:r>
        <w:rPr>
          <w:rFonts w:hint="eastAsia" w:ascii="仿宋_GB2312" w:hAnsi="仿宋_GB2312" w:eastAsia="仿宋_GB2312" w:cs="仿宋_GB2312"/>
          <w:strike w:val="0"/>
          <w:spacing w:val="-4"/>
          <w:sz w:val="32"/>
          <w:szCs w:val="32"/>
        </w:rPr>
        <w:t>元，下降</w:t>
      </w:r>
      <w:r>
        <w:rPr>
          <w:rFonts w:hint="eastAsia" w:ascii="仿宋_GB2312" w:hAnsi="仿宋_GB2312" w:eastAsia="仿宋_GB2312" w:cs="仿宋_GB2312"/>
          <w:strike w:val="0"/>
          <w:sz w:val="32"/>
          <w:szCs w:val="32"/>
        </w:rPr>
        <w:t>13.43%，主要变动情况：一般公共服务支出比去年增</w:t>
      </w:r>
      <w:r>
        <w:rPr>
          <w:rFonts w:hint="eastAsia" w:ascii="仿宋_GB2312" w:hAnsi="仿宋_GB2312" w:eastAsia="仿宋_GB2312" w:cs="仿宋_GB2312"/>
          <w:strike w:val="0"/>
          <w:sz w:val="32"/>
          <w:szCs w:val="32"/>
          <w:lang w:eastAsia="zh-CN"/>
        </w:rPr>
        <w:t>加</w:t>
      </w:r>
    </w:p>
    <w:p>
      <w:pPr>
        <w:pStyle w:val="4"/>
        <w:spacing w:before="54"/>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25万，医疗卫生与计划生育支出比去年减少722.87万元，城乡社区支出比去年增加4万元。</w:t>
      </w:r>
    </w:p>
    <w:p>
      <w:pPr>
        <w:pStyle w:val="9"/>
        <w:numPr>
          <w:ilvl w:val="0"/>
          <w:numId w:val="3"/>
        </w:numPr>
        <w:tabs>
          <w:tab w:val="left" w:pos="992"/>
        </w:tabs>
        <w:spacing w:before="230" w:after="0" w:line="240" w:lineRule="auto"/>
        <w:ind w:left="992" w:right="0" w:hanging="241"/>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上缴上级</w:t>
      </w:r>
      <w:r>
        <w:rPr>
          <w:rFonts w:hint="eastAsia" w:ascii="仿宋_GB2312" w:hAnsi="仿宋_GB2312" w:eastAsia="仿宋_GB2312" w:cs="仿宋_GB2312"/>
          <w:spacing w:val="-7"/>
          <w:sz w:val="32"/>
          <w:szCs w:val="32"/>
        </w:rPr>
        <w:t>支出</w:t>
      </w:r>
      <w:r>
        <w:rPr>
          <w:rFonts w:hint="eastAsia" w:ascii="仿宋_GB2312" w:hAnsi="仿宋_GB2312" w:eastAsia="仿宋_GB2312" w:cs="仿宋_GB2312"/>
          <w:sz w:val="32"/>
          <w:szCs w:val="32"/>
        </w:rPr>
        <w:t>0</w:t>
      </w:r>
      <w:r>
        <w:rPr>
          <w:rFonts w:hint="eastAsia" w:ascii="仿宋_GB2312" w:hAnsi="仿宋_GB2312" w:eastAsia="仿宋_GB2312" w:cs="仿宋_GB2312"/>
          <w:spacing w:val="-14"/>
          <w:sz w:val="32"/>
          <w:szCs w:val="32"/>
        </w:rPr>
        <w:t>万元，与上年决算数持平。</w:t>
      </w:r>
    </w:p>
    <w:p>
      <w:pPr>
        <w:pStyle w:val="9"/>
        <w:numPr>
          <w:ilvl w:val="0"/>
          <w:numId w:val="3"/>
        </w:numPr>
        <w:tabs>
          <w:tab w:val="left" w:pos="997"/>
        </w:tabs>
        <w:spacing w:before="193" w:after="0" w:line="240" w:lineRule="auto"/>
        <w:ind w:left="997" w:right="0" w:hanging="241"/>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经营</w:t>
      </w:r>
      <w:r>
        <w:rPr>
          <w:rFonts w:hint="eastAsia" w:ascii="仿宋_GB2312" w:hAnsi="仿宋_GB2312" w:eastAsia="仿宋_GB2312" w:cs="仿宋_GB2312"/>
          <w:spacing w:val="-7"/>
          <w:sz w:val="32"/>
          <w:szCs w:val="32"/>
        </w:rPr>
        <w:t>支出</w:t>
      </w:r>
      <w:r>
        <w:rPr>
          <w:rFonts w:hint="eastAsia" w:ascii="仿宋_GB2312" w:hAnsi="仿宋_GB2312" w:eastAsia="仿宋_GB2312" w:cs="仿宋_GB2312"/>
          <w:sz w:val="32"/>
          <w:szCs w:val="32"/>
        </w:rPr>
        <w:t>0万元，与上年决算数持平。</w:t>
      </w:r>
    </w:p>
    <w:p>
      <w:pPr>
        <w:pStyle w:val="9"/>
        <w:numPr>
          <w:ilvl w:val="0"/>
          <w:numId w:val="3"/>
        </w:numPr>
        <w:tabs>
          <w:tab w:val="left" w:pos="997"/>
        </w:tabs>
        <w:spacing w:before="192" w:after="0" w:line="240" w:lineRule="auto"/>
        <w:ind w:left="997" w:right="0" w:hanging="241"/>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对附属单位补</w:t>
      </w:r>
      <w:r>
        <w:rPr>
          <w:rFonts w:hint="eastAsia" w:ascii="仿宋_GB2312" w:hAnsi="仿宋_GB2312" w:eastAsia="仿宋_GB2312" w:cs="仿宋_GB2312"/>
          <w:spacing w:val="-5"/>
          <w:sz w:val="32"/>
          <w:szCs w:val="32"/>
        </w:rPr>
        <w:t>助支出</w:t>
      </w:r>
      <w:r>
        <w:rPr>
          <w:rFonts w:hint="eastAsia" w:ascii="仿宋_GB2312" w:hAnsi="仿宋_GB2312" w:eastAsia="仿宋_GB2312" w:cs="仿宋_GB2312"/>
          <w:sz w:val="32"/>
          <w:szCs w:val="32"/>
        </w:rPr>
        <w:t>0万元，与上年决算数持平。</w:t>
      </w:r>
    </w:p>
    <w:p>
      <w:pPr>
        <w:pStyle w:val="3"/>
        <w:spacing w:before="91"/>
        <w:rPr>
          <w:rFonts w:hint="eastAsia" w:ascii="黑体" w:hAnsi="黑体" w:eastAsia="黑体" w:cs="黑体"/>
        </w:rPr>
      </w:pPr>
      <w:r>
        <w:rPr>
          <w:rFonts w:hint="eastAsia" w:ascii="黑体" w:hAnsi="黑体" w:eastAsia="黑体" w:cs="黑体"/>
        </w:rPr>
        <w:t>二、</w:t>
      </w:r>
      <w:r>
        <w:rPr>
          <w:rFonts w:hint="eastAsia" w:ascii="黑体" w:hAnsi="黑体" w:eastAsia="黑体" w:cs="黑体"/>
          <w:lang w:val="en-US" w:eastAsia="zh-CN"/>
        </w:rPr>
        <w:t>2017</w:t>
      </w:r>
      <w:r>
        <w:rPr>
          <w:rFonts w:hint="eastAsia" w:ascii="黑体" w:hAnsi="黑体" w:eastAsia="黑体" w:cs="黑体"/>
          <w:strike w:val="0"/>
        </w:rPr>
        <w:t>年度财政拨款收入支出总表说明</w:t>
      </w:r>
    </w:p>
    <w:p>
      <w:pPr>
        <w:spacing w:before="177"/>
        <w:ind w:left="751" w:right="0" w:firstLine="0"/>
        <w:jc w:val="left"/>
        <w:rPr>
          <w:rFonts w:hint="eastAsia" w:ascii="MS UI Gothic" w:eastAsia="MS UI Gothic"/>
          <w:b/>
          <w:sz w:val="32"/>
        </w:rPr>
      </w:pPr>
      <w:r>
        <w:rPr>
          <w:rFonts w:hint="eastAsia" w:ascii="黑体" w:hAnsi="黑体" w:eastAsia="黑体" w:cs="黑体"/>
          <w:b/>
          <w:sz w:val="32"/>
        </w:rPr>
        <w:t>（一）</w:t>
      </w:r>
      <w:r>
        <w:rPr>
          <w:rFonts w:hint="eastAsia" w:ascii="黑体" w:hAnsi="黑体" w:eastAsia="黑体" w:cs="黑体"/>
          <w:b/>
          <w:sz w:val="32"/>
          <w:lang w:val="en-US" w:eastAsia="zh-CN"/>
        </w:rPr>
        <w:t>2017</w:t>
      </w:r>
      <w:r>
        <w:rPr>
          <w:rFonts w:hint="eastAsia" w:ascii="黑体" w:hAnsi="黑体" w:eastAsia="黑体" w:cs="黑体"/>
          <w:b/>
          <w:strike w:val="0"/>
          <w:sz w:val="32"/>
        </w:rPr>
        <w:t>年度财政拨款收入说明</w:t>
      </w:r>
    </w:p>
    <w:p>
      <w:pPr>
        <w:pStyle w:val="4"/>
        <w:spacing w:before="7"/>
        <w:rPr>
          <w:b/>
          <w:sz w:val="16"/>
        </w:rPr>
      </w:pPr>
    </w:p>
    <w:p>
      <w:pPr>
        <w:pStyle w:val="4"/>
        <w:spacing w:before="66" w:line="352" w:lineRule="auto"/>
        <w:ind w:left="111" w:right="154" w:firstLine="640"/>
        <w:rPr>
          <w:rFonts w:hint="eastAsia" w:ascii="仿宋_GB2312" w:hAnsi="仿宋_GB2312" w:eastAsia="仿宋_GB2312" w:cs="仿宋_GB2312"/>
          <w:lang w:eastAsia="zh-CN"/>
        </w:rPr>
      </w:pPr>
      <w:r>
        <w:rPr>
          <w:rFonts w:hint="eastAsia" w:ascii="仿宋_GB2312" w:hAnsi="仿宋_GB2312" w:eastAsia="仿宋_GB2312" w:cs="仿宋_GB2312"/>
        </w:rPr>
        <w:t>云浮市云安区卫生和计</w:t>
      </w:r>
      <w:r>
        <w:rPr>
          <w:rFonts w:hint="eastAsia" w:ascii="仿宋_GB2312" w:hAnsi="仿宋_GB2312" w:eastAsia="仿宋_GB2312" w:cs="仿宋_GB2312"/>
          <w:spacing w:val="-4"/>
        </w:rPr>
        <w:t xml:space="preserve">划生育局 </w:t>
      </w:r>
      <w:r>
        <w:rPr>
          <w:rFonts w:hint="eastAsia" w:ascii="仿宋_GB2312" w:hAnsi="仿宋_GB2312" w:eastAsia="仿宋_GB2312" w:cs="仿宋_GB2312"/>
          <w:spacing w:val="-4"/>
          <w:lang w:val="en-US" w:eastAsia="zh-CN"/>
        </w:rPr>
        <w:t>2017</w:t>
      </w:r>
      <w:r>
        <w:rPr>
          <w:rFonts w:hint="eastAsia" w:ascii="仿宋_GB2312" w:hAnsi="仿宋_GB2312" w:eastAsia="仿宋_GB2312" w:cs="仿宋_GB2312"/>
          <w:strike w:val="0"/>
        </w:rPr>
        <w:t>年度财政拨</w:t>
      </w:r>
      <w:r>
        <w:rPr>
          <w:rFonts w:hint="eastAsia" w:ascii="仿宋_GB2312" w:hAnsi="仿宋_GB2312" w:eastAsia="仿宋_GB2312" w:cs="仿宋_GB2312"/>
          <w:strike w:val="0"/>
          <w:spacing w:val="-7"/>
        </w:rPr>
        <w:t>款收入</w:t>
      </w:r>
      <w:r>
        <w:rPr>
          <w:rFonts w:hint="eastAsia" w:ascii="仿宋_GB2312" w:hAnsi="仿宋_GB2312" w:eastAsia="仿宋_GB2312" w:cs="仿宋_GB2312"/>
          <w:strike w:val="0"/>
        </w:rPr>
        <w:t>合</w:t>
      </w:r>
      <w:r>
        <w:rPr>
          <w:rFonts w:hint="eastAsia" w:ascii="仿宋_GB2312" w:hAnsi="仿宋_GB2312" w:eastAsia="仿宋_GB2312" w:cs="仿宋_GB2312"/>
          <w:strike w:val="0"/>
          <w:spacing w:val="3"/>
        </w:rPr>
        <w:t>计</w:t>
      </w:r>
      <w:r>
        <w:rPr>
          <w:rFonts w:hint="eastAsia" w:ascii="仿宋_GB2312" w:hAnsi="仿宋_GB2312" w:eastAsia="仿宋_GB2312" w:cs="仿宋_GB2312"/>
          <w:strike w:val="0"/>
        </w:rPr>
        <w:t>4802.11万元。其中：一般公共预算财政拨</w:t>
      </w:r>
      <w:r>
        <w:rPr>
          <w:rFonts w:hint="eastAsia" w:ascii="仿宋_GB2312" w:hAnsi="仿宋_GB2312" w:eastAsia="仿宋_GB2312" w:cs="仿宋_GB2312"/>
          <w:strike w:val="0"/>
          <w:spacing w:val="-2"/>
        </w:rPr>
        <w:t>款收入</w:t>
      </w:r>
      <w:r>
        <w:rPr>
          <w:rFonts w:hint="eastAsia" w:ascii="仿宋_GB2312" w:hAnsi="仿宋_GB2312" w:eastAsia="仿宋_GB2312" w:cs="仿宋_GB2312"/>
          <w:strike w:val="0"/>
        </w:rPr>
        <w:t>4798.1</w:t>
      </w:r>
      <w:r>
        <w:rPr>
          <w:rFonts w:hint="eastAsia" w:ascii="仿宋_GB2312" w:hAnsi="仿宋_GB2312" w:eastAsia="仿宋_GB2312" w:cs="仿宋_GB2312"/>
          <w:strike w:val="0"/>
          <w:lang w:val="en-US" w:eastAsia="zh-CN"/>
        </w:rPr>
        <w:t>1</w:t>
      </w:r>
      <w:r>
        <w:rPr>
          <w:rFonts w:hint="eastAsia" w:ascii="仿宋_GB2312" w:hAnsi="仿宋_GB2312" w:eastAsia="仿宋_GB2312" w:cs="仿宋_GB2312"/>
          <w:strike w:val="0"/>
          <w:spacing w:val="-2"/>
        </w:rPr>
        <w:t>万元，比上年决算数减少</w:t>
      </w:r>
      <w:r>
        <w:rPr>
          <w:rFonts w:hint="eastAsia" w:ascii="仿宋_GB2312" w:hAnsi="仿宋_GB2312" w:eastAsia="仿宋_GB2312" w:cs="仿宋_GB2312"/>
          <w:strike w:val="0"/>
        </w:rPr>
        <w:t>686.82</w:t>
      </w:r>
      <w:r>
        <w:rPr>
          <w:rFonts w:hint="eastAsia" w:ascii="仿宋_GB2312" w:hAnsi="仿宋_GB2312" w:eastAsia="仿宋_GB2312" w:cs="仿宋_GB2312"/>
          <w:strike w:val="0"/>
          <w:spacing w:val="-3"/>
        </w:rPr>
        <w:t>万元，下降</w:t>
      </w:r>
      <w:r>
        <w:rPr>
          <w:rFonts w:hint="eastAsia" w:ascii="仿宋_GB2312" w:hAnsi="仿宋_GB2312" w:eastAsia="仿宋_GB2312" w:cs="仿宋_GB2312"/>
          <w:strike w:val="0"/>
        </w:rPr>
        <w:t>12.52%；政府性基金预算财政拨</w:t>
      </w:r>
      <w:r>
        <w:rPr>
          <w:rFonts w:hint="eastAsia" w:ascii="仿宋_GB2312" w:hAnsi="仿宋_GB2312" w:eastAsia="仿宋_GB2312" w:cs="仿宋_GB2312"/>
          <w:strike w:val="0"/>
          <w:spacing w:val="-5"/>
        </w:rPr>
        <w:t>款收入</w:t>
      </w:r>
      <w:r>
        <w:rPr>
          <w:rFonts w:hint="eastAsia" w:ascii="仿宋_GB2312" w:hAnsi="仿宋_GB2312" w:eastAsia="仿宋_GB2312" w:cs="仿宋_GB2312"/>
          <w:strike w:val="0"/>
        </w:rPr>
        <w:t>4</w:t>
      </w:r>
      <w:r>
        <w:rPr>
          <w:rFonts w:hint="eastAsia" w:ascii="仿宋_GB2312" w:hAnsi="仿宋_GB2312" w:eastAsia="仿宋_GB2312" w:cs="仿宋_GB2312"/>
          <w:strike w:val="0"/>
          <w:spacing w:val="-2"/>
        </w:rPr>
        <w:t>万元，比上年决算数增加</w:t>
      </w:r>
      <w:r>
        <w:rPr>
          <w:rFonts w:hint="eastAsia" w:ascii="仿宋_GB2312" w:hAnsi="仿宋_GB2312" w:eastAsia="仿宋_GB2312" w:cs="仿宋_GB2312"/>
          <w:strike w:val="0"/>
        </w:rPr>
        <w:t>4万元，增长100%</w:t>
      </w:r>
      <w:r>
        <w:rPr>
          <w:rFonts w:hint="eastAsia" w:ascii="仿宋_GB2312" w:hAnsi="仿宋_GB2312" w:eastAsia="仿宋_GB2312" w:cs="仿宋_GB2312"/>
          <w:strike w:val="0"/>
          <w:lang w:eastAsia="zh-CN"/>
        </w:rPr>
        <w:t>。</w:t>
      </w:r>
    </w:p>
    <w:p>
      <w:pPr>
        <w:pStyle w:val="3"/>
        <w:spacing w:line="429" w:lineRule="exact"/>
        <w:rPr>
          <w:rFonts w:hint="eastAsia" w:ascii="黑体" w:hAnsi="黑体" w:eastAsia="黑体" w:cs="黑体"/>
        </w:rPr>
      </w:pPr>
      <w:r>
        <w:rPr>
          <w:rFonts w:hint="eastAsia" w:ascii="黑体" w:hAnsi="黑体" w:eastAsia="黑体" w:cs="黑体"/>
        </w:rPr>
        <w:t>（二）</w:t>
      </w:r>
      <w:r>
        <w:rPr>
          <w:rFonts w:hint="eastAsia" w:ascii="黑体" w:hAnsi="黑体" w:eastAsia="黑体" w:cs="黑体"/>
          <w:lang w:val="en-US" w:eastAsia="zh-CN"/>
        </w:rPr>
        <w:t>2017</w:t>
      </w:r>
      <w:r>
        <w:rPr>
          <w:rFonts w:hint="eastAsia" w:ascii="黑体" w:hAnsi="黑体" w:eastAsia="黑体" w:cs="黑体"/>
          <w:strike w:val="0"/>
        </w:rPr>
        <w:t>年度财政拨款支出说明</w:t>
      </w:r>
    </w:p>
    <w:p>
      <w:pPr>
        <w:pStyle w:val="4"/>
        <w:spacing w:before="7"/>
        <w:rPr>
          <w:b/>
          <w:sz w:val="16"/>
        </w:rPr>
      </w:pPr>
    </w:p>
    <w:p>
      <w:pPr>
        <w:pStyle w:val="4"/>
        <w:spacing w:before="65" w:line="352" w:lineRule="auto"/>
        <w:ind w:left="111" w:right="154" w:firstLine="640"/>
        <w:rPr>
          <w:rFonts w:hint="eastAsia" w:ascii="仿宋_GB2312" w:hAnsi="仿宋_GB2312" w:eastAsia="仿宋_GB2312" w:cs="仿宋_GB2312"/>
          <w:lang w:eastAsia="zh-CN"/>
        </w:rPr>
      </w:pPr>
      <w:r>
        <w:rPr>
          <w:rFonts w:hint="eastAsia" w:ascii="仿宋_GB2312" w:hAnsi="仿宋_GB2312" w:eastAsia="仿宋_GB2312" w:cs="仿宋_GB2312"/>
        </w:rPr>
        <w:t>云浮市云安区卫生和计</w:t>
      </w:r>
      <w:r>
        <w:rPr>
          <w:rFonts w:hint="eastAsia" w:ascii="仿宋_GB2312" w:hAnsi="仿宋_GB2312" w:eastAsia="仿宋_GB2312" w:cs="仿宋_GB2312"/>
          <w:spacing w:val="-4"/>
        </w:rPr>
        <w:t xml:space="preserve">划生育局 </w:t>
      </w:r>
      <w:r>
        <w:rPr>
          <w:rFonts w:hint="eastAsia" w:ascii="仿宋_GB2312" w:hAnsi="仿宋_GB2312" w:eastAsia="仿宋_GB2312" w:cs="仿宋_GB2312"/>
          <w:spacing w:val="-4"/>
          <w:lang w:val="en-US" w:eastAsia="zh-CN"/>
        </w:rPr>
        <w:t>2017</w:t>
      </w:r>
      <w:r>
        <w:rPr>
          <w:rFonts w:hint="eastAsia" w:ascii="仿宋_GB2312" w:hAnsi="仿宋_GB2312" w:eastAsia="仿宋_GB2312" w:cs="仿宋_GB2312"/>
          <w:strike w:val="0"/>
        </w:rPr>
        <w:t>年度财政拨</w:t>
      </w:r>
      <w:r>
        <w:rPr>
          <w:rFonts w:hint="eastAsia" w:ascii="仿宋_GB2312" w:hAnsi="仿宋_GB2312" w:eastAsia="仿宋_GB2312" w:cs="仿宋_GB2312"/>
          <w:strike w:val="0"/>
          <w:spacing w:val="-7"/>
        </w:rPr>
        <w:t>款支出</w:t>
      </w:r>
      <w:r>
        <w:rPr>
          <w:rFonts w:hint="eastAsia" w:ascii="仿宋_GB2312" w:hAnsi="仿宋_GB2312" w:eastAsia="仿宋_GB2312" w:cs="仿宋_GB2312"/>
          <w:strike w:val="0"/>
        </w:rPr>
        <w:t>合</w:t>
      </w:r>
      <w:r>
        <w:rPr>
          <w:rFonts w:hint="eastAsia" w:ascii="仿宋_GB2312" w:hAnsi="仿宋_GB2312" w:eastAsia="仿宋_GB2312" w:cs="仿宋_GB2312"/>
          <w:strike w:val="0"/>
          <w:spacing w:val="3"/>
        </w:rPr>
        <w:t xml:space="preserve">计 </w:t>
      </w:r>
      <w:r>
        <w:rPr>
          <w:rFonts w:hint="eastAsia" w:ascii="仿宋_GB2312" w:hAnsi="仿宋_GB2312" w:eastAsia="仿宋_GB2312" w:cs="仿宋_GB2312"/>
          <w:strike w:val="0"/>
        </w:rPr>
        <w:t>4802.11万元。其中：一般公共预算财政拨</w:t>
      </w:r>
      <w:r>
        <w:rPr>
          <w:rFonts w:hint="eastAsia" w:ascii="仿宋_GB2312" w:hAnsi="仿宋_GB2312" w:eastAsia="仿宋_GB2312" w:cs="仿宋_GB2312"/>
          <w:strike w:val="0"/>
          <w:spacing w:val="-2"/>
        </w:rPr>
        <w:t>款支出</w:t>
      </w:r>
      <w:r>
        <w:rPr>
          <w:rFonts w:hint="eastAsia" w:ascii="仿宋_GB2312" w:hAnsi="仿宋_GB2312" w:eastAsia="仿宋_GB2312" w:cs="仿宋_GB2312"/>
          <w:strike w:val="0"/>
        </w:rPr>
        <w:t xml:space="preserve">4798.11 </w:t>
      </w:r>
      <w:r>
        <w:rPr>
          <w:rFonts w:hint="eastAsia" w:ascii="仿宋_GB2312" w:hAnsi="仿宋_GB2312" w:eastAsia="仿宋_GB2312" w:cs="仿宋_GB2312"/>
          <w:strike w:val="0"/>
          <w:spacing w:val="-2"/>
        </w:rPr>
        <w:t>万元，比上年决算数减少</w:t>
      </w:r>
      <w:r>
        <w:rPr>
          <w:rFonts w:hint="eastAsia" w:ascii="仿宋_GB2312" w:hAnsi="仿宋_GB2312" w:eastAsia="仿宋_GB2312" w:cs="仿宋_GB2312"/>
          <w:strike w:val="0"/>
        </w:rPr>
        <w:t>686.82</w:t>
      </w:r>
      <w:r>
        <w:rPr>
          <w:rFonts w:hint="eastAsia" w:ascii="仿宋_GB2312" w:hAnsi="仿宋_GB2312" w:eastAsia="仿宋_GB2312" w:cs="仿宋_GB2312"/>
          <w:strike w:val="0"/>
          <w:spacing w:val="-3"/>
        </w:rPr>
        <w:t>万元</w:t>
      </w:r>
      <w:r>
        <w:rPr>
          <w:rFonts w:hint="eastAsia" w:ascii="仿宋_GB2312" w:hAnsi="仿宋_GB2312" w:eastAsia="仿宋_GB2312" w:cs="仿宋_GB2312"/>
          <w:strike w:val="0"/>
          <w:spacing w:val="-3"/>
          <w:lang w:eastAsia="zh-CN"/>
        </w:rPr>
        <w:t>，</w:t>
      </w:r>
      <w:r>
        <w:rPr>
          <w:rFonts w:hint="eastAsia" w:ascii="仿宋_GB2312" w:hAnsi="仿宋_GB2312" w:eastAsia="仿宋_GB2312" w:cs="仿宋_GB2312"/>
          <w:strike w:val="0"/>
          <w:spacing w:val="-3"/>
        </w:rPr>
        <w:t>下降</w:t>
      </w:r>
      <w:r>
        <w:rPr>
          <w:rFonts w:hint="eastAsia" w:ascii="仿宋_GB2312" w:hAnsi="仿宋_GB2312" w:eastAsia="仿宋_GB2312" w:cs="仿宋_GB2312"/>
          <w:strike w:val="0"/>
        </w:rPr>
        <w:t>12.52%；政府性基金预算财政拨</w:t>
      </w:r>
      <w:r>
        <w:rPr>
          <w:rFonts w:hint="eastAsia" w:ascii="仿宋_GB2312" w:hAnsi="仿宋_GB2312" w:eastAsia="仿宋_GB2312" w:cs="仿宋_GB2312"/>
          <w:strike w:val="0"/>
          <w:spacing w:val="-5"/>
        </w:rPr>
        <w:t>款支出</w:t>
      </w:r>
      <w:r>
        <w:rPr>
          <w:rFonts w:hint="eastAsia" w:ascii="仿宋_GB2312" w:hAnsi="仿宋_GB2312" w:eastAsia="仿宋_GB2312" w:cs="仿宋_GB2312"/>
          <w:strike w:val="0"/>
        </w:rPr>
        <w:t>4</w:t>
      </w:r>
      <w:r>
        <w:rPr>
          <w:rFonts w:hint="eastAsia" w:ascii="仿宋_GB2312" w:hAnsi="仿宋_GB2312" w:eastAsia="仿宋_GB2312" w:cs="仿宋_GB2312"/>
          <w:strike w:val="0"/>
          <w:spacing w:val="-2"/>
        </w:rPr>
        <w:t>万元</w:t>
      </w:r>
      <w:r>
        <w:rPr>
          <w:rFonts w:hint="eastAsia" w:ascii="仿宋_GB2312" w:hAnsi="仿宋_GB2312" w:eastAsia="仿宋_GB2312" w:cs="仿宋_GB2312"/>
          <w:strike w:val="0"/>
          <w:spacing w:val="-2"/>
          <w:lang w:eastAsia="zh-CN"/>
        </w:rPr>
        <w:t>，</w:t>
      </w:r>
      <w:r>
        <w:rPr>
          <w:rFonts w:hint="eastAsia" w:ascii="仿宋_GB2312" w:hAnsi="仿宋_GB2312" w:eastAsia="仿宋_GB2312" w:cs="仿宋_GB2312"/>
          <w:strike w:val="0"/>
          <w:spacing w:val="-2"/>
        </w:rPr>
        <w:t>比上年决算数增加</w:t>
      </w:r>
      <w:r>
        <w:rPr>
          <w:rFonts w:hint="eastAsia" w:ascii="仿宋_GB2312" w:hAnsi="仿宋_GB2312" w:eastAsia="仿宋_GB2312" w:cs="仿宋_GB2312"/>
          <w:strike w:val="0"/>
        </w:rPr>
        <w:t>4万元，增长100%</w:t>
      </w:r>
      <w:r>
        <w:rPr>
          <w:rFonts w:hint="eastAsia" w:ascii="仿宋_GB2312" w:hAnsi="仿宋_GB2312" w:eastAsia="仿宋_GB2312" w:cs="仿宋_GB2312"/>
          <w:strike w:val="0"/>
          <w:lang w:eastAsia="zh-CN"/>
        </w:rPr>
        <w:t>。</w:t>
      </w:r>
    </w:p>
    <w:p>
      <w:pPr>
        <w:pStyle w:val="3"/>
        <w:spacing w:line="429" w:lineRule="exact"/>
        <w:rPr>
          <w:rFonts w:hint="eastAsia" w:ascii="黑体" w:hAnsi="黑体" w:eastAsia="黑体" w:cs="黑体"/>
        </w:rPr>
      </w:pPr>
      <w:r>
        <w:rPr>
          <w:rFonts w:hint="eastAsia" w:ascii="黑体" w:hAnsi="黑体" w:eastAsia="黑体" w:cs="黑体"/>
        </w:rPr>
        <w:t>三、</w:t>
      </w:r>
      <w:r>
        <w:rPr>
          <w:rFonts w:hint="eastAsia" w:ascii="黑体" w:hAnsi="黑体" w:eastAsia="黑体" w:cs="黑体"/>
          <w:lang w:val="en-US" w:eastAsia="zh-CN"/>
        </w:rPr>
        <w:t>2017</w:t>
      </w:r>
      <w:r>
        <w:rPr>
          <w:rFonts w:hint="eastAsia" w:ascii="黑体" w:hAnsi="黑体" w:eastAsia="黑体" w:cs="黑体"/>
          <w:strike w:val="0"/>
        </w:rPr>
        <w:t>年度财政拨款“三公”经费支出决算情况说明</w:t>
      </w:r>
    </w:p>
    <w:p>
      <w:pPr>
        <w:spacing w:before="177"/>
        <w:ind w:left="751" w:right="0" w:firstLine="0"/>
        <w:jc w:val="left"/>
        <w:rPr>
          <w:rFonts w:hint="eastAsia" w:ascii="黑体" w:hAnsi="黑体" w:eastAsia="黑体" w:cs="黑体"/>
          <w:b/>
          <w:sz w:val="32"/>
        </w:rPr>
      </w:pPr>
      <w:r>
        <w:rPr>
          <w:rFonts w:hint="eastAsia" w:ascii="黑体" w:hAnsi="黑体" w:eastAsia="黑体" w:cs="黑体"/>
          <w:b/>
          <w:w w:val="99"/>
          <w:sz w:val="32"/>
        </w:rPr>
        <w:t>（</w:t>
      </w:r>
      <w:r>
        <w:rPr>
          <w:rFonts w:hint="eastAsia" w:ascii="黑体" w:hAnsi="黑体" w:eastAsia="黑体" w:cs="黑体"/>
          <w:b/>
          <w:spacing w:val="2"/>
          <w:w w:val="99"/>
          <w:sz w:val="32"/>
        </w:rPr>
        <w:t>一</w:t>
      </w:r>
      <w:r>
        <w:rPr>
          <w:rFonts w:hint="eastAsia" w:ascii="黑体" w:hAnsi="黑体" w:eastAsia="黑体" w:cs="黑体"/>
          <w:b/>
          <w:spacing w:val="-159"/>
          <w:w w:val="99"/>
          <w:sz w:val="32"/>
        </w:rPr>
        <w:t>）</w:t>
      </w:r>
      <w:r>
        <w:rPr>
          <w:rFonts w:hint="eastAsia" w:ascii="黑体" w:hAnsi="黑体" w:eastAsia="黑体" w:cs="黑体"/>
          <w:b/>
          <w:sz w:val="32"/>
        </w:rPr>
        <w:t>“</w:t>
      </w:r>
      <w:r>
        <w:rPr>
          <w:rFonts w:hint="eastAsia" w:ascii="黑体" w:hAnsi="黑体" w:eastAsia="黑体" w:cs="黑体"/>
          <w:b/>
          <w:spacing w:val="2"/>
          <w:w w:val="99"/>
          <w:sz w:val="32"/>
        </w:rPr>
        <w:t>三公</w:t>
      </w:r>
      <w:r>
        <w:rPr>
          <w:rFonts w:hint="eastAsia" w:ascii="黑体" w:hAnsi="黑体" w:eastAsia="黑体" w:cs="黑体"/>
          <w:b/>
          <w:sz w:val="32"/>
        </w:rPr>
        <w:t>”</w:t>
      </w:r>
      <w:r>
        <w:rPr>
          <w:rFonts w:hint="eastAsia" w:ascii="黑体" w:hAnsi="黑体" w:eastAsia="黑体" w:cs="黑体"/>
          <w:b/>
          <w:w w:val="99"/>
          <w:sz w:val="32"/>
        </w:rPr>
        <w:t>经费财</w:t>
      </w:r>
      <w:r>
        <w:rPr>
          <w:rFonts w:hint="eastAsia" w:ascii="黑体" w:hAnsi="黑体" w:eastAsia="黑体" w:cs="黑体"/>
          <w:b/>
          <w:spacing w:val="2"/>
          <w:w w:val="99"/>
          <w:sz w:val="32"/>
        </w:rPr>
        <w:t>政</w:t>
      </w:r>
      <w:r>
        <w:rPr>
          <w:rFonts w:hint="eastAsia" w:ascii="黑体" w:hAnsi="黑体" w:eastAsia="黑体" w:cs="黑体"/>
          <w:b/>
          <w:w w:val="99"/>
          <w:sz w:val="32"/>
        </w:rPr>
        <w:t>拨</w:t>
      </w:r>
      <w:r>
        <w:rPr>
          <w:rFonts w:hint="eastAsia" w:ascii="黑体" w:hAnsi="黑体" w:eastAsia="黑体" w:cs="黑体"/>
          <w:b/>
          <w:spacing w:val="2"/>
          <w:w w:val="99"/>
          <w:sz w:val="32"/>
        </w:rPr>
        <w:t>款支出决算</w:t>
      </w:r>
      <w:r>
        <w:rPr>
          <w:rFonts w:hint="eastAsia" w:ascii="黑体" w:hAnsi="黑体" w:eastAsia="黑体" w:cs="黑体"/>
          <w:b/>
          <w:w w:val="99"/>
          <w:sz w:val="32"/>
        </w:rPr>
        <w:t>总</w:t>
      </w:r>
      <w:r>
        <w:rPr>
          <w:rFonts w:hint="eastAsia" w:ascii="黑体" w:hAnsi="黑体" w:eastAsia="黑体" w:cs="黑体"/>
          <w:b/>
          <w:spacing w:val="2"/>
          <w:w w:val="99"/>
          <w:sz w:val="32"/>
        </w:rPr>
        <w:t>体情况</w:t>
      </w:r>
      <w:r>
        <w:rPr>
          <w:rFonts w:hint="eastAsia" w:ascii="黑体" w:hAnsi="黑体" w:eastAsia="黑体" w:cs="黑体"/>
          <w:b/>
          <w:w w:val="99"/>
          <w:sz w:val="32"/>
        </w:rPr>
        <w:t>说明</w:t>
      </w:r>
    </w:p>
    <w:p>
      <w:pPr>
        <w:pStyle w:val="4"/>
        <w:spacing w:before="14" w:line="333" w:lineRule="auto"/>
        <w:ind w:left="110" w:right="136"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云浮市云安区卫生和计划生育局</w:t>
      </w:r>
      <w:r>
        <w:rPr>
          <w:rFonts w:hint="eastAsia" w:ascii="仿宋_GB2312" w:hAnsi="仿宋_GB2312" w:eastAsia="仿宋_GB2312" w:cs="仿宋_GB2312"/>
          <w:sz w:val="32"/>
          <w:szCs w:val="32"/>
          <w:lang w:val="en-US" w:eastAsia="zh-CN"/>
        </w:rPr>
        <w:t>2017</w:t>
      </w:r>
      <w:r>
        <w:rPr>
          <w:rFonts w:hint="eastAsia" w:ascii="仿宋_GB2312" w:hAnsi="仿宋_GB2312" w:eastAsia="仿宋_GB2312" w:cs="仿宋_GB2312"/>
          <w:sz w:val="32"/>
          <w:szCs w:val="32"/>
        </w:rPr>
        <w:t>年度“三公”经费财政拨款支出决算为9.87万元，完成预算10.1万元的 97.72%</w:t>
      </w:r>
      <w:r>
        <w:rPr>
          <w:rFonts w:hint="eastAsia" w:ascii="仿宋_GB2312" w:hAnsi="仿宋_GB2312" w:eastAsia="仿宋_GB2312" w:cs="仿宋_GB2312"/>
          <w:color w:val="auto"/>
          <w:sz w:val="32"/>
          <w:szCs w:val="32"/>
        </w:rPr>
        <w:t>。其中：因公出国（境）费支出决算为 0 万元，完成预算 0 万元</w:t>
      </w:r>
      <w:r>
        <w:rPr>
          <w:rFonts w:hint="eastAsia" w:ascii="仿宋_GB2312" w:hAnsi="仿宋_GB2312" w:eastAsia="仿宋_GB2312" w:cs="仿宋_GB2312"/>
          <w:sz w:val="32"/>
          <w:szCs w:val="32"/>
        </w:rPr>
        <w:t>的100%；公务用车购置及运行费支出决算为 5.32 万元，完成预算</w:t>
      </w:r>
      <w:r>
        <w:rPr>
          <w:rFonts w:hint="eastAsia" w:ascii="仿宋_GB2312" w:hAnsi="仿宋_GB2312" w:eastAsia="仿宋_GB2312" w:cs="仿宋_GB2312"/>
          <w:sz w:val="32"/>
          <w:szCs w:val="32"/>
          <w:lang w:val="en-US" w:eastAsia="zh-CN"/>
        </w:rPr>
        <w:t>5.5</w:t>
      </w:r>
      <w:r>
        <w:rPr>
          <w:rFonts w:hint="eastAsia" w:ascii="仿宋_GB2312" w:hAnsi="仿宋_GB2312" w:eastAsia="仿宋_GB2312" w:cs="仿宋_GB2312"/>
          <w:spacing w:val="-5"/>
          <w:sz w:val="32"/>
          <w:szCs w:val="32"/>
        </w:rPr>
        <w:t xml:space="preserve">万元的 </w:t>
      </w:r>
      <w:r>
        <w:rPr>
          <w:rFonts w:hint="eastAsia" w:ascii="仿宋_GB2312" w:hAnsi="仿宋_GB2312" w:eastAsia="仿宋_GB2312" w:cs="仿宋_GB2312"/>
          <w:sz w:val="32"/>
          <w:szCs w:val="32"/>
        </w:rPr>
        <w:t>96.73%；公务接待费支出决算</w:t>
      </w:r>
      <w:r>
        <w:rPr>
          <w:rFonts w:hint="eastAsia" w:ascii="仿宋_GB2312" w:hAnsi="仿宋_GB2312" w:eastAsia="仿宋_GB2312" w:cs="仿宋_GB2312"/>
          <w:spacing w:val="-2"/>
          <w:sz w:val="32"/>
          <w:szCs w:val="32"/>
        </w:rPr>
        <w:t xml:space="preserve">为 </w:t>
      </w:r>
      <w:r>
        <w:rPr>
          <w:rFonts w:hint="eastAsia" w:ascii="仿宋_GB2312" w:hAnsi="仿宋_GB2312" w:eastAsia="仿宋_GB2312" w:cs="仿宋_GB2312"/>
          <w:sz w:val="32"/>
          <w:szCs w:val="32"/>
        </w:rPr>
        <w:t>4.55 万元，完成预</w:t>
      </w:r>
      <w:r>
        <w:rPr>
          <w:rFonts w:hint="eastAsia" w:ascii="仿宋_GB2312" w:hAnsi="仿宋_GB2312" w:eastAsia="仿宋_GB2312" w:cs="仿宋_GB2312"/>
          <w:spacing w:val="-15"/>
          <w:sz w:val="32"/>
          <w:szCs w:val="32"/>
        </w:rPr>
        <w:t>算</w:t>
      </w:r>
      <w:r>
        <w:rPr>
          <w:rFonts w:hint="eastAsia" w:ascii="仿宋_GB2312" w:hAnsi="仿宋_GB2312" w:eastAsia="仿宋_GB2312" w:cs="仿宋_GB2312"/>
          <w:sz w:val="32"/>
          <w:szCs w:val="32"/>
        </w:rPr>
        <w:t xml:space="preserve">4.6 </w:t>
      </w:r>
      <w:r>
        <w:rPr>
          <w:rFonts w:hint="eastAsia" w:ascii="仿宋_GB2312" w:hAnsi="仿宋_GB2312" w:eastAsia="仿宋_GB2312" w:cs="仿宋_GB2312"/>
          <w:spacing w:val="-5"/>
          <w:sz w:val="32"/>
          <w:szCs w:val="32"/>
        </w:rPr>
        <w:t xml:space="preserve">万元的 </w:t>
      </w:r>
      <w:r>
        <w:rPr>
          <w:rFonts w:hint="eastAsia" w:ascii="仿宋_GB2312" w:hAnsi="仿宋_GB2312" w:eastAsia="仿宋_GB2312" w:cs="仿宋_GB2312"/>
          <w:sz w:val="32"/>
          <w:szCs w:val="32"/>
        </w:rPr>
        <w:t>98.91%。</w:t>
      </w:r>
      <w:r>
        <w:rPr>
          <w:rFonts w:hint="eastAsia" w:ascii="仿宋_GB2312" w:hAnsi="仿宋_GB2312" w:eastAsia="仿宋_GB2312" w:cs="仿宋_GB2312"/>
          <w:strike w:val="0"/>
          <w:sz w:val="32"/>
          <w:szCs w:val="32"/>
          <w:lang w:val="en-US" w:eastAsia="zh-CN"/>
        </w:rPr>
        <w:t>2017</w:t>
      </w:r>
      <w:r>
        <w:rPr>
          <w:rFonts w:hint="eastAsia" w:ascii="仿宋_GB2312" w:hAnsi="仿宋_GB2312" w:eastAsia="仿宋_GB2312" w:cs="仿宋_GB2312"/>
          <w:strike w:val="0"/>
          <w:sz w:val="32"/>
          <w:szCs w:val="32"/>
        </w:rPr>
        <w:t>年度“三公”经费支出决算小于预算数的主要情况： 认真贯彻落实中央八项规定精神和厉行节约的要求，从严控制“三公”经费开支，全年实际支出比预算有所节约。</w:t>
      </w:r>
    </w:p>
    <w:p>
      <w:pPr>
        <w:pStyle w:val="4"/>
        <w:tabs>
          <w:tab w:val="left" w:pos="3625"/>
          <w:tab w:val="left" w:pos="4795"/>
          <w:tab w:val="left" w:pos="8634"/>
        </w:tabs>
        <w:spacing w:before="6" w:line="336" w:lineRule="auto"/>
        <w:ind w:left="110" w:right="110"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与上年相比，</w:t>
      </w:r>
      <w:r>
        <w:rPr>
          <w:rFonts w:hint="eastAsia" w:ascii="仿宋_GB2312" w:hAnsi="仿宋_GB2312" w:eastAsia="仿宋_GB2312" w:cs="仿宋_GB2312"/>
          <w:sz w:val="32"/>
          <w:szCs w:val="32"/>
          <w:lang w:val="en-US" w:eastAsia="zh-CN"/>
        </w:rPr>
        <w:t>2017</w:t>
      </w:r>
      <w:r>
        <w:rPr>
          <w:rFonts w:hint="eastAsia" w:ascii="仿宋_GB2312" w:hAnsi="仿宋_GB2312" w:eastAsia="仿宋_GB2312" w:cs="仿宋_GB2312"/>
          <w:strike w:val="0"/>
          <w:sz w:val="32"/>
          <w:szCs w:val="32"/>
        </w:rPr>
        <w:t>年度“三公”经费财政拨款支出决算数比上年减少0.06万元，下降</w:t>
      </w:r>
      <w:r>
        <w:rPr>
          <w:rFonts w:hint="eastAsia" w:ascii="仿宋_GB2312" w:hAnsi="仿宋_GB2312" w:eastAsia="仿宋_GB2312" w:cs="仿宋_GB2312"/>
          <w:strike w:val="0"/>
          <w:spacing w:val="-18"/>
          <w:sz w:val="32"/>
          <w:szCs w:val="32"/>
        </w:rPr>
        <w:t xml:space="preserve"> </w:t>
      </w:r>
      <w:r>
        <w:rPr>
          <w:rFonts w:hint="eastAsia" w:ascii="仿宋_GB2312" w:hAnsi="仿宋_GB2312" w:eastAsia="仿宋_GB2312" w:cs="仿宋_GB2312"/>
          <w:strike w:val="0"/>
          <w:sz w:val="32"/>
          <w:szCs w:val="32"/>
        </w:rPr>
        <w:t>0.6</w:t>
      </w:r>
      <w:r>
        <w:rPr>
          <w:rFonts w:hint="eastAsia" w:ascii="仿宋_GB2312" w:hAnsi="仿宋_GB2312" w:eastAsia="仿宋_GB2312" w:cs="仿宋_GB2312"/>
          <w:strike w:val="0"/>
          <w:sz w:val="32"/>
          <w:szCs w:val="32"/>
        </w:rPr>
        <w:tab/>
      </w:r>
      <w:r>
        <w:rPr>
          <w:rFonts w:hint="eastAsia" w:ascii="仿宋_GB2312" w:hAnsi="仿宋_GB2312" w:eastAsia="仿宋_GB2312" w:cs="仿宋_GB2312"/>
          <w:strike w:val="0"/>
          <w:sz w:val="32"/>
          <w:szCs w:val="32"/>
        </w:rPr>
        <w:t>%。其中：因公出国（境）费支出决算减少</w:t>
      </w:r>
      <w:r>
        <w:rPr>
          <w:rFonts w:hint="eastAsia" w:ascii="仿宋_GB2312" w:hAnsi="仿宋_GB2312" w:eastAsia="仿宋_GB2312" w:cs="仿宋_GB2312"/>
          <w:strike w:val="0"/>
          <w:spacing w:val="-18"/>
          <w:sz w:val="32"/>
          <w:szCs w:val="32"/>
        </w:rPr>
        <w:t xml:space="preserve"> </w:t>
      </w:r>
      <w:r>
        <w:rPr>
          <w:rFonts w:hint="eastAsia" w:ascii="仿宋_GB2312" w:hAnsi="仿宋_GB2312" w:eastAsia="仿宋_GB2312" w:cs="仿宋_GB2312"/>
          <w:strike w:val="0"/>
          <w:sz w:val="32"/>
          <w:szCs w:val="32"/>
        </w:rPr>
        <w:t>0 万元，下降</w:t>
      </w:r>
      <w:r>
        <w:rPr>
          <w:rFonts w:hint="eastAsia" w:ascii="仿宋_GB2312" w:hAnsi="仿宋_GB2312" w:eastAsia="仿宋_GB2312" w:cs="仿宋_GB2312"/>
          <w:strike w:val="0"/>
          <w:spacing w:val="-18"/>
          <w:sz w:val="32"/>
          <w:szCs w:val="32"/>
        </w:rPr>
        <w:t xml:space="preserve"> </w:t>
      </w:r>
      <w:r>
        <w:rPr>
          <w:rFonts w:hint="eastAsia" w:ascii="仿宋_GB2312" w:hAnsi="仿宋_GB2312" w:eastAsia="仿宋_GB2312" w:cs="仿宋_GB2312"/>
          <w:strike w:val="0"/>
          <w:sz w:val="32"/>
          <w:szCs w:val="32"/>
        </w:rPr>
        <w:t>0%；公务用车购置及运行费支出决算下降</w:t>
      </w:r>
      <w:r>
        <w:rPr>
          <w:rFonts w:hint="eastAsia" w:ascii="仿宋_GB2312" w:hAnsi="仿宋_GB2312" w:eastAsia="仿宋_GB2312" w:cs="仿宋_GB2312"/>
          <w:strike w:val="0"/>
          <w:spacing w:val="-18"/>
          <w:sz w:val="32"/>
          <w:szCs w:val="32"/>
        </w:rPr>
        <w:t xml:space="preserve"> </w:t>
      </w:r>
      <w:r>
        <w:rPr>
          <w:rFonts w:hint="eastAsia" w:ascii="仿宋_GB2312" w:hAnsi="仿宋_GB2312" w:eastAsia="仿宋_GB2312" w:cs="仿宋_GB2312"/>
          <w:strike w:val="0"/>
          <w:sz w:val="32"/>
          <w:szCs w:val="32"/>
        </w:rPr>
        <w:t>0.01 万元，下降</w:t>
      </w:r>
      <w:r>
        <w:rPr>
          <w:rFonts w:hint="eastAsia" w:ascii="仿宋_GB2312" w:hAnsi="仿宋_GB2312" w:eastAsia="仿宋_GB2312" w:cs="仿宋_GB2312"/>
          <w:strike w:val="0"/>
          <w:spacing w:val="-18"/>
          <w:sz w:val="32"/>
          <w:szCs w:val="32"/>
        </w:rPr>
        <w:t xml:space="preserve"> </w:t>
      </w:r>
      <w:r>
        <w:rPr>
          <w:rFonts w:hint="eastAsia" w:ascii="仿宋_GB2312" w:hAnsi="仿宋_GB2312" w:eastAsia="仿宋_GB2312" w:cs="仿宋_GB2312"/>
          <w:strike w:val="0"/>
          <w:sz w:val="32"/>
          <w:szCs w:val="32"/>
        </w:rPr>
        <w:t>0.19</w:t>
      </w:r>
      <w:r>
        <w:rPr>
          <w:rFonts w:hint="eastAsia" w:ascii="仿宋_GB2312" w:hAnsi="仿宋_GB2312" w:eastAsia="仿宋_GB2312" w:cs="仿宋_GB2312"/>
          <w:strike w:val="0"/>
          <w:sz w:val="32"/>
          <w:szCs w:val="32"/>
        </w:rPr>
        <w:tab/>
      </w:r>
      <w:r>
        <w:rPr>
          <w:rFonts w:hint="eastAsia" w:ascii="仿宋_GB2312" w:hAnsi="仿宋_GB2312" w:eastAsia="仿宋_GB2312" w:cs="仿宋_GB2312"/>
          <w:strike w:val="0"/>
          <w:sz w:val="32"/>
          <w:szCs w:val="32"/>
        </w:rPr>
        <w:t>%；公务接待费支出决算减少</w:t>
      </w:r>
      <w:r>
        <w:rPr>
          <w:rFonts w:hint="eastAsia" w:ascii="仿宋_GB2312" w:hAnsi="仿宋_GB2312" w:eastAsia="仿宋_GB2312" w:cs="仿宋_GB2312"/>
          <w:strike w:val="0"/>
          <w:spacing w:val="-18"/>
          <w:sz w:val="32"/>
          <w:szCs w:val="32"/>
        </w:rPr>
        <w:t xml:space="preserve"> </w:t>
      </w:r>
      <w:r>
        <w:rPr>
          <w:rFonts w:hint="eastAsia" w:ascii="仿宋_GB2312" w:hAnsi="仿宋_GB2312" w:eastAsia="仿宋_GB2312" w:cs="仿宋_GB2312"/>
          <w:strike w:val="0"/>
          <w:sz w:val="32"/>
          <w:szCs w:val="32"/>
        </w:rPr>
        <w:t>0.05</w:t>
      </w:r>
      <w:r>
        <w:rPr>
          <w:rFonts w:hint="eastAsia" w:ascii="仿宋_GB2312" w:hAnsi="仿宋_GB2312" w:eastAsia="仿宋_GB2312" w:cs="仿宋_GB2312"/>
          <w:strike w:val="0"/>
          <w:spacing w:val="-18"/>
          <w:sz w:val="32"/>
          <w:szCs w:val="32"/>
        </w:rPr>
        <w:t>万</w:t>
      </w:r>
      <w:r>
        <w:rPr>
          <w:rFonts w:hint="eastAsia" w:ascii="仿宋_GB2312" w:hAnsi="仿宋_GB2312" w:eastAsia="仿宋_GB2312" w:cs="仿宋_GB2312"/>
          <w:strike w:val="0"/>
          <w:sz w:val="32"/>
          <w:szCs w:val="32"/>
        </w:rPr>
        <w:t>元，下降</w:t>
      </w:r>
      <w:r>
        <w:rPr>
          <w:rFonts w:hint="eastAsia" w:ascii="仿宋_GB2312" w:hAnsi="仿宋_GB2312" w:eastAsia="仿宋_GB2312" w:cs="仿宋_GB2312"/>
          <w:strike w:val="0"/>
          <w:spacing w:val="-18"/>
          <w:sz w:val="32"/>
          <w:szCs w:val="32"/>
        </w:rPr>
        <w:t xml:space="preserve"> </w:t>
      </w:r>
      <w:r>
        <w:rPr>
          <w:rFonts w:hint="eastAsia" w:ascii="仿宋_GB2312" w:hAnsi="仿宋_GB2312" w:eastAsia="仿宋_GB2312" w:cs="仿宋_GB2312"/>
          <w:strike w:val="0"/>
          <w:sz w:val="32"/>
          <w:szCs w:val="32"/>
        </w:rPr>
        <w:t>1.08%。</w:t>
      </w:r>
    </w:p>
    <w:p>
      <w:pPr>
        <w:pStyle w:val="3"/>
        <w:spacing w:before="40"/>
        <w:ind w:left="750"/>
        <w:rPr>
          <w:rFonts w:hint="eastAsia" w:ascii="黑体" w:hAnsi="黑体" w:eastAsia="黑体" w:cs="黑体"/>
        </w:rPr>
      </w:pPr>
      <w:r>
        <w:rPr>
          <w:rFonts w:hint="eastAsia" w:ascii="黑体" w:hAnsi="黑体" w:eastAsia="黑体" w:cs="黑体"/>
          <w:w w:val="99"/>
        </w:rPr>
        <w:t>（</w:t>
      </w:r>
      <w:r>
        <w:rPr>
          <w:rFonts w:hint="eastAsia" w:ascii="黑体" w:hAnsi="黑体" w:eastAsia="黑体" w:cs="黑体"/>
          <w:spacing w:val="2"/>
          <w:w w:val="99"/>
        </w:rPr>
        <w:t>二</w:t>
      </w:r>
      <w:r>
        <w:rPr>
          <w:rFonts w:hint="eastAsia" w:ascii="黑体" w:hAnsi="黑体" w:eastAsia="黑体" w:cs="黑体"/>
          <w:spacing w:val="-159"/>
          <w:w w:val="99"/>
        </w:rPr>
        <w:t>）</w:t>
      </w:r>
      <w:r>
        <w:rPr>
          <w:rFonts w:hint="eastAsia" w:ascii="黑体" w:hAnsi="黑体" w:eastAsia="黑体" w:cs="黑体"/>
        </w:rPr>
        <w:t>“</w:t>
      </w:r>
      <w:r>
        <w:rPr>
          <w:rFonts w:hint="eastAsia" w:ascii="黑体" w:hAnsi="黑体" w:eastAsia="黑体" w:cs="黑体"/>
          <w:spacing w:val="2"/>
          <w:w w:val="99"/>
        </w:rPr>
        <w:t>三公</w:t>
      </w:r>
      <w:r>
        <w:rPr>
          <w:rFonts w:hint="eastAsia" w:ascii="黑体" w:hAnsi="黑体" w:eastAsia="黑体" w:cs="黑体"/>
        </w:rPr>
        <w:t>”</w:t>
      </w:r>
      <w:r>
        <w:rPr>
          <w:rFonts w:hint="eastAsia" w:ascii="黑体" w:hAnsi="黑体" w:eastAsia="黑体" w:cs="黑体"/>
          <w:w w:val="99"/>
        </w:rPr>
        <w:t>经费财</w:t>
      </w:r>
      <w:r>
        <w:rPr>
          <w:rFonts w:hint="eastAsia" w:ascii="黑体" w:hAnsi="黑体" w:eastAsia="黑体" w:cs="黑体"/>
          <w:spacing w:val="2"/>
          <w:w w:val="99"/>
        </w:rPr>
        <w:t>政</w:t>
      </w:r>
      <w:r>
        <w:rPr>
          <w:rFonts w:hint="eastAsia" w:ascii="黑体" w:hAnsi="黑体" w:eastAsia="黑体" w:cs="黑体"/>
          <w:w w:val="99"/>
        </w:rPr>
        <w:t>拨</w:t>
      </w:r>
      <w:r>
        <w:rPr>
          <w:rFonts w:hint="eastAsia" w:ascii="黑体" w:hAnsi="黑体" w:eastAsia="黑体" w:cs="黑体"/>
          <w:spacing w:val="2"/>
          <w:w w:val="99"/>
        </w:rPr>
        <w:t>款支出决算具体情况</w:t>
      </w:r>
      <w:r>
        <w:rPr>
          <w:rFonts w:hint="eastAsia" w:ascii="黑体" w:hAnsi="黑体" w:eastAsia="黑体" w:cs="黑体"/>
          <w:w w:val="99"/>
        </w:rPr>
        <w:t>说明</w:t>
      </w:r>
    </w:p>
    <w:p>
      <w:pPr>
        <w:pStyle w:val="4"/>
        <w:spacing w:before="176" w:line="333" w:lineRule="auto"/>
        <w:ind w:left="110" w:right="376" w:firstLine="640"/>
        <w:jc w:val="both"/>
        <w:rPr>
          <w:rFonts w:hint="eastAsia" w:ascii="仿宋_GB2312" w:hAnsi="仿宋_GB2312" w:eastAsia="仿宋_GB2312" w:cs="仿宋_GB2312"/>
          <w:sz w:val="32"/>
          <w:szCs w:val="32"/>
        </w:rPr>
      </w:pPr>
      <w:r>
        <w:rPr>
          <w:rFonts w:hint="eastAsia" w:ascii="仿宋_GB2312" w:hAnsi="仿宋_GB2312" w:eastAsia="仿宋_GB2312" w:cs="仿宋_GB2312"/>
          <w:strike w:val="0"/>
          <w:sz w:val="32"/>
          <w:szCs w:val="32"/>
          <w:lang w:val="en-US" w:eastAsia="zh-CN"/>
        </w:rPr>
        <w:t>2017</w:t>
      </w:r>
      <w:r>
        <w:rPr>
          <w:rFonts w:hint="eastAsia" w:ascii="仿宋_GB2312" w:hAnsi="仿宋_GB2312" w:eastAsia="仿宋_GB2312" w:cs="仿宋_GB2312"/>
          <w:strike w:val="0"/>
          <w:sz w:val="32"/>
          <w:szCs w:val="32"/>
        </w:rPr>
        <w:t>年“三公”经费财政拨款支出决算中，因公出（境） 费0万元，占0%；公务用车购置及运行费支出5.32万元，占53.9%；公务接待费支出4.55万元，占46.1%。具体情况如下：</w:t>
      </w:r>
    </w:p>
    <w:p>
      <w:pPr>
        <w:pStyle w:val="4"/>
        <w:spacing w:before="32"/>
        <w:rPr>
          <w:rFonts w:hint="eastAsia" w:ascii="仿宋_GB2312" w:hAnsi="仿宋_GB2312" w:eastAsia="仿宋_GB2312" w:cs="仿宋_GB231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因公出国（境）费</w:t>
      </w:r>
      <w:r>
        <w:rPr>
          <w:rFonts w:hint="eastAsia" w:ascii="仿宋_GB2312" w:hAnsi="仿宋_GB2312" w:eastAsia="仿宋_GB2312" w:cs="仿宋_GB2312"/>
          <w:spacing w:val="-7"/>
          <w:sz w:val="32"/>
          <w:szCs w:val="32"/>
        </w:rPr>
        <w:t xml:space="preserve">支出 </w:t>
      </w:r>
      <w:r>
        <w:rPr>
          <w:rFonts w:hint="eastAsia" w:ascii="仿宋_GB2312" w:hAnsi="仿宋_GB2312" w:eastAsia="仿宋_GB2312" w:cs="仿宋_GB2312"/>
          <w:sz w:val="32"/>
          <w:szCs w:val="32"/>
        </w:rPr>
        <w:t>0 万元。全年使用财政拨款安排局（部、委、办）机关及下属 0 个单位出国团组 0 个、累计 0 人次。2.公务用车购置及运行维护费支出 5.32 万元，其中：公务用车购置支出为 0 万元，</w:t>
      </w:r>
      <w:r>
        <w:rPr>
          <w:rFonts w:hint="eastAsia" w:ascii="仿宋_GB2312" w:hAnsi="仿宋_GB2312" w:eastAsia="仿宋_GB2312" w:cs="仿宋_GB2312"/>
          <w:sz w:val="32"/>
          <w:szCs w:val="32"/>
          <w:lang w:val="en-US" w:eastAsia="zh-CN"/>
        </w:rPr>
        <w:t>2017</w:t>
      </w:r>
      <w:r>
        <w:rPr>
          <w:rFonts w:hint="eastAsia" w:ascii="仿宋_GB2312" w:hAnsi="仿宋_GB2312" w:eastAsia="仿宋_GB2312" w:cs="仿宋_GB2312"/>
          <w:strike w:val="0"/>
          <w:sz w:val="32"/>
          <w:szCs w:val="32"/>
        </w:rPr>
        <w:t>年公务用车购置数 0 辆。公务用车运行及维护支出 5.32 万元，</w:t>
      </w:r>
      <w:r>
        <w:rPr>
          <w:rFonts w:hint="eastAsia" w:ascii="仿宋_GB2312" w:hAnsi="仿宋_GB2312" w:eastAsia="仿宋_GB2312" w:cs="仿宋_GB2312"/>
          <w:strike w:val="0"/>
          <w:sz w:val="32"/>
          <w:szCs w:val="32"/>
          <w:lang w:val="en-US" w:eastAsia="zh-CN"/>
        </w:rPr>
        <w:t>2017</w:t>
      </w:r>
      <w:r>
        <w:rPr>
          <w:rFonts w:hint="eastAsia" w:ascii="仿宋_GB2312" w:hAnsi="仿宋_GB2312" w:eastAsia="仿宋_GB2312" w:cs="仿宋_GB2312"/>
          <w:strike w:val="0"/>
          <w:sz w:val="32"/>
          <w:szCs w:val="32"/>
        </w:rPr>
        <w:t>年局（部、委、办）机关及下属 4 个单位公务用车保有量为 2 辆，主要用于外出办理单位日常事务</w:t>
      </w:r>
      <w:bookmarkStart w:id="0" w:name="_GoBack"/>
      <w:bookmarkEnd w:id="0"/>
      <w:r>
        <w:rPr>
          <w:rFonts w:hint="eastAsia" w:ascii="仿宋_GB2312" w:hAnsi="仿宋_GB2312" w:eastAsia="仿宋_GB2312" w:cs="仿宋_GB2312"/>
        </w:rPr>
        <w:t>公车维修。</w:t>
      </w:r>
    </w:p>
    <w:p>
      <w:pPr>
        <w:pStyle w:val="4"/>
        <w:tabs>
          <w:tab w:val="left" w:pos="5603"/>
        </w:tabs>
        <w:spacing w:before="177" w:line="333" w:lineRule="auto"/>
        <w:ind w:left="111" w:right="379" w:firstLine="640"/>
        <w:rPr>
          <w:rFonts w:hint="eastAsia" w:ascii="仿宋_GB2312" w:hAnsi="仿宋_GB2312" w:eastAsia="仿宋_GB2312" w:cs="仿宋_GB2312"/>
        </w:rPr>
      </w:pPr>
      <w:r>
        <w:rPr>
          <w:rFonts w:hint="eastAsia" w:ascii="仿宋_GB2312" w:hAnsi="仿宋_GB2312" w:eastAsia="仿宋_GB2312" w:cs="仿宋_GB2312"/>
        </w:rPr>
        <w:t>3.公务接待费支出4.55万元，主要用于上级单位来访、考察、检查工作。</w:t>
      </w:r>
      <w:r>
        <w:rPr>
          <w:rFonts w:hint="eastAsia" w:ascii="仿宋_GB2312" w:hAnsi="仿宋_GB2312" w:eastAsia="仿宋_GB2312" w:cs="仿宋_GB2312"/>
          <w:lang w:val="en-US" w:eastAsia="zh-CN"/>
        </w:rPr>
        <w:t>2017</w:t>
      </w:r>
      <w:r>
        <w:rPr>
          <w:rFonts w:hint="eastAsia" w:ascii="仿宋_GB2312" w:hAnsi="仿宋_GB2312" w:eastAsia="仿宋_GB2312" w:cs="仿宋_GB2312"/>
          <w:strike w:val="0"/>
          <w:color w:val="2E97D3"/>
        </w:rPr>
        <w:t xml:space="preserve"> </w:t>
      </w:r>
      <w:r>
        <w:rPr>
          <w:rFonts w:hint="eastAsia" w:ascii="仿宋_GB2312" w:hAnsi="仿宋_GB2312" w:eastAsia="仿宋_GB2312" w:cs="仿宋_GB2312"/>
          <w:strike w:val="0"/>
        </w:rPr>
        <w:t>年，局（部、委、办）机关及下属</w:t>
      </w:r>
      <w:r>
        <w:rPr>
          <w:rFonts w:hint="eastAsia" w:ascii="仿宋_GB2312" w:hAnsi="仿宋_GB2312" w:eastAsia="仿宋_GB2312" w:cs="仿宋_GB2312"/>
          <w:strike w:val="0"/>
          <w:spacing w:val="-18"/>
        </w:rPr>
        <w:t xml:space="preserve"> </w:t>
      </w:r>
      <w:r>
        <w:rPr>
          <w:rFonts w:hint="eastAsia" w:ascii="仿宋_GB2312" w:hAnsi="仿宋_GB2312" w:eastAsia="仿宋_GB2312" w:cs="仿宋_GB2312"/>
          <w:strike w:val="0"/>
        </w:rPr>
        <w:t>X 个单</w:t>
      </w:r>
      <w:r>
        <w:rPr>
          <w:rFonts w:hint="eastAsia" w:ascii="仿宋_GB2312" w:hAnsi="仿宋_GB2312" w:eastAsia="仿宋_GB2312" w:cs="仿宋_GB2312"/>
          <w:strike w:val="0"/>
          <w:spacing w:val="-18"/>
        </w:rPr>
        <w:t>位</w:t>
      </w:r>
      <w:r>
        <w:rPr>
          <w:rFonts w:hint="eastAsia" w:ascii="仿宋_GB2312" w:hAnsi="仿宋_GB2312" w:eastAsia="仿宋_GB2312" w:cs="仿宋_GB2312"/>
          <w:strike w:val="0"/>
        </w:rPr>
        <w:t>共接待国外来访团组0 个，来访外宾0人次。</w:t>
      </w:r>
    </w:p>
    <w:p>
      <w:pPr>
        <w:pStyle w:val="3"/>
        <w:spacing w:before="6"/>
        <w:rPr>
          <w:rFonts w:hint="eastAsia" w:ascii="黑体" w:hAnsi="黑体" w:eastAsia="黑体" w:cs="黑体"/>
        </w:rPr>
      </w:pPr>
      <w:r>
        <w:rPr>
          <w:rFonts w:hint="eastAsia" w:ascii="黑体" w:hAnsi="黑体" w:eastAsia="黑体" w:cs="黑体"/>
        </w:rPr>
        <w:t>四、其他重要事项的情况说明</w:t>
      </w:r>
    </w:p>
    <w:p>
      <w:pPr>
        <w:spacing w:before="176"/>
        <w:ind w:left="751" w:right="0" w:firstLine="0"/>
        <w:jc w:val="left"/>
        <w:rPr>
          <w:rFonts w:hint="eastAsia" w:ascii="MS UI Gothic" w:eastAsia="MS UI Gothic"/>
          <w:b/>
          <w:sz w:val="32"/>
        </w:rPr>
      </w:pPr>
      <w:r>
        <w:rPr>
          <w:rFonts w:hint="eastAsia" w:ascii="黑体" w:hAnsi="黑体" w:eastAsia="黑体" w:cs="黑体"/>
          <w:b/>
          <w:sz w:val="32"/>
        </w:rPr>
        <w:t>（一）机关运行经费支出情况</w:t>
      </w:r>
    </w:p>
    <w:p>
      <w:pPr>
        <w:pStyle w:val="4"/>
        <w:spacing w:before="177" w:line="338" w:lineRule="auto"/>
        <w:ind w:left="111" w:right="154" w:firstLine="640"/>
        <w:rPr>
          <w:rFonts w:hint="eastAsia" w:ascii="仿宋_GB2312" w:hAnsi="仿宋_GB2312" w:eastAsia="仿宋_GB2312" w:cs="仿宋_GB2312"/>
        </w:rPr>
      </w:pPr>
      <w:r>
        <w:rPr>
          <w:rFonts w:hint="eastAsia" w:ascii="仿宋_GB2312" w:hAnsi="仿宋_GB2312" w:eastAsia="仿宋_GB2312" w:cs="仿宋_GB2312"/>
          <w:strike w:val="0"/>
          <w:color w:val="auto"/>
          <w:lang w:val="en-US" w:eastAsia="zh-CN"/>
        </w:rPr>
        <w:t>2017</w:t>
      </w:r>
      <w:r>
        <w:rPr>
          <w:rFonts w:hint="eastAsia" w:ascii="仿宋_GB2312" w:hAnsi="仿宋_GB2312" w:eastAsia="仿宋_GB2312" w:cs="仿宋_GB2312"/>
          <w:strike w:val="0"/>
          <w:color w:val="auto"/>
        </w:rPr>
        <w:t>年本</w:t>
      </w:r>
      <w:r>
        <w:rPr>
          <w:rFonts w:hint="eastAsia" w:ascii="仿宋_GB2312" w:hAnsi="仿宋_GB2312" w:eastAsia="仿宋_GB2312" w:cs="仿宋_GB2312"/>
          <w:strike w:val="0"/>
        </w:rPr>
        <w:t>部门机关运行经费</w:t>
      </w:r>
      <w:r>
        <w:rPr>
          <w:rFonts w:hint="eastAsia" w:ascii="仿宋_GB2312" w:hAnsi="仿宋_GB2312" w:eastAsia="仿宋_GB2312" w:cs="仿宋_GB2312"/>
          <w:strike w:val="0"/>
          <w:spacing w:val="-7"/>
        </w:rPr>
        <w:t>支出</w:t>
      </w:r>
      <w:r>
        <w:rPr>
          <w:rFonts w:hint="eastAsia" w:ascii="仿宋_GB2312" w:hAnsi="仿宋_GB2312" w:eastAsia="仿宋_GB2312" w:cs="仿宋_GB2312"/>
          <w:strike w:val="0"/>
        </w:rPr>
        <w:t>52.32万元（与部门</w:t>
      </w:r>
      <w:r>
        <w:rPr>
          <w:rFonts w:hint="eastAsia" w:ascii="仿宋_GB2312" w:hAnsi="仿宋_GB2312" w:eastAsia="仿宋_GB2312" w:cs="仿宋_GB2312"/>
          <w:strike w:val="0"/>
          <w:spacing w:val="-10"/>
        </w:rPr>
        <w:t>决算</w:t>
      </w:r>
      <w:r>
        <w:rPr>
          <w:rFonts w:hint="eastAsia" w:ascii="仿宋_GB2312" w:hAnsi="仿宋_GB2312" w:eastAsia="仿宋_GB2312" w:cs="仿宋_GB2312"/>
          <w:strike w:val="0"/>
        </w:rPr>
        <w:t>中行政单位和参照公务员法管理的事业单位一般公共预算财政拨款基本支出中公用经费之和保持一致），</w:t>
      </w:r>
      <w:r>
        <w:rPr>
          <w:rFonts w:hint="eastAsia" w:ascii="仿宋_GB2312" w:hAnsi="仿宋_GB2312" w:eastAsia="仿宋_GB2312" w:cs="仿宋_GB2312"/>
          <w:strike w:val="0"/>
          <w:spacing w:val="-1"/>
        </w:rPr>
        <w:t>比上年减少</w:t>
      </w:r>
      <w:r>
        <w:rPr>
          <w:rFonts w:hint="eastAsia" w:ascii="仿宋_GB2312" w:hAnsi="仿宋_GB2312" w:eastAsia="仿宋_GB2312" w:cs="仿宋_GB2312"/>
          <w:strike w:val="0"/>
        </w:rPr>
        <w:t>1.81万</w:t>
      </w:r>
      <w:r>
        <w:rPr>
          <w:rFonts w:hint="eastAsia" w:ascii="仿宋_GB2312" w:hAnsi="仿宋_GB2312" w:eastAsia="仿宋_GB2312" w:cs="仿宋_GB2312"/>
          <w:strike w:val="0"/>
          <w:spacing w:val="-4"/>
        </w:rPr>
        <w:t>元，降低</w:t>
      </w:r>
      <w:r>
        <w:rPr>
          <w:rFonts w:hint="eastAsia" w:ascii="仿宋_GB2312" w:hAnsi="仿宋_GB2312" w:eastAsia="仿宋_GB2312" w:cs="仿宋_GB2312"/>
          <w:strike w:val="0"/>
        </w:rPr>
        <w:t>3.34%。</w:t>
      </w:r>
    </w:p>
    <w:p>
      <w:pPr>
        <w:pStyle w:val="4"/>
        <w:spacing w:before="25"/>
        <w:ind w:left="751"/>
        <w:rPr>
          <w:rFonts w:hint="eastAsia" w:ascii="仿宋_GB2312" w:hAnsi="仿宋_GB2312" w:eastAsia="仿宋_GB2312" w:cs="仿宋_GB2312"/>
        </w:rPr>
      </w:pPr>
      <w:r>
        <w:rPr>
          <w:rFonts w:hint="eastAsia" w:ascii="仿宋_GB2312" w:hAnsi="仿宋_GB2312" w:eastAsia="仿宋_GB2312" w:cs="仿宋_GB2312"/>
        </w:rPr>
        <w:t>（二）政府采购支出情况说明</w:t>
      </w:r>
    </w:p>
    <w:p>
      <w:pPr>
        <w:pStyle w:val="4"/>
        <w:spacing w:before="176" w:line="333" w:lineRule="auto"/>
        <w:ind w:left="111" w:right="129" w:firstLine="640"/>
        <w:rPr>
          <w:rFonts w:hint="eastAsia" w:ascii="仿宋_GB2312" w:hAnsi="仿宋_GB2312" w:eastAsia="仿宋_GB2312" w:cs="仿宋_GB2312"/>
        </w:rPr>
      </w:pPr>
      <w:r>
        <w:rPr>
          <w:rFonts w:hint="eastAsia" w:ascii="仿宋_GB2312" w:hAnsi="仿宋_GB2312" w:eastAsia="仿宋_GB2312" w:cs="仿宋_GB2312"/>
          <w:strike w:val="0"/>
          <w:lang w:val="en-US" w:eastAsia="zh-CN"/>
        </w:rPr>
        <w:t>2017</w:t>
      </w:r>
      <w:r>
        <w:rPr>
          <w:rFonts w:hint="eastAsia" w:ascii="仿宋_GB2312" w:hAnsi="仿宋_GB2312" w:eastAsia="仿宋_GB2312" w:cs="仿宋_GB2312"/>
          <w:strike w:val="0"/>
        </w:rPr>
        <w:t>年本部门政府采购支出</w:t>
      </w:r>
      <w:r>
        <w:rPr>
          <w:rFonts w:hint="eastAsia" w:ascii="仿宋_GB2312" w:hAnsi="仿宋_GB2312" w:eastAsia="仿宋_GB2312" w:cs="仿宋_GB2312"/>
          <w:strike w:val="0"/>
          <w:spacing w:val="-2"/>
        </w:rPr>
        <w:t>总额</w:t>
      </w:r>
      <w:r>
        <w:rPr>
          <w:rFonts w:hint="eastAsia" w:ascii="仿宋_GB2312" w:hAnsi="仿宋_GB2312" w:eastAsia="仿宋_GB2312" w:cs="仿宋_GB2312"/>
          <w:strike w:val="0"/>
        </w:rPr>
        <w:t>4.31万元，其中：政府采购货</w:t>
      </w:r>
      <w:r>
        <w:rPr>
          <w:rFonts w:hint="eastAsia" w:ascii="仿宋_GB2312" w:hAnsi="仿宋_GB2312" w:eastAsia="仿宋_GB2312" w:cs="仿宋_GB2312"/>
          <w:strike w:val="0"/>
          <w:spacing w:val="-5"/>
        </w:rPr>
        <w:t>物支出</w:t>
      </w:r>
      <w:r>
        <w:rPr>
          <w:rFonts w:hint="eastAsia" w:ascii="仿宋_GB2312" w:hAnsi="仿宋_GB2312" w:eastAsia="仿宋_GB2312" w:cs="仿宋_GB2312"/>
          <w:strike w:val="0"/>
        </w:rPr>
        <w:t>4.31万元、政府采购</w:t>
      </w:r>
      <w:r>
        <w:rPr>
          <w:rFonts w:hint="eastAsia" w:ascii="仿宋_GB2312" w:hAnsi="仿宋_GB2312" w:eastAsia="仿宋_GB2312" w:cs="仿宋_GB2312"/>
          <w:strike w:val="0"/>
          <w:spacing w:val="-4"/>
        </w:rPr>
        <w:t>工程支出</w:t>
      </w:r>
      <w:r>
        <w:rPr>
          <w:rFonts w:hint="eastAsia" w:ascii="仿宋_GB2312" w:hAnsi="仿宋_GB2312" w:eastAsia="仿宋_GB2312" w:cs="仿宋_GB2312"/>
          <w:strike w:val="0"/>
        </w:rPr>
        <w:t>0万元、政府采购</w:t>
      </w:r>
      <w:r>
        <w:rPr>
          <w:rFonts w:hint="eastAsia" w:ascii="仿宋_GB2312" w:hAnsi="仿宋_GB2312" w:eastAsia="仿宋_GB2312" w:cs="仿宋_GB2312"/>
          <w:strike w:val="0"/>
          <w:spacing w:val="-18"/>
        </w:rPr>
        <w:t>服</w:t>
      </w:r>
      <w:r>
        <w:rPr>
          <w:rFonts w:hint="eastAsia" w:ascii="仿宋_GB2312" w:hAnsi="仿宋_GB2312" w:eastAsia="仿宋_GB2312" w:cs="仿宋_GB2312"/>
          <w:strike w:val="0"/>
        </w:rPr>
        <w:t>务</w:t>
      </w:r>
      <w:r>
        <w:rPr>
          <w:rFonts w:hint="eastAsia" w:ascii="仿宋_GB2312" w:hAnsi="仿宋_GB2312" w:eastAsia="仿宋_GB2312" w:cs="仿宋_GB2312"/>
          <w:strike w:val="0"/>
          <w:spacing w:val="-7"/>
        </w:rPr>
        <w:t>支出</w:t>
      </w:r>
      <w:r>
        <w:rPr>
          <w:rFonts w:hint="eastAsia" w:ascii="仿宋_GB2312" w:hAnsi="仿宋_GB2312" w:eastAsia="仿宋_GB2312" w:cs="仿宋_GB2312"/>
          <w:strike w:val="0"/>
        </w:rPr>
        <w:t>0万元。</w:t>
      </w:r>
    </w:p>
    <w:p>
      <w:pPr>
        <w:pStyle w:val="3"/>
        <w:spacing w:before="6"/>
        <w:rPr>
          <w:rFonts w:hint="eastAsia" w:ascii="黑体" w:hAnsi="黑体" w:eastAsia="黑体" w:cs="黑体"/>
        </w:rPr>
      </w:pPr>
      <w:r>
        <w:rPr>
          <w:rFonts w:hint="eastAsia" w:ascii="黑体" w:hAnsi="黑体" w:eastAsia="黑体" w:cs="黑体"/>
        </w:rPr>
        <w:t>（三）国有资产占用情况</w:t>
      </w:r>
    </w:p>
    <w:p>
      <w:pPr>
        <w:pStyle w:val="4"/>
        <w:spacing w:before="177" w:line="333" w:lineRule="auto"/>
        <w:ind w:left="111" w:right="208" w:firstLine="640"/>
        <w:rPr>
          <w:rFonts w:hint="eastAsia" w:ascii="仿宋_GB2312" w:hAnsi="仿宋_GB2312" w:eastAsia="仿宋_GB2312" w:cs="仿宋_GB2312"/>
        </w:rPr>
      </w:pPr>
      <w:r>
        <w:rPr>
          <w:rFonts w:hint="eastAsia" w:ascii="仿宋_GB2312" w:hAnsi="仿宋_GB2312" w:eastAsia="仿宋_GB2312" w:cs="仿宋_GB2312"/>
          <w:spacing w:val="-7"/>
        </w:rPr>
        <w:t>截至</w:t>
      </w:r>
      <w:r>
        <w:rPr>
          <w:rFonts w:hint="eastAsia" w:ascii="仿宋_GB2312" w:hAnsi="仿宋_GB2312" w:eastAsia="仿宋_GB2312" w:cs="仿宋_GB2312"/>
          <w:spacing w:val="-7"/>
          <w:lang w:val="en-US" w:eastAsia="zh-CN"/>
        </w:rPr>
        <w:t>2017</w:t>
      </w:r>
      <w:r>
        <w:rPr>
          <w:rFonts w:hint="eastAsia" w:ascii="仿宋_GB2312" w:hAnsi="仿宋_GB2312" w:eastAsia="仿宋_GB2312" w:cs="仿宋_GB2312"/>
          <w:strike w:val="0"/>
          <w:spacing w:val="-9"/>
        </w:rPr>
        <w:t>年</w:t>
      </w:r>
      <w:r>
        <w:rPr>
          <w:rFonts w:hint="eastAsia" w:ascii="仿宋_GB2312" w:hAnsi="仿宋_GB2312" w:eastAsia="仿宋_GB2312" w:cs="仿宋_GB2312"/>
          <w:strike w:val="0"/>
        </w:rPr>
        <w:t>12</w:t>
      </w:r>
      <w:r>
        <w:rPr>
          <w:rFonts w:hint="eastAsia" w:ascii="仿宋_GB2312" w:hAnsi="仿宋_GB2312" w:eastAsia="仿宋_GB2312" w:cs="仿宋_GB2312"/>
          <w:strike w:val="0"/>
          <w:spacing w:val="-9"/>
        </w:rPr>
        <w:t>月</w:t>
      </w:r>
      <w:r>
        <w:rPr>
          <w:rFonts w:hint="eastAsia" w:ascii="仿宋_GB2312" w:hAnsi="仿宋_GB2312" w:eastAsia="仿宋_GB2312" w:cs="仿宋_GB2312"/>
          <w:strike w:val="0"/>
        </w:rPr>
        <w:t>31日，本部门共有</w:t>
      </w:r>
      <w:r>
        <w:rPr>
          <w:rFonts w:hint="eastAsia" w:ascii="仿宋_GB2312" w:hAnsi="仿宋_GB2312" w:eastAsia="仿宋_GB2312" w:cs="仿宋_GB2312"/>
          <w:strike w:val="0"/>
          <w:spacing w:val="-2"/>
        </w:rPr>
        <w:t>车辆</w:t>
      </w:r>
      <w:r>
        <w:rPr>
          <w:rFonts w:hint="eastAsia" w:ascii="仿宋_GB2312" w:hAnsi="仿宋_GB2312" w:eastAsia="仿宋_GB2312" w:cs="仿宋_GB2312"/>
          <w:strike w:val="0"/>
        </w:rPr>
        <w:t>2辆，其中，省级领导用</w:t>
      </w:r>
      <w:r>
        <w:rPr>
          <w:rFonts w:hint="eastAsia" w:ascii="仿宋_GB2312" w:hAnsi="仿宋_GB2312" w:eastAsia="仿宋_GB2312" w:cs="仿宋_GB2312"/>
          <w:strike w:val="0"/>
          <w:spacing w:val="-4"/>
        </w:rPr>
        <w:t>车</w:t>
      </w:r>
      <w:r>
        <w:rPr>
          <w:rFonts w:hint="eastAsia" w:ascii="仿宋_GB2312" w:hAnsi="仿宋_GB2312" w:eastAsia="仿宋_GB2312" w:cs="仿宋_GB2312"/>
          <w:strike w:val="0"/>
        </w:rPr>
        <w:t>0辆、定向化保障岗位（厅级）用</w:t>
      </w:r>
      <w:r>
        <w:rPr>
          <w:rFonts w:hint="eastAsia" w:ascii="仿宋_GB2312" w:hAnsi="仿宋_GB2312" w:eastAsia="仿宋_GB2312" w:cs="仿宋_GB2312"/>
          <w:strike w:val="0"/>
          <w:spacing w:val="-4"/>
        </w:rPr>
        <w:t>车</w:t>
      </w:r>
      <w:r>
        <w:rPr>
          <w:rFonts w:hint="eastAsia" w:ascii="仿宋_GB2312" w:hAnsi="仿宋_GB2312" w:eastAsia="仿宋_GB2312" w:cs="仿宋_GB2312"/>
          <w:strike w:val="0"/>
        </w:rPr>
        <w:t>0辆、机要通信应急保障用车（综合保障业务用车）0辆、一般执法执勤用</w:t>
      </w:r>
      <w:r>
        <w:rPr>
          <w:rFonts w:hint="eastAsia" w:ascii="仿宋_GB2312" w:hAnsi="仿宋_GB2312" w:eastAsia="仿宋_GB2312" w:cs="仿宋_GB2312"/>
          <w:strike w:val="0"/>
          <w:spacing w:val="13"/>
        </w:rPr>
        <w:t>车</w:t>
      </w:r>
      <w:r>
        <w:rPr>
          <w:rFonts w:hint="eastAsia" w:ascii="仿宋_GB2312" w:hAnsi="仿宋_GB2312" w:eastAsia="仿宋_GB2312" w:cs="仿宋_GB2312"/>
          <w:strike w:val="0"/>
        </w:rPr>
        <w:t>0辆、特种专业技术用</w:t>
      </w:r>
      <w:r>
        <w:rPr>
          <w:rFonts w:hint="eastAsia" w:ascii="仿宋_GB2312" w:hAnsi="仿宋_GB2312" w:eastAsia="仿宋_GB2312" w:cs="仿宋_GB2312"/>
          <w:strike w:val="0"/>
          <w:spacing w:val="-3"/>
        </w:rPr>
        <w:t xml:space="preserve">车 </w:t>
      </w:r>
      <w:r>
        <w:rPr>
          <w:rFonts w:hint="eastAsia" w:ascii="仿宋_GB2312" w:hAnsi="仿宋_GB2312" w:eastAsia="仿宋_GB2312" w:cs="仿宋_GB2312"/>
          <w:strike w:val="0"/>
        </w:rPr>
        <w:t>0</w:t>
      </w:r>
      <w:r>
        <w:rPr>
          <w:rFonts w:hint="eastAsia" w:ascii="仿宋_GB2312" w:hAnsi="仿宋_GB2312" w:eastAsia="仿宋_GB2312" w:cs="仿宋_GB2312"/>
          <w:strike w:val="0"/>
          <w:spacing w:val="-1"/>
        </w:rPr>
        <w:t xml:space="preserve"> </w:t>
      </w:r>
      <w:r>
        <w:rPr>
          <w:rFonts w:hint="eastAsia" w:ascii="仿宋_GB2312" w:hAnsi="仿宋_GB2312" w:eastAsia="仿宋_GB2312" w:cs="仿宋_GB2312"/>
          <w:strike w:val="0"/>
        </w:rPr>
        <w:t>辆、其他用</w:t>
      </w:r>
      <w:r>
        <w:rPr>
          <w:rFonts w:hint="eastAsia" w:ascii="仿宋_GB2312" w:hAnsi="仿宋_GB2312" w:eastAsia="仿宋_GB2312" w:cs="仿宋_GB2312"/>
          <w:strike w:val="0"/>
          <w:spacing w:val="-3"/>
        </w:rPr>
        <w:t>车</w:t>
      </w:r>
      <w:r>
        <w:rPr>
          <w:rFonts w:hint="eastAsia" w:ascii="仿宋_GB2312" w:hAnsi="仿宋_GB2312" w:eastAsia="仿宋_GB2312" w:cs="仿宋_GB2312"/>
          <w:strike w:val="0"/>
        </w:rPr>
        <w:t>2辆，其他用车主要是单</w:t>
      </w:r>
      <w:r>
        <w:rPr>
          <w:rFonts w:hint="eastAsia" w:ascii="仿宋_GB2312" w:hAnsi="仿宋_GB2312" w:eastAsia="仿宋_GB2312" w:cs="仿宋_GB2312"/>
        </w:rPr>
        <w:t>位公务用车；单位价值50万元以上通用设备0台（套），单价100万元以上专用设备0台（套）。</w:t>
      </w:r>
    </w:p>
    <w:p>
      <w:pPr>
        <w:pStyle w:val="4"/>
        <w:spacing w:before="177" w:line="333" w:lineRule="auto"/>
        <w:ind w:left="111" w:right="208" w:firstLine="640"/>
        <w:rPr>
          <w:rFonts w:hint="eastAsia" w:ascii="黑体" w:hAnsi="黑体" w:eastAsia="黑体" w:cs="黑体"/>
        </w:rPr>
      </w:pPr>
      <w:r>
        <w:rPr>
          <w:rFonts w:hint="eastAsia" w:ascii="黑体" w:hAnsi="黑体" w:eastAsia="黑体" w:cs="黑体"/>
        </w:rPr>
        <w:t>（四）预算绩效管理工作开展情况</w:t>
      </w:r>
    </w:p>
    <w:p>
      <w:pPr>
        <w:pStyle w:val="4"/>
        <w:spacing w:before="26" w:line="312" w:lineRule="auto"/>
        <w:ind w:right="209" w:firstLine="640" w:firstLineChars="200"/>
        <w:rPr>
          <w:sz w:val="23"/>
        </w:rPr>
      </w:pPr>
      <w:r>
        <w:rPr>
          <w:rFonts w:hint="eastAsia" w:ascii="仿宋_GB2312" w:hAnsi="仿宋_GB2312" w:eastAsia="仿宋_GB2312" w:cs="仿宋_GB2312"/>
        </w:rPr>
        <w:t>云浮市云安区卫生和计划生育局在区委、区政府的正确领导下，在区财政局的大力支持下，通过本单位规</w:t>
      </w:r>
      <w:r>
        <w:rPr>
          <w:rFonts w:hint="eastAsia" w:ascii="仿宋_GB2312" w:hAnsi="仿宋_GB2312" w:eastAsia="仿宋_GB2312" w:cs="仿宋_GB2312"/>
          <w:spacing w:val="-3"/>
        </w:rPr>
        <w:t>范内部工作流程和</w:t>
      </w:r>
      <w:r>
        <w:rPr>
          <w:rFonts w:hint="eastAsia" w:ascii="仿宋_GB2312" w:hAnsi="仿宋_GB2312" w:eastAsia="仿宋_GB2312" w:cs="仿宋_GB2312"/>
        </w:rPr>
        <w:t>职责分工，促进项目预算按照工作进度有序进行，提高预算资</w:t>
      </w:r>
      <w:r>
        <w:rPr>
          <w:rFonts w:hint="eastAsia" w:ascii="仿宋_GB2312" w:hAnsi="仿宋_GB2312" w:eastAsia="仿宋_GB2312" w:cs="仿宋_GB2312"/>
          <w:spacing w:val="-19"/>
        </w:rPr>
        <w:t>金</w:t>
      </w:r>
      <w:r>
        <w:rPr>
          <w:rFonts w:hint="eastAsia" w:ascii="仿宋_GB2312" w:hAnsi="仿宋_GB2312" w:eastAsia="仿宋_GB2312" w:cs="仿宋_GB2312"/>
        </w:rPr>
        <w:t>使用效率，使各项预算资金得到有效使用，各项资金预算执</w:t>
      </w:r>
      <w:r>
        <w:rPr>
          <w:rFonts w:hint="eastAsia" w:ascii="仿宋_GB2312" w:hAnsi="仿宋_GB2312" w:eastAsia="仿宋_GB2312" w:cs="仿宋_GB2312"/>
          <w:spacing w:val="-10"/>
        </w:rPr>
        <w:t>行情</w:t>
      </w:r>
      <w:r>
        <w:rPr>
          <w:rFonts w:hint="eastAsia" w:ascii="仿宋_GB2312" w:hAnsi="仿宋_GB2312" w:eastAsia="仿宋_GB2312" w:cs="仿宋_GB2312"/>
        </w:rPr>
        <w:t>况良好。</w:t>
      </w:r>
    </w:p>
    <w:p>
      <w:pPr>
        <w:pStyle w:val="3"/>
        <w:jc w:val="both"/>
        <w:rPr>
          <w:rFonts w:hint="eastAsia" w:ascii="黑体" w:hAnsi="黑体" w:eastAsia="黑体" w:cs="黑体"/>
        </w:rPr>
      </w:pPr>
      <w:r>
        <w:rPr>
          <w:rFonts w:hint="eastAsia" w:ascii="黑体" w:hAnsi="黑体" w:eastAsia="黑体" w:cs="黑体"/>
        </w:rPr>
        <w:t>第四部分 名词解释</w:t>
      </w:r>
    </w:p>
    <w:p>
      <w:pPr>
        <w:pStyle w:val="4"/>
        <w:spacing w:before="176" w:line="333" w:lineRule="auto"/>
        <w:ind w:left="111" w:right="113" w:firstLine="627"/>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为便于社会公众的理解，各部门需对公开内容中涉及的专业名词进行解释，格式如下：（以下专业名词解释供参考，各部门可以根据公开内容中涉及的专业名词自行予以增减）</w:t>
      </w:r>
    </w:p>
    <w:p>
      <w:pPr>
        <w:spacing w:before="6"/>
        <w:ind w:left="751" w:right="0" w:firstLine="0"/>
        <w:jc w:val="left"/>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财政拨款收入：</w:t>
      </w:r>
      <w:r>
        <w:rPr>
          <w:rFonts w:hint="eastAsia" w:ascii="仿宋_GB2312" w:hAnsi="仿宋_GB2312" w:eastAsia="仿宋_GB2312" w:cs="仿宋_GB2312"/>
          <w:sz w:val="32"/>
          <w:szCs w:val="32"/>
        </w:rPr>
        <w:t>指财政当年拨付的资金。包括一般公共预算财政拨款和政府性基金财政拨款。</w:t>
      </w:r>
    </w:p>
    <w:p>
      <w:pPr>
        <w:spacing w:before="176"/>
        <w:ind w:left="751" w:right="0" w:firstLine="0"/>
        <w:jc w:val="left"/>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上级补助收入：</w:t>
      </w:r>
      <w:r>
        <w:rPr>
          <w:rFonts w:hint="eastAsia" w:ascii="仿宋_GB2312" w:hAnsi="仿宋_GB2312" w:eastAsia="仿宋_GB2312" w:cs="仿宋_GB2312"/>
          <w:sz w:val="32"/>
          <w:szCs w:val="32"/>
        </w:rPr>
        <w:t>指事业单位从主管部门和上级单位取得的非财政补助收入。</w:t>
      </w:r>
    </w:p>
    <w:p>
      <w:pPr>
        <w:pStyle w:val="4"/>
        <w:spacing w:before="176" w:line="345" w:lineRule="auto"/>
        <w:ind w:left="112" w:right="156" w:firstLine="627"/>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事业收入：</w:t>
      </w:r>
      <w:r>
        <w:rPr>
          <w:rFonts w:hint="eastAsia" w:ascii="仿宋_GB2312" w:hAnsi="仿宋_GB2312" w:eastAsia="仿宋_GB2312" w:cs="仿宋_GB2312"/>
          <w:sz w:val="32"/>
          <w:szCs w:val="32"/>
        </w:rPr>
        <w:t>指事业单位开展专业业务活动及辅助活动所取得的收入。</w:t>
      </w:r>
    </w:p>
    <w:p>
      <w:pPr>
        <w:pStyle w:val="4"/>
        <w:spacing w:before="13" w:line="333" w:lineRule="auto"/>
        <w:ind w:left="112" w:right="159" w:firstLine="627"/>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经营收入：</w:t>
      </w:r>
      <w:r>
        <w:rPr>
          <w:rFonts w:hint="eastAsia" w:ascii="仿宋_GB2312" w:hAnsi="仿宋_GB2312" w:eastAsia="仿宋_GB2312" w:cs="仿宋_GB2312"/>
          <w:sz w:val="32"/>
          <w:szCs w:val="32"/>
        </w:rPr>
        <w:t>指事业单位在专业业务活动及其辅助活动之外开展非独立核算经营活动取得的收入。</w:t>
      </w:r>
    </w:p>
    <w:p>
      <w:pPr>
        <w:spacing w:before="4"/>
        <w:ind w:left="739" w:right="0" w:firstLine="0"/>
        <w:jc w:val="left"/>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附属单位上缴收入：</w:t>
      </w:r>
      <w:r>
        <w:rPr>
          <w:rFonts w:hint="eastAsia" w:ascii="仿宋_GB2312" w:hAnsi="仿宋_GB2312" w:eastAsia="仿宋_GB2312" w:cs="仿宋_GB2312"/>
          <w:sz w:val="32"/>
          <w:szCs w:val="32"/>
        </w:rPr>
        <w:t>指事业单位附属独立核算单位按照有关规定上缴的收入。</w:t>
      </w:r>
    </w:p>
    <w:p>
      <w:pPr>
        <w:pStyle w:val="4"/>
        <w:spacing w:before="176"/>
        <w:ind w:left="739"/>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其他收入：</w:t>
      </w:r>
      <w:r>
        <w:rPr>
          <w:rFonts w:hint="eastAsia" w:ascii="仿宋_GB2312" w:hAnsi="仿宋_GB2312" w:eastAsia="仿宋_GB2312" w:cs="仿宋_GB2312"/>
          <w:sz w:val="32"/>
          <w:szCs w:val="32"/>
        </w:rPr>
        <w:t>指除上述“财政拨款收入”</w:t>
      </w:r>
      <w:r>
        <w:rPr>
          <w:rFonts w:hint="eastAsia" w:ascii="仿宋_GB2312" w:hAnsi="仿宋_GB2312" w:eastAsia="仿宋_GB2312" w:cs="仿宋_GB2312"/>
          <w:spacing w:val="-160"/>
          <w:sz w:val="32"/>
          <w:szCs w:val="32"/>
        </w:rPr>
        <w:t>、</w:t>
      </w:r>
      <w:r>
        <w:rPr>
          <w:rFonts w:hint="eastAsia" w:ascii="仿宋_GB2312" w:hAnsi="仿宋_GB2312" w:eastAsia="仿宋_GB2312" w:cs="仿宋_GB2312"/>
          <w:sz w:val="32"/>
          <w:szCs w:val="32"/>
        </w:rPr>
        <w:t>“事业收入”</w:t>
      </w:r>
      <w:r>
        <w:rPr>
          <w:rFonts w:hint="eastAsia" w:ascii="仿宋_GB2312" w:hAnsi="仿宋_GB2312" w:eastAsia="仿宋_GB2312" w:cs="仿宋_GB2312"/>
          <w:spacing w:val="-160"/>
          <w:sz w:val="32"/>
          <w:szCs w:val="32"/>
        </w:rPr>
        <w:t>、</w:t>
      </w:r>
      <w:r>
        <w:rPr>
          <w:rFonts w:hint="eastAsia" w:ascii="仿宋_GB2312" w:hAnsi="仿宋_GB2312" w:eastAsia="仿宋_GB2312" w:cs="仿宋_GB2312"/>
          <w:sz w:val="32"/>
          <w:szCs w:val="32"/>
        </w:rPr>
        <w:t>“经营收入”等以外的收入。</w:t>
      </w:r>
    </w:p>
    <w:p>
      <w:pPr>
        <w:spacing w:after="0"/>
        <w:rPr>
          <w:rFonts w:hint="eastAsia" w:ascii="仿宋_GB2312" w:hAnsi="仿宋_GB2312" w:eastAsia="仿宋_GB2312" w:cs="仿宋_GB2312"/>
          <w:sz w:val="32"/>
          <w:szCs w:val="32"/>
        </w:rPr>
        <w:sectPr>
          <w:pgSz w:w="11910" w:h="16840"/>
          <w:pgMar w:top="1540" w:right="1420" w:bottom="1180" w:left="1420" w:header="0" w:footer="990" w:gutter="0"/>
          <w:cols w:equalWidth="0" w:num="1">
            <w:col w:w="9070"/>
          </w:cols>
        </w:sectPr>
      </w:pPr>
    </w:p>
    <w:p>
      <w:pPr>
        <w:pStyle w:val="4"/>
        <w:spacing w:before="52" w:line="333" w:lineRule="auto"/>
        <w:ind w:left="112" w:right="109" w:firstLine="627"/>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用事业基金弥补收支差额：</w:t>
      </w:r>
      <w:r>
        <w:rPr>
          <w:rFonts w:hint="eastAsia" w:ascii="仿宋_GB2312" w:hAnsi="仿宋_GB2312" w:eastAsia="仿宋_GB2312" w:cs="仿宋_GB2312"/>
          <w:sz w:val="32"/>
          <w:szCs w:val="32"/>
        </w:rPr>
        <w:t>指事业单位在用当年的“财政拨款收入”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“事业收入”</w:t>
      </w:r>
      <w:r>
        <w:rPr>
          <w:rFonts w:hint="eastAsia" w:ascii="仿宋_GB2312" w:hAnsi="仿宋_GB2312" w:eastAsia="仿宋_GB2312" w:cs="仿宋_GB2312"/>
          <w:spacing w:val="-160"/>
          <w:sz w:val="32"/>
          <w:szCs w:val="32"/>
        </w:rPr>
        <w:t>、</w:t>
      </w:r>
      <w:r>
        <w:rPr>
          <w:rFonts w:hint="eastAsia" w:ascii="仿宋_GB2312" w:hAnsi="仿宋_GB2312" w:eastAsia="仿宋_GB2312" w:cs="仿宋_GB2312"/>
          <w:sz w:val="32"/>
          <w:szCs w:val="32"/>
        </w:rPr>
        <w:t>“经营收入”</w:t>
      </w:r>
      <w:r>
        <w:rPr>
          <w:rFonts w:hint="eastAsia" w:ascii="仿宋_GB2312" w:hAnsi="仿宋_GB2312" w:eastAsia="仿宋_GB2312" w:cs="仿宋_GB2312"/>
          <w:spacing w:val="-160"/>
          <w:sz w:val="32"/>
          <w:szCs w:val="32"/>
        </w:rPr>
        <w:t>、</w:t>
      </w:r>
      <w:r>
        <w:rPr>
          <w:rFonts w:hint="eastAsia" w:ascii="仿宋_GB2312" w:hAnsi="仿宋_GB2312" w:eastAsia="仿宋_GB2312" w:cs="仿宋_GB2312"/>
          <w:sz w:val="32"/>
          <w:szCs w:val="32"/>
        </w:rPr>
        <w:t>“其他收入”</w:t>
      </w:r>
      <w:r>
        <w:rPr>
          <w:rFonts w:hint="eastAsia" w:ascii="仿宋_GB2312" w:hAnsi="仿宋_GB2312" w:eastAsia="仿宋_GB2312" w:cs="仿宋_GB2312"/>
          <w:spacing w:val="-3"/>
          <w:sz w:val="32"/>
          <w:szCs w:val="32"/>
        </w:rPr>
        <w:t>不足以安排当年支</w:t>
      </w:r>
      <w:r>
        <w:rPr>
          <w:rFonts w:hint="eastAsia" w:ascii="仿宋_GB2312" w:hAnsi="仿宋_GB2312" w:eastAsia="仿宋_GB2312" w:cs="仿宋_GB2312"/>
          <w:sz w:val="32"/>
          <w:szCs w:val="32"/>
        </w:rPr>
        <w:t>出的情况下，使用以前年度积累的事业基金（事业单位当年收支相抵后按国家规定提取、用于弥补以后年度收支差额的基金）弥补本年度收支缺口的资金。</w:t>
      </w:r>
    </w:p>
    <w:p>
      <w:pPr>
        <w:spacing w:before="10"/>
        <w:ind w:left="739" w:right="0" w:firstLine="0"/>
        <w:jc w:val="both"/>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年初结转和结余：</w:t>
      </w:r>
      <w:r>
        <w:rPr>
          <w:rFonts w:hint="eastAsia" w:ascii="仿宋_GB2312" w:hAnsi="仿宋_GB2312" w:eastAsia="仿宋_GB2312" w:cs="仿宋_GB2312"/>
          <w:sz w:val="32"/>
          <w:szCs w:val="32"/>
        </w:rPr>
        <w:t>指以前年度尚未完成、结转到本年按有关</w:t>
      </w:r>
    </w:p>
    <w:p>
      <w:pPr>
        <w:pStyle w:val="4"/>
        <w:spacing w:before="177"/>
        <w:ind w:left="112"/>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规定继续使用的资金。</w:t>
      </w:r>
    </w:p>
    <w:p>
      <w:pPr>
        <w:pStyle w:val="4"/>
        <w:spacing w:before="176"/>
        <w:ind w:left="739"/>
        <w:jc w:val="both"/>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结余分配：</w:t>
      </w:r>
      <w:r>
        <w:rPr>
          <w:rFonts w:hint="eastAsia" w:ascii="仿宋_GB2312" w:hAnsi="仿宋_GB2312" w:eastAsia="仿宋_GB2312" w:cs="仿宋_GB2312"/>
          <w:sz w:val="32"/>
          <w:szCs w:val="32"/>
        </w:rPr>
        <w:t>指事业事位按规定从非财政补助结余中分配的事</w:t>
      </w:r>
    </w:p>
    <w:p>
      <w:pPr>
        <w:pStyle w:val="4"/>
        <w:spacing w:before="177"/>
        <w:ind w:left="112"/>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业基金和职工福利基金等。</w:t>
      </w:r>
    </w:p>
    <w:p>
      <w:pPr>
        <w:pStyle w:val="4"/>
        <w:spacing w:line="333" w:lineRule="auto"/>
        <w:ind w:left="112" w:right="262" w:firstLine="627"/>
        <w:jc w:val="both"/>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年末结转和结余：</w:t>
      </w:r>
      <w:r>
        <w:rPr>
          <w:rFonts w:hint="eastAsia" w:ascii="仿宋_GB2312" w:hAnsi="仿宋_GB2312" w:eastAsia="仿宋_GB2312" w:cs="仿宋_GB2312"/>
          <w:sz w:val="32"/>
          <w:szCs w:val="32"/>
        </w:rPr>
        <w:t>指本年度或以前年度预算安排、因客观条件发生变化无法按原计划实施，需要延迟到以后年度按有关规定继续使用的资金。</w:t>
      </w:r>
    </w:p>
    <w:p>
      <w:pPr>
        <w:pStyle w:val="4"/>
        <w:spacing w:before="6"/>
        <w:ind w:left="739"/>
        <w:jc w:val="both"/>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基本支出：</w:t>
      </w:r>
      <w:r>
        <w:rPr>
          <w:rFonts w:hint="eastAsia" w:ascii="仿宋_GB2312" w:hAnsi="仿宋_GB2312" w:eastAsia="仿宋_GB2312" w:cs="仿宋_GB2312"/>
          <w:sz w:val="32"/>
          <w:szCs w:val="32"/>
        </w:rPr>
        <w:t>指为保障机构正常运转、完成日常工作任务而发</w:t>
      </w:r>
    </w:p>
    <w:p>
      <w:pPr>
        <w:pStyle w:val="4"/>
        <w:spacing w:before="176"/>
        <w:ind w:left="112"/>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生的人员支出和公用支出。</w:t>
      </w:r>
    </w:p>
    <w:p>
      <w:pPr>
        <w:pStyle w:val="4"/>
        <w:spacing w:before="177"/>
        <w:ind w:left="739"/>
        <w:jc w:val="both"/>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项目支出：</w:t>
      </w:r>
      <w:r>
        <w:rPr>
          <w:rFonts w:hint="eastAsia" w:ascii="仿宋_GB2312" w:hAnsi="仿宋_GB2312" w:eastAsia="仿宋_GB2312" w:cs="仿宋_GB2312"/>
          <w:sz w:val="32"/>
          <w:szCs w:val="32"/>
        </w:rPr>
        <w:t>指在基本支出之外为完成特定行政任务和事业发</w:t>
      </w:r>
    </w:p>
    <w:p>
      <w:pPr>
        <w:pStyle w:val="4"/>
        <w:spacing w:before="176"/>
        <w:ind w:left="112"/>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展目标所发生的支出。</w:t>
      </w:r>
    </w:p>
    <w:p>
      <w:pPr>
        <w:pStyle w:val="4"/>
        <w:spacing w:before="177" w:line="333" w:lineRule="auto"/>
        <w:ind w:left="112" w:right="159" w:firstLine="627"/>
        <w:jc w:val="both"/>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经营支出：</w:t>
      </w:r>
      <w:r>
        <w:rPr>
          <w:rFonts w:hint="eastAsia" w:ascii="仿宋_GB2312" w:hAnsi="仿宋_GB2312" w:eastAsia="仿宋_GB2312" w:cs="仿宋_GB2312"/>
          <w:sz w:val="32"/>
          <w:szCs w:val="32"/>
        </w:rPr>
        <w:t>指事业单位在专业业务活动及其辅助活动之外开展非独立核算经营活动所发生的支出。</w:t>
      </w:r>
    </w:p>
    <w:p>
      <w:pPr>
        <w:pStyle w:val="4"/>
        <w:spacing w:before="4" w:line="333" w:lineRule="auto"/>
        <w:ind w:left="112" w:right="242" w:firstLine="627"/>
        <w:jc w:val="both"/>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“三公”经费：</w:t>
      </w:r>
      <w:r>
        <w:rPr>
          <w:rFonts w:hint="eastAsia" w:ascii="仿宋_GB2312" w:hAnsi="仿宋_GB2312" w:eastAsia="仿宋_GB2312" w:cs="仿宋_GB2312"/>
          <w:sz w:val="32"/>
          <w:szCs w:val="32"/>
        </w:rPr>
        <w:t>按照党中央、国务院有关文件及部门预算管理有关规定，“三公”经费包括因公出国（境）费、公务用车购置及运行费和公务接待费。</w:t>
      </w:r>
    </w:p>
    <w:p>
      <w:pPr>
        <w:pStyle w:val="4"/>
        <w:spacing w:before="4" w:line="333" w:lineRule="auto"/>
        <w:ind w:left="112" w:right="242" w:firstLine="627"/>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（1）因公出国（境）费，指单位工作人员公务</w:t>
      </w:r>
    </w:p>
    <w:p>
      <w:pPr>
        <w:spacing w:after="0" w:line="333" w:lineRule="auto"/>
        <w:jc w:val="both"/>
        <w:rPr>
          <w:rFonts w:hint="eastAsia" w:ascii="仿宋_GB2312" w:hAnsi="仿宋_GB2312" w:eastAsia="仿宋_GB2312" w:cs="仿宋_GB2312"/>
          <w:sz w:val="32"/>
          <w:szCs w:val="32"/>
        </w:rPr>
        <w:sectPr>
          <w:pgSz w:w="11910" w:h="16840"/>
          <w:pgMar w:top="1460" w:right="1420" w:bottom="1180" w:left="1420" w:header="0" w:footer="990" w:gutter="0"/>
          <w:cols w:equalWidth="0" w:num="1">
            <w:col w:w="9070"/>
          </w:cols>
        </w:sectPr>
      </w:pPr>
    </w:p>
    <w:p>
      <w:pPr>
        <w:pStyle w:val="4"/>
        <w:spacing w:before="32"/>
        <w:ind w:left="11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出国（境）的住宿费、旅费、伙食补助费、杂费、培训费等支出。</w:t>
      </w:r>
    </w:p>
    <w:p>
      <w:pPr>
        <w:pStyle w:val="9"/>
        <w:numPr>
          <w:ilvl w:val="0"/>
          <w:numId w:val="0"/>
        </w:numPr>
        <w:tabs>
          <w:tab w:val="left" w:pos="593"/>
        </w:tabs>
        <w:spacing w:before="177" w:after="0" w:line="333" w:lineRule="auto"/>
        <w:ind w:left="112" w:leftChars="0" w:right="369" w:righ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eastAsia="zh-CN" w:bidi="zh-CN"/>
        </w:rPr>
        <w:t>（</w:t>
      </w:r>
      <w:r>
        <w:rPr>
          <w:rFonts w:hint="eastAsia" w:ascii="仿宋_GB2312" w:hAnsi="仿宋_GB2312" w:eastAsia="仿宋_GB2312" w:cs="仿宋_GB2312"/>
          <w:sz w:val="32"/>
          <w:szCs w:val="32"/>
          <w:lang w:val="en-US" w:eastAsia="zh-CN" w:bidi="zh-CN"/>
        </w:rPr>
        <w:t>2</w:t>
      </w:r>
      <w:r>
        <w:rPr>
          <w:rFonts w:hint="eastAsia" w:ascii="仿宋_GB2312" w:hAnsi="仿宋_GB2312" w:eastAsia="仿宋_GB2312" w:cs="仿宋_GB2312"/>
          <w:sz w:val="32"/>
          <w:szCs w:val="32"/>
          <w:lang w:val="zh-CN" w:eastAsia="zh-CN" w:bidi="zh-CN"/>
        </w:rPr>
        <w:t>）公务用车购</w:t>
      </w:r>
      <w:r>
        <w:rPr>
          <w:rFonts w:hint="eastAsia" w:ascii="仿宋_GB2312" w:hAnsi="仿宋_GB2312" w:eastAsia="仿宋_GB2312" w:cs="仿宋_GB2312"/>
          <w:sz w:val="32"/>
          <w:szCs w:val="32"/>
        </w:rPr>
        <w:t>置及运行费，指单位公务用车购置费（含车辆购置税）及租用费、燃料费、维修费、过路过桥费、保险费</w:t>
      </w:r>
      <w:r>
        <w:rPr>
          <w:rFonts w:hint="eastAsia" w:ascii="仿宋_GB2312" w:hAnsi="仿宋_GB2312" w:eastAsia="仿宋_GB2312" w:cs="仿宋_GB2312"/>
          <w:spacing w:val="-4"/>
          <w:sz w:val="32"/>
          <w:szCs w:val="32"/>
        </w:rPr>
        <w:t>等支出。</w:t>
      </w:r>
    </w:p>
    <w:p>
      <w:pPr>
        <w:pStyle w:val="9"/>
        <w:numPr>
          <w:ilvl w:val="0"/>
          <w:numId w:val="0"/>
        </w:numPr>
        <w:tabs>
          <w:tab w:val="left" w:pos="593"/>
        </w:tabs>
        <w:spacing w:before="4" w:after="0" w:line="345" w:lineRule="auto"/>
        <w:ind w:left="112" w:leftChars="0" w:right="419" w:righ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公务接待费，指单位按规定开支的各类公务接待（含外宾</w:t>
      </w:r>
      <w:r>
        <w:rPr>
          <w:rFonts w:hint="eastAsia" w:ascii="仿宋_GB2312" w:hAnsi="仿宋_GB2312" w:eastAsia="仿宋_GB2312" w:cs="仿宋_GB2312"/>
          <w:spacing w:val="-17"/>
          <w:sz w:val="32"/>
          <w:szCs w:val="32"/>
        </w:rPr>
        <w:t>接</w:t>
      </w:r>
      <w:r>
        <w:rPr>
          <w:rFonts w:hint="eastAsia" w:ascii="仿宋_GB2312" w:hAnsi="仿宋_GB2312" w:eastAsia="仿宋_GB2312" w:cs="仿宋_GB2312"/>
          <w:sz w:val="32"/>
          <w:szCs w:val="32"/>
        </w:rPr>
        <w:t>待）支出。</w:t>
      </w:r>
    </w:p>
    <w:p>
      <w:pPr>
        <w:pStyle w:val="9"/>
        <w:numPr>
          <w:ilvl w:val="0"/>
          <w:numId w:val="0"/>
        </w:numPr>
        <w:tabs>
          <w:tab w:val="left" w:pos="992"/>
        </w:tabs>
        <w:spacing w:before="6" w:after="0" w:line="240" w:lineRule="auto"/>
        <w:ind w:right="0" w:rightChars="0" w:firstLine="642" w:firstLineChars="200"/>
        <w:jc w:val="both"/>
        <w:rPr>
          <w:rFonts w:hint="eastAsia" w:ascii="仿宋_GB2312" w:hAnsi="仿宋_GB2312" w:eastAsia="仿宋_GB2312" w:cs="仿宋_GB2312"/>
          <w:sz w:val="32"/>
          <w:szCs w:val="32"/>
          <w:lang w:eastAsia="zh-CN"/>
        </w:rPr>
        <w:sectPr>
          <w:pgSz w:w="11910" w:h="16840"/>
          <w:pgMar w:top="1460" w:right="1420" w:bottom="1180" w:left="1420" w:header="0" w:footer="990" w:gutter="0"/>
          <w:cols w:equalWidth="0" w:num="1">
            <w:col w:w="9070"/>
          </w:cols>
        </w:sectPr>
      </w:pPr>
      <w:r>
        <w:rPr>
          <w:rFonts w:hint="eastAsia" w:ascii="仿宋_GB2312" w:hAnsi="仿宋_GB2312" w:eastAsia="仿宋_GB2312" w:cs="仿宋_GB2312"/>
          <w:b/>
          <w:sz w:val="32"/>
          <w:szCs w:val="32"/>
        </w:rPr>
        <w:t>机关运行经费：</w:t>
      </w:r>
      <w:r>
        <w:rPr>
          <w:rFonts w:hint="eastAsia" w:ascii="仿宋_GB2312" w:hAnsi="仿宋_GB2312" w:eastAsia="仿宋_GB2312" w:cs="仿宋_GB2312"/>
          <w:sz w:val="32"/>
          <w:szCs w:val="32"/>
        </w:rPr>
        <w:t>指为保障行政单位（含参照公务员法管理的事业单位）运行用于购买货物和服务的各项资金，包括办公及印刷费、邮电费、差旅费、会议费、福利费、日常维修费、专项材料及一般设备购置费、办公用房水电费、取暖费、物业管理费、公务用车运行维护费以及其他费用</w:t>
      </w:r>
      <w:r>
        <w:rPr>
          <w:rFonts w:hint="eastAsia" w:ascii="仿宋_GB2312" w:hAnsi="仿宋_GB2312" w:eastAsia="仿宋_GB2312" w:cs="仿宋_GB2312"/>
          <w:sz w:val="32"/>
          <w:szCs w:val="32"/>
          <w:lang w:eastAsia="zh-CN"/>
        </w:rPr>
        <w:t>。</w:t>
      </w:r>
    </w:p>
    <w:p>
      <w:pPr>
        <w:pStyle w:val="4"/>
        <w:spacing w:before="176"/>
        <w:rPr>
          <w:rFonts w:hint="eastAsia" w:ascii="仿宋_GB2312" w:hAnsi="仿宋_GB2312" w:eastAsia="仿宋_GB2312" w:cs="仿宋_GB2312"/>
          <w:color w:val="FF0000"/>
          <w:sz w:val="32"/>
          <w:szCs w:val="32"/>
        </w:rPr>
        <w:sectPr>
          <w:pgSz w:w="11910" w:h="16840"/>
          <w:pgMar w:top="1560" w:right="1420" w:bottom="1180" w:left="1420" w:header="0" w:footer="990" w:gutter="0"/>
          <w:cols w:equalWidth="0" w:num="1">
            <w:col w:w="9070"/>
          </w:cols>
        </w:sectPr>
      </w:pPr>
    </w:p>
    <w:p>
      <w:pPr>
        <w:pStyle w:val="4"/>
        <w:spacing w:before="13" w:line="333" w:lineRule="auto"/>
        <w:ind w:right="259"/>
        <w:rPr>
          <w:rFonts w:hint="eastAsia" w:ascii="仿宋_GB2312" w:hAnsi="仿宋_GB2312" w:eastAsia="仿宋_GB2312" w:cs="仿宋_GB2312"/>
          <w:sz w:val="32"/>
          <w:szCs w:val="32"/>
        </w:rPr>
      </w:pPr>
    </w:p>
    <w:sectPr>
      <w:pgSz w:w="11910" w:h="16840"/>
      <w:pgMar w:top="1480" w:right="1420" w:bottom="1180" w:left="1420" w:header="0" w:footer="990" w:gutter="0"/>
      <w:cols w:equalWidth="0" w:num="1">
        <w:col w:w="907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Microsoft JhengHei">
    <w:panose1 w:val="020B0604030504040204"/>
    <w:charset w:val="88"/>
    <w:family w:val="swiss"/>
    <w:pitch w:val="default"/>
    <w:sig w:usb0="00000087" w:usb1="28AF4000" w:usb2="00000016" w:usb3="00000000" w:csb0="00100009" w:csb1="00000000"/>
  </w:font>
  <w:font w:name="MS UI Gothic">
    <w:altName w:val="方正书宋_GBK"/>
    <w:panose1 w:val="020B0600070205080204"/>
    <w:charset w:val="80"/>
    <w:family w:val="swiss"/>
    <w:pitch w:val="default"/>
    <w:sig w:usb0="00000000" w:usb1="00000000" w:usb2="08000012" w:usb3="00000000" w:csb0="4002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微软雅黑">
    <w:panose1 w:val="020B0503020204020204"/>
    <w:charset w:val="86"/>
    <w:family w:val="auto"/>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49" o:spid="_x0000_s2049" o:spt="202" type="#_x0000_t202" style="position:absolute;left:0pt;margin-left:512.25pt;margin-top:781.35pt;height:12pt;width:8.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2"/>
      </w:rPr>
    </w:pPr>
    <w:r>
      <w:pict>
        <v:shape id="_x0000_s2050" o:spid="_x0000_s2050" o:spt="202" type="#_x0000_t202" style="position:absolute;left:0pt;margin-left:758.9pt;margin-top:534.75pt;height:12pt;width:13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1" o:spid="_x0000_s2051" o:spt="202" type="#_x0000_t202" style="position:absolute;left:0pt;margin-left:507.75pt;margin-top:781.35pt;height:12pt;width:13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24</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3"/>
      <w:numFmt w:val="decimal"/>
      <w:lvlText w:val="%1."/>
      <w:lvlJc w:val="left"/>
      <w:pPr>
        <w:ind w:left="992" w:hanging="241"/>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1806" w:hanging="241"/>
      </w:pPr>
      <w:rPr>
        <w:rFonts w:hint="default"/>
        <w:lang w:val="zh-CN" w:eastAsia="zh-CN" w:bidi="zh-CN"/>
      </w:rPr>
    </w:lvl>
    <w:lvl w:ilvl="2" w:tentative="0">
      <w:start w:val="0"/>
      <w:numFmt w:val="bullet"/>
      <w:lvlText w:val="•"/>
      <w:lvlJc w:val="left"/>
      <w:pPr>
        <w:ind w:left="2613" w:hanging="241"/>
      </w:pPr>
      <w:rPr>
        <w:rFonts w:hint="default"/>
        <w:lang w:val="zh-CN" w:eastAsia="zh-CN" w:bidi="zh-CN"/>
      </w:rPr>
    </w:lvl>
    <w:lvl w:ilvl="3" w:tentative="0">
      <w:start w:val="0"/>
      <w:numFmt w:val="bullet"/>
      <w:lvlText w:val="•"/>
      <w:lvlJc w:val="left"/>
      <w:pPr>
        <w:ind w:left="3419" w:hanging="241"/>
      </w:pPr>
      <w:rPr>
        <w:rFonts w:hint="default"/>
        <w:lang w:val="zh-CN" w:eastAsia="zh-CN" w:bidi="zh-CN"/>
      </w:rPr>
    </w:lvl>
    <w:lvl w:ilvl="4" w:tentative="0">
      <w:start w:val="0"/>
      <w:numFmt w:val="bullet"/>
      <w:lvlText w:val="•"/>
      <w:lvlJc w:val="left"/>
      <w:pPr>
        <w:ind w:left="4226" w:hanging="241"/>
      </w:pPr>
      <w:rPr>
        <w:rFonts w:hint="default"/>
        <w:lang w:val="zh-CN" w:eastAsia="zh-CN" w:bidi="zh-CN"/>
      </w:rPr>
    </w:lvl>
    <w:lvl w:ilvl="5" w:tentative="0">
      <w:start w:val="0"/>
      <w:numFmt w:val="bullet"/>
      <w:lvlText w:val="•"/>
      <w:lvlJc w:val="left"/>
      <w:pPr>
        <w:ind w:left="5033" w:hanging="241"/>
      </w:pPr>
      <w:rPr>
        <w:rFonts w:hint="default"/>
        <w:lang w:val="zh-CN" w:eastAsia="zh-CN" w:bidi="zh-CN"/>
      </w:rPr>
    </w:lvl>
    <w:lvl w:ilvl="6" w:tentative="0">
      <w:start w:val="0"/>
      <w:numFmt w:val="bullet"/>
      <w:lvlText w:val="•"/>
      <w:lvlJc w:val="left"/>
      <w:pPr>
        <w:ind w:left="5839" w:hanging="241"/>
      </w:pPr>
      <w:rPr>
        <w:rFonts w:hint="default"/>
        <w:lang w:val="zh-CN" w:eastAsia="zh-CN" w:bidi="zh-CN"/>
      </w:rPr>
    </w:lvl>
    <w:lvl w:ilvl="7" w:tentative="0">
      <w:start w:val="0"/>
      <w:numFmt w:val="bullet"/>
      <w:lvlText w:val="•"/>
      <w:lvlJc w:val="left"/>
      <w:pPr>
        <w:ind w:left="6646" w:hanging="241"/>
      </w:pPr>
      <w:rPr>
        <w:rFonts w:hint="default"/>
        <w:lang w:val="zh-CN" w:eastAsia="zh-CN" w:bidi="zh-CN"/>
      </w:rPr>
    </w:lvl>
    <w:lvl w:ilvl="8" w:tentative="0">
      <w:start w:val="0"/>
      <w:numFmt w:val="bullet"/>
      <w:lvlText w:val="•"/>
      <w:lvlJc w:val="left"/>
      <w:pPr>
        <w:ind w:left="7452" w:hanging="241"/>
      </w:pPr>
      <w:rPr>
        <w:rFonts w:hint="default"/>
        <w:lang w:val="zh-CN" w:eastAsia="zh-CN" w:bidi="zh-CN"/>
      </w:rPr>
    </w:lvl>
  </w:abstractNum>
  <w:abstractNum w:abstractNumId="1">
    <w:nsid w:val="FEF9EC31"/>
    <w:multiLevelType w:val="singleLevel"/>
    <w:tmpl w:val="FEF9EC31"/>
    <w:lvl w:ilvl="0" w:tentative="0">
      <w:start w:val="1"/>
      <w:numFmt w:val="chineseCounting"/>
      <w:suff w:val="space"/>
      <w:lvlText w:val="第%1部分"/>
      <w:lvlJc w:val="left"/>
      <w:rPr>
        <w:rFonts w:hint="eastAsia"/>
      </w:rPr>
    </w:lvl>
  </w:abstractNum>
  <w:abstractNum w:abstractNumId="2">
    <w:nsid w:val="0053208E"/>
    <w:multiLevelType w:val="multilevel"/>
    <w:tmpl w:val="0053208E"/>
    <w:lvl w:ilvl="0" w:tentative="0">
      <w:start w:val="1"/>
      <w:numFmt w:val="decimal"/>
      <w:lvlText w:val="%1."/>
      <w:lvlJc w:val="left"/>
      <w:pPr>
        <w:ind w:left="1124" w:hanging="374"/>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1914" w:hanging="374"/>
      </w:pPr>
      <w:rPr>
        <w:rFonts w:hint="default"/>
        <w:lang w:val="zh-CN" w:eastAsia="zh-CN" w:bidi="zh-CN"/>
      </w:rPr>
    </w:lvl>
    <w:lvl w:ilvl="2" w:tentative="0">
      <w:start w:val="0"/>
      <w:numFmt w:val="bullet"/>
      <w:lvlText w:val="•"/>
      <w:lvlJc w:val="left"/>
      <w:pPr>
        <w:ind w:left="2709" w:hanging="374"/>
      </w:pPr>
      <w:rPr>
        <w:rFonts w:hint="default"/>
        <w:lang w:val="zh-CN" w:eastAsia="zh-CN" w:bidi="zh-CN"/>
      </w:rPr>
    </w:lvl>
    <w:lvl w:ilvl="3" w:tentative="0">
      <w:start w:val="0"/>
      <w:numFmt w:val="bullet"/>
      <w:lvlText w:val="•"/>
      <w:lvlJc w:val="left"/>
      <w:pPr>
        <w:ind w:left="3503" w:hanging="374"/>
      </w:pPr>
      <w:rPr>
        <w:rFonts w:hint="default"/>
        <w:lang w:val="zh-CN" w:eastAsia="zh-CN" w:bidi="zh-CN"/>
      </w:rPr>
    </w:lvl>
    <w:lvl w:ilvl="4" w:tentative="0">
      <w:start w:val="0"/>
      <w:numFmt w:val="bullet"/>
      <w:lvlText w:val="•"/>
      <w:lvlJc w:val="left"/>
      <w:pPr>
        <w:ind w:left="4298" w:hanging="374"/>
      </w:pPr>
      <w:rPr>
        <w:rFonts w:hint="default"/>
        <w:lang w:val="zh-CN" w:eastAsia="zh-CN" w:bidi="zh-CN"/>
      </w:rPr>
    </w:lvl>
    <w:lvl w:ilvl="5" w:tentative="0">
      <w:start w:val="0"/>
      <w:numFmt w:val="bullet"/>
      <w:lvlText w:val="•"/>
      <w:lvlJc w:val="left"/>
      <w:pPr>
        <w:ind w:left="5093" w:hanging="374"/>
      </w:pPr>
      <w:rPr>
        <w:rFonts w:hint="default"/>
        <w:lang w:val="zh-CN" w:eastAsia="zh-CN" w:bidi="zh-CN"/>
      </w:rPr>
    </w:lvl>
    <w:lvl w:ilvl="6" w:tentative="0">
      <w:start w:val="0"/>
      <w:numFmt w:val="bullet"/>
      <w:lvlText w:val="•"/>
      <w:lvlJc w:val="left"/>
      <w:pPr>
        <w:ind w:left="5887" w:hanging="374"/>
      </w:pPr>
      <w:rPr>
        <w:rFonts w:hint="default"/>
        <w:lang w:val="zh-CN" w:eastAsia="zh-CN" w:bidi="zh-CN"/>
      </w:rPr>
    </w:lvl>
    <w:lvl w:ilvl="7" w:tentative="0">
      <w:start w:val="0"/>
      <w:numFmt w:val="bullet"/>
      <w:lvlText w:val="•"/>
      <w:lvlJc w:val="left"/>
      <w:pPr>
        <w:ind w:left="6682" w:hanging="374"/>
      </w:pPr>
      <w:rPr>
        <w:rFonts w:hint="default"/>
        <w:lang w:val="zh-CN" w:eastAsia="zh-CN" w:bidi="zh-CN"/>
      </w:rPr>
    </w:lvl>
    <w:lvl w:ilvl="8" w:tentative="0">
      <w:start w:val="0"/>
      <w:numFmt w:val="bullet"/>
      <w:lvlText w:val="•"/>
      <w:lvlJc w:val="left"/>
      <w:pPr>
        <w:ind w:left="7476" w:hanging="374"/>
      </w:pPr>
      <w:rPr>
        <w:rFonts w:hint="default"/>
        <w:lang w:val="zh-CN" w:eastAsia="zh-CN" w:bidi="zh-C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720"/>
  <w:drawingGridHorizontalSpacing w:val="110"/>
  <w:displayHorizontalDrawingGridEvery w:val="1"/>
  <w:displayVerticalDrawingGridEvery w:val="1"/>
  <w:noPunctuationKerning w:val="true"/>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2"/>
  </w:compat>
  <w:rsids>
    <w:rsidRoot w:val="00000000"/>
    <w:rsid w:val="00AD12E5"/>
    <w:rsid w:val="03CE3609"/>
    <w:rsid w:val="06D56EC2"/>
    <w:rsid w:val="09426231"/>
    <w:rsid w:val="0F625791"/>
    <w:rsid w:val="17E767DF"/>
    <w:rsid w:val="1A6F0FAD"/>
    <w:rsid w:val="1C8603D5"/>
    <w:rsid w:val="1CC1050E"/>
    <w:rsid w:val="27F66E2D"/>
    <w:rsid w:val="3D1829A4"/>
    <w:rsid w:val="47A53E92"/>
    <w:rsid w:val="4DD81D48"/>
    <w:rsid w:val="4F0E40EF"/>
    <w:rsid w:val="562F466C"/>
    <w:rsid w:val="56C0765C"/>
    <w:rsid w:val="58A20BC3"/>
    <w:rsid w:val="6506741A"/>
    <w:rsid w:val="663B6713"/>
    <w:rsid w:val="685357E5"/>
    <w:rsid w:val="71EA0570"/>
    <w:rsid w:val="73FBEF4F"/>
    <w:rsid w:val="7A943B77"/>
    <w:rsid w:val="7E212B7C"/>
    <w:rsid w:val="7EF7FB14"/>
    <w:rsid w:val="9F5E41D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624" w:lineRule="exact"/>
      <w:ind w:left="831"/>
      <w:outlineLvl w:val="1"/>
    </w:pPr>
    <w:rPr>
      <w:rFonts w:ascii="Microsoft JhengHei" w:hAnsi="Microsoft JhengHei" w:eastAsia="Microsoft JhengHei" w:cs="Microsoft JhengHei"/>
      <w:b/>
      <w:bCs/>
      <w:sz w:val="36"/>
      <w:szCs w:val="36"/>
      <w:lang w:val="zh-CN" w:eastAsia="zh-CN" w:bidi="zh-CN"/>
    </w:rPr>
  </w:style>
  <w:style w:type="paragraph" w:styleId="3">
    <w:name w:val="heading 2"/>
    <w:basedOn w:val="1"/>
    <w:next w:val="1"/>
    <w:qFormat/>
    <w:uiPriority w:val="1"/>
    <w:pPr>
      <w:ind w:left="751"/>
      <w:outlineLvl w:val="2"/>
    </w:pPr>
    <w:rPr>
      <w:rFonts w:ascii="MS UI Gothic" w:hAnsi="MS UI Gothic" w:eastAsia="MS UI Gothic" w:cs="MS UI Gothic"/>
      <w:b/>
      <w:bCs/>
      <w:sz w:val="32"/>
      <w:szCs w:val="32"/>
      <w:lang w:val="zh-CN" w:eastAsia="zh-CN" w:bidi="zh-CN"/>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MS UI Gothic" w:hAnsi="MS UI Gothic" w:eastAsia="MS UI Gothic" w:cs="MS UI Gothic"/>
      <w:sz w:val="32"/>
      <w:szCs w:val="32"/>
      <w:lang w:val="zh-CN" w:eastAsia="zh-CN" w:bidi="zh-CN"/>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4"/>
      <w:ind w:left="1124" w:hanging="374"/>
    </w:pPr>
    <w:rPr>
      <w:rFonts w:ascii="MS UI Gothic" w:hAnsi="MS UI Gothic" w:eastAsia="MS UI Gothic" w:cs="MS UI Gothic"/>
      <w:lang w:val="zh-CN" w:eastAsia="zh-CN" w:bidi="zh-CN"/>
    </w:rPr>
  </w:style>
  <w:style w:type="paragraph" w:customStyle="1" w:styleId="10">
    <w:name w:val="Table Paragraph"/>
    <w:basedOn w:val="1"/>
    <w:qFormat/>
    <w:uiPriority w:val="1"/>
    <w:pPr>
      <w:spacing w:before="85"/>
      <w:jc w:val="righ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4748</Words>
  <Characters>5050</Characters>
  <TotalTime>2</TotalTime>
  <ScaleCrop>false</ScaleCrop>
  <LinksUpToDate>false</LinksUpToDate>
  <CharactersWithSpaces>5628</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2026-03-30T18:17:00Z</dcterms:created>
  <dc:creator>SL20200815</dc:creator>
  <cp:lastModifiedBy>J.*.cai*^_^*</cp:lastModifiedBy>
  <dcterms:modified xsi:type="dcterms:W3CDTF">2026-03-31T16:54:26Z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2026-03-30T00:00:00Z</vt:filetime>
  </property>
  <property fmtid="{D5CDD505-2E9C-101B-9397-08002B2CF9AE}" pid="3" name="Creator">
    <vt:lpwstr>Aspose Ltd.</vt:lpwstr>
  </property>
  <property fmtid="{D5CDD505-2E9C-101B-9397-08002B2CF9AE}" pid="4" name="LastSaved">
    <vt:filetime>2026-03-30T00:00:00Z</vt:filetime>
  </property>
  <property fmtid="{D5CDD505-2E9C-101B-9397-08002B2CF9AE}" pid="5" name="KSOProductBuildVer">
    <vt:lpwstr>2052-11.8.2.10489</vt:lpwstr>
  </property>
  <property fmtid="{D5CDD505-2E9C-101B-9397-08002B2CF9AE}" pid="6" name="KSOTemplateDocerSaveRecord">
    <vt:lpwstr>eyJoZGlkIjoiODA0MWFmMTQzNjBhODVmMjI2YzU4MDg3OGFmOTA5Y2YifQ==</vt:lpwstr>
  </property>
  <property fmtid="{D5CDD505-2E9C-101B-9397-08002B2CF9AE}" pid="7" name="ICV">
    <vt:lpwstr>A09DC72737D043DBA248643429FB970A_12</vt:lpwstr>
  </property>
</Properties>
</file>