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spacing w:line="600" w:lineRule="exact"/>
        <w:jc w:val="center"/>
        <w:rPr>
          <w:rFonts w:hint="eastAsia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方正小标宋简体"/>
          <w:color w:val="000000"/>
          <w:sz w:val="44"/>
          <w:szCs w:val="44"/>
          <w:lang w:eastAsia="zh-CN"/>
        </w:rPr>
        <w:t>云浮市云安区</w:t>
      </w:r>
      <w:r>
        <w:rPr>
          <w:rFonts w:hint="eastAsia" w:eastAsia="方正小标宋简体" w:cs="方正小标宋简体"/>
          <w:color w:val="000000"/>
          <w:sz w:val="44"/>
          <w:szCs w:val="44"/>
        </w:rPr>
        <w:t>部门联合“双随机、一公开”抽查事项清单</w:t>
      </w:r>
    </w:p>
    <w:tbl>
      <w:tblPr>
        <w:tblStyle w:val="8"/>
        <w:tblpPr w:leftFromText="180" w:rightFromText="180" w:vertAnchor="page" w:horzAnchor="page" w:tblpX="1588" w:tblpY="3723"/>
        <w:tblOverlap w:val="never"/>
        <w:tblW w:w="13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565"/>
        <w:gridCol w:w="3915"/>
        <w:gridCol w:w="2175"/>
        <w:gridCol w:w="1958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pStyle w:val="9"/>
              <w:adjustRightInd w:val="0"/>
              <w:snapToGrid w:val="0"/>
              <w:jc w:val="center"/>
            </w:pPr>
            <w:r>
              <w:rPr>
                <w:rFonts w:hint="eastAsia" w:cs="仿宋_GB2312"/>
                <w:b/>
                <w:bCs/>
                <w:color w:val="000000"/>
                <w:szCs w:val="32"/>
              </w:rPr>
              <w:t>序号</w:t>
            </w:r>
          </w:p>
        </w:tc>
        <w:tc>
          <w:tcPr>
            <w:tcW w:w="2565" w:type="dxa"/>
            <w:vAlign w:val="center"/>
          </w:tcPr>
          <w:p>
            <w:pPr>
              <w:pStyle w:val="9"/>
              <w:adjustRightInd w:val="0"/>
              <w:snapToGrid w:val="0"/>
              <w:jc w:val="center"/>
            </w:pPr>
            <w:r>
              <w:rPr>
                <w:rFonts w:hint="eastAsia" w:cs="仿宋_GB2312"/>
                <w:b/>
                <w:bCs/>
                <w:color w:val="000000"/>
                <w:szCs w:val="32"/>
              </w:rPr>
              <w:t>抽查名称</w:t>
            </w:r>
          </w:p>
        </w:tc>
        <w:tc>
          <w:tcPr>
            <w:tcW w:w="3915" w:type="dxa"/>
            <w:vAlign w:val="center"/>
          </w:tcPr>
          <w:p>
            <w:pPr>
              <w:pStyle w:val="9"/>
              <w:adjustRightInd w:val="0"/>
              <w:snapToGrid w:val="0"/>
              <w:jc w:val="center"/>
            </w:pPr>
            <w:r>
              <w:rPr>
                <w:rFonts w:hint="eastAsia" w:cs="仿宋_GB2312"/>
                <w:b/>
                <w:bCs/>
                <w:color w:val="000000"/>
                <w:szCs w:val="32"/>
              </w:rPr>
              <w:t>抽查事项</w:t>
            </w:r>
          </w:p>
        </w:tc>
        <w:tc>
          <w:tcPr>
            <w:tcW w:w="2175" w:type="dxa"/>
            <w:vAlign w:val="center"/>
          </w:tcPr>
          <w:p>
            <w:pPr>
              <w:pStyle w:val="9"/>
              <w:adjustRightInd w:val="0"/>
              <w:snapToGrid w:val="0"/>
              <w:jc w:val="center"/>
            </w:pPr>
            <w:r>
              <w:rPr>
                <w:rFonts w:hint="eastAsia" w:cs="仿宋_GB2312"/>
                <w:b/>
                <w:bCs/>
                <w:color w:val="000000"/>
                <w:szCs w:val="32"/>
              </w:rPr>
              <w:t>检查对象</w:t>
            </w:r>
          </w:p>
        </w:tc>
        <w:tc>
          <w:tcPr>
            <w:tcW w:w="1958" w:type="dxa"/>
            <w:vAlign w:val="center"/>
          </w:tcPr>
          <w:p>
            <w:pPr>
              <w:pStyle w:val="9"/>
              <w:adjustRightInd w:val="0"/>
              <w:snapToGrid w:val="0"/>
              <w:jc w:val="center"/>
            </w:pPr>
            <w:r>
              <w:rPr>
                <w:rFonts w:hint="eastAsia" w:cs="仿宋_GB2312"/>
                <w:b/>
                <w:bCs/>
                <w:color w:val="000000"/>
                <w:szCs w:val="32"/>
              </w:rPr>
              <w:t>牵头部门</w:t>
            </w:r>
          </w:p>
        </w:tc>
        <w:tc>
          <w:tcPr>
            <w:tcW w:w="2314" w:type="dxa"/>
            <w:vAlign w:val="center"/>
          </w:tcPr>
          <w:p>
            <w:pPr>
              <w:pStyle w:val="9"/>
              <w:adjustRightInd w:val="0"/>
              <w:snapToGrid w:val="0"/>
              <w:jc w:val="center"/>
            </w:pPr>
            <w:r>
              <w:rPr>
                <w:rFonts w:hint="eastAsia" w:cs="仿宋_GB2312"/>
                <w:b/>
                <w:bCs/>
                <w:color w:val="000000"/>
                <w:szCs w:val="32"/>
              </w:rPr>
              <w:t>参加部门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953" w:type="dxa"/>
            <w:vAlign w:val="top"/>
          </w:tcPr>
          <w:p>
            <w:pPr>
              <w:pStyle w:val="1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旅馆业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跨部门联合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检查</w:t>
            </w:r>
          </w:p>
        </w:tc>
        <w:tc>
          <w:tcPr>
            <w:tcW w:w="391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主体资格情况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从业人员管理情况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安全管理情况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经营合规情况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接受监管情况。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旅馆业场所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公安部门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卫生健康部门、市场监督管理部门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top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用人单位按时足额支付工人工资检查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检查用人单位按时足额支付工人工资情况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在建工程项目施工企业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人力资源社会保障部门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住房城乡建设部门、交通运输管理部门、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农业农村和水务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top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清理整顿人力资源市场秩序专项执法行动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人力资源服务机构开展人力资源服务业务情况；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用人单位发布招聘信息情况；等等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人力资源服务机构、用人单位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人力资源社会保障部门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市场监督管理部门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pStyle w:val="9"/>
              <w:adjustRightInd w:val="0"/>
              <w:snapToGrid w:val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养老机构综合检查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养老机构食品、消防、安全隐患等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各养老机构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区民政局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区市场监督管理局、区住房和城乡建设局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pStyle w:val="9"/>
              <w:adjustRightInd w:val="0"/>
              <w:snapToGrid w:val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儿童福利机构综合检查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儿童福利机构食品、消防、安全隐患等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各儿童福利机构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区民政局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区市场监督管理局、区住房和城乡建设局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歌舞娱乐场所检查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1.播放、表演的节目内容是否含有禁止内容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2.使用的歌曲点播系统是否连接至境外曲库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3.是否接纳未成年人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4.是否擅自变更场所使用的歌曲点歌系统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歌舞娱乐场所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文广旅体部门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公安部门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卫生健康部门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市场监管部门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互联网上网服务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营业场所检查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1.是否接纳未成年人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2.是否擅自停止实施经营管理技术措施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3.是否悬挂《网络文化经营许可证》和未成年人禁入标志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4.是否按规定核对、登记上网消费者的有效身份证件和记录有关上网信息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5.变更名称、住所、法定代表人或者主要负责人、网络地址或者终止经营活动，是否向文化行政部门办理有关手续或者备案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互联网上网服务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营业场所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文广旅体部门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公安部门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卫生健康部门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市场监管部门</w:t>
            </w:r>
          </w:p>
          <w:p>
            <w:pPr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旅行社经营事项检查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1.经营旅行社业务是否取得经营许可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2.是否超范围经营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3.是否与游客签订规定的旅游合同、提供与合同内容相符的旅游服务、为游客办理意外保险、购买相关责任保险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4.是否与导游（领队）等聘用人员签订劳动合同，并办理相关社会保险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旅行社及其分支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文广旅体部门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公安部门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市场监管部门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交通运输部门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line="44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高危险性体育经营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项目检查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1.是否存在未经批准擅自经营高危险性体育项目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2.是否存在高危险性体育项目经营者取得许可证后，不再符合有关规定条件仍经营该体育项目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3.经营者是否尽到安全保障相关义务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高危险性体育项目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经营场所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文广旅体部门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公安部门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adjustRightInd w:val="0"/>
              <w:snapToGrid w:val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废弃危险化学品及危险废物安全检查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抽查危化品生产企业、危险废物经营单位、重点危险废物产生单位、化工园区等安全生产和环境风险防控措施落实情况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危化品生产企业、危险废物经营单位、重点危险废物产生单位、化工园区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生态环境部门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pStyle w:val="11"/>
              <w:snapToGrid w:val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单用途商业预付卡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是否开展单用途预付卡业务；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是否按规定进行备案。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开展单用途预付卡业务的企业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商务局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pStyle w:val="11"/>
              <w:snapToGrid w:val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报废机动车回收拆解企业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报废车辆和废钢废料是否安全堆放、危险废物是否按要求存储、是否按规定开具《报废汽车回收证明》、是否按要求建立报废汽车回收拆解档案等。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报废机动车回收拆解企业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商务局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市场监督管理局、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生态环境局、市公安局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云安分局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对律师事务所（分所）的行政检查</w:t>
            </w:r>
          </w:p>
        </w:tc>
        <w:tc>
          <w:tcPr>
            <w:tcW w:w="3915" w:type="dxa"/>
            <w:vAlign w:val="center"/>
          </w:tcPr>
          <w:p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抽查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律师事务所执业和内部管理制度的建立和实施情况；</w:t>
            </w:r>
          </w:p>
          <w:p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律师事务所保持法定设立条件及变更报批或者备案的执行情况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律师事务所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区司法局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学校卫生“双随机、一公开”抽查工作</w:t>
            </w:r>
          </w:p>
        </w:tc>
        <w:tc>
          <w:tcPr>
            <w:tcW w:w="3915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卫生健康部门检查事项：学校传染病防控组织体系及制度建设，学生体检、预防接种查验、消毒管理、宣传教育、基本防护用品及储备、隔离观察室等疫情防控工作情况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教育部门检查事项：学校落实教学和生活环境卫生情况、健康教育开展情况等。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各类学校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区卫生健康局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农资市场监督检查</w:t>
            </w:r>
          </w:p>
        </w:tc>
        <w:tc>
          <w:tcPr>
            <w:tcW w:w="391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1.农资经营单位证照是否齐全且合法有效；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2.经营的产品是否合法，包装标识是否符合有关强制性规定等。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在本行政区域区内的农资经营单位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云安区农业农村和水务局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云浮市公安局云安分局、云安区市场监管局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学校办学情况抽查</w:t>
            </w:r>
          </w:p>
        </w:tc>
        <w:tc>
          <w:tcPr>
            <w:tcW w:w="3915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1.中小学教育装备产品（含文体教育用品、教学仪器、校服等）检查。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各类学校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区教育局</w:t>
            </w:r>
          </w:p>
          <w:p>
            <w:pPr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学校办学情况抽查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1.对校车安全的检查。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各类学校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区教育局</w:t>
            </w:r>
          </w:p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市公安局云安分局、区交通运输局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校园及校外托管机构食品安全双随机抽查</w:t>
            </w:r>
          </w:p>
        </w:tc>
        <w:tc>
          <w:tcPr>
            <w:tcW w:w="3915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学校食堂食品安全情况的检查；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校外托管机构食品安全情况的检查；</w:t>
            </w:r>
          </w:p>
        </w:tc>
        <w:tc>
          <w:tcPr>
            <w:tcW w:w="2175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各类学校（含幼儿园）、校外托管机构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区市场监管局</w:t>
            </w:r>
          </w:p>
        </w:tc>
        <w:tc>
          <w:tcPr>
            <w:tcW w:w="231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区教育局</w:t>
            </w:r>
          </w:p>
        </w:tc>
      </w:tr>
    </w:tbl>
    <w:p/>
    <w:p>
      <w:pPr>
        <w:jc w:val="both"/>
        <w:rPr>
          <w:rFonts w:hint="default" w:cs="仿宋_GB2312"/>
          <w:kern w:val="0"/>
          <w:szCs w:val="32"/>
          <w:lang w:val="en-US" w:eastAsia="zh-CN"/>
        </w:rPr>
      </w:pPr>
    </w:p>
    <w:sectPr>
      <w:headerReference r:id="rId4" w:type="default"/>
      <w:footerReference r:id="rId5" w:type="default"/>
      <w:pgSz w:w="16838" w:h="11906" w:orient="landscape"/>
      <w:pgMar w:top="1803" w:right="1440" w:bottom="1803" w:left="1440" w:header="851" w:footer="992" w:gutter="0"/>
      <w:paperSrc w:first="0" w:oth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shape id="文本框 2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5504261">
    <w:nsid w:val="5FB20D05"/>
    <w:multiLevelType w:val="singleLevel"/>
    <w:tmpl w:val="5FB20D05"/>
    <w:lvl w:ilvl="0" w:tentative="1">
      <w:start w:val="1"/>
      <w:numFmt w:val="decimal"/>
      <w:suff w:val="nothing"/>
      <w:lvlText w:val="%1."/>
      <w:lvlJc w:val="left"/>
    </w:lvl>
  </w:abstractNum>
  <w:abstractNum w:abstractNumId="10">
    <w:nsid w:val="0000000A"/>
    <w:multiLevelType w:val="singleLevel"/>
    <w:tmpl w:val="0000000A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0"/>
  </w:num>
  <w:num w:numId="2">
    <w:abstractNumId w:val="16055042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6B776E3"/>
    <w:rsid w:val="00B972C2"/>
    <w:rsid w:val="02003C6E"/>
    <w:rsid w:val="0303375C"/>
    <w:rsid w:val="032B6F4C"/>
    <w:rsid w:val="041005B8"/>
    <w:rsid w:val="07722787"/>
    <w:rsid w:val="07743FFC"/>
    <w:rsid w:val="0A4E31F2"/>
    <w:rsid w:val="0E114655"/>
    <w:rsid w:val="0E6B3CF3"/>
    <w:rsid w:val="0F761F3C"/>
    <w:rsid w:val="11743B2D"/>
    <w:rsid w:val="118F691B"/>
    <w:rsid w:val="13671515"/>
    <w:rsid w:val="156A7DA2"/>
    <w:rsid w:val="18E900F5"/>
    <w:rsid w:val="18EC4806"/>
    <w:rsid w:val="1B3F6034"/>
    <w:rsid w:val="1CC41418"/>
    <w:rsid w:val="1FCD042B"/>
    <w:rsid w:val="1FE67312"/>
    <w:rsid w:val="202D0C13"/>
    <w:rsid w:val="20DD1D83"/>
    <w:rsid w:val="22E77707"/>
    <w:rsid w:val="25D20761"/>
    <w:rsid w:val="26114DAF"/>
    <w:rsid w:val="28FC3A41"/>
    <w:rsid w:val="29A14A56"/>
    <w:rsid w:val="2A615086"/>
    <w:rsid w:val="2BA44618"/>
    <w:rsid w:val="2D5A6525"/>
    <w:rsid w:val="2DCC014C"/>
    <w:rsid w:val="2E641F31"/>
    <w:rsid w:val="2F7B16F1"/>
    <w:rsid w:val="315E7058"/>
    <w:rsid w:val="32D87806"/>
    <w:rsid w:val="332B5B86"/>
    <w:rsid w:val="3622743E"/>
    <w:rsid w:val="374A7918"/>
    <w:rsid w:val="37DC5D50"/>
    <w:rsid w:val="3B3B4994"/>
    <w:rsid w:val="3B60205D"/>
    <w:rsid w:val="3BEF4536"/>
    <w:rsid w:val="421D4940"/>
    <w:rsid w:val="44A96468"/>
    <w:rsid w:val="468E7A9E"/>
    <w:rsid w:val="46C0052B"/>
    <w:rsid w:val="484A6A59"/>
    <w:rsid w:val="48FA2967"/>
    <w:rsid w:val="4C704E57"/>
    <w:rsid w:val="52BB6063"/>
    <w:rsid w:val="549E68FE"/>
    <w:rsid w:val="562E6B66"/>
    <w:rsid w:val="56B776E3"/>
    <w:rsid w:val="56E464EE"/>
    <w:rsid w:val="57CA0FF4"/>
    <w:rsid w:val="5B70116E"/>
    <w:rsid w:val="5C616DBB"/>
    <w:rsid w:val="5CE23789"/>
    <w:rsid w:val="5F380073"/>
    <w:rsid w:val="5FC25792"/>
    <w:rsid w:val="605306D1"/>
    <w:rsid w:val="60987CA6"/>
    <w:rsid w:val="63725952"/>
    <w:rsid w:val="657A0BFC"/>
    <w:rsid w:val="6619793F"/>
    <w:rsid w:val="66A61267"/>
    <w:rsid w:val="6B577148"/>
    <w:rsid w:val="6C7B43D9"/>
    <w:rsid w:val="6EF42046"/>
    <w:rsid w:val="706C3CF9"/>
    <w:rsid w:val="73EA55CA"/>
    <w:rsid w:val="76DC02A5"/>
    <w:rsid w:val="786752C1"/>
    <w:rsid w:val="79E35D12"/>
    <w:rsid w:val="7C354CC5"/>
    <w:rsid w:val="7DB6288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eastAsia="仿宋_GB2312" w:cs="Times New Roman"/>
      <w:b/>
      <w:color w:val="FF0000"/>
      <w:w w:val="90"/>
      <w:position w:val="4"/>
      <w:sz w:val="96"/>
      <w:szCs w:val="6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"/>
    <w:basedOn w:val="1"/>
    <w:link w:val="5"/>
    <w:uiPriority w:val="0"/>
    <w:pPr>
      <w:widowControl/>
      <w:spacing w:after="160" w:afterLines="0" w:line="240" w:lineRule="exact"/>
      <w:jc w:val="left"/>
    </w:pPr>
  </w:style>
  <w:style w:type="character" w:styleId="7">
    <w:name w:val="page number"/>
    <w:basedOn w:val="5"/>
    <w:uiPriority w:val="0"/>
    <w:rPr/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1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2020-11-11T00:30:00Z</dcterms:created>
  <dc:creator>张伟才</dc:creator>
  <cp:lastModifiedBy>温昌蓬</cp:lastModifiedBy>
  <cp:lastPrinted>2020-11-20T02:15:00Z</cp:lastPrinted>
  <dcterms:modified xsi:type="dcterms:W3CDTF">2021-09-30T03:08:06Z</dcterms:modified>
  <dc:title>云浮市云安区商事制度改革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